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3D1DF3" w:rsidRPr="00367E6A" w:rsidTr="00F01516">
        <w:trPr>
          <w:trHeight w:hRule="exact" w:val="851"/>
        </w:trPr>
        <w:tc>
          <w:tcPr>
            <w:tcW w:w="1277" w:type="dxa"/>
            <w:tcBorders>
              <w:bottom w:val="single" w:sz="4" w:space="0" w:color="auto"/>
            </w:tcBorders>
          </w:tcPr>
          <w:p w:rsidR="003D1DF3" w:rsidRPr="00367E6A" w:rsidRDefault="003D1DF3" w:rsidP="00F01516">
            <w:pPr>
              <w:rPr>
                <w:lang w:val="fr-FR"/>
              </w:rPr>
            </w:pPr>
          </w:p>
        </w:tc>
        <w:tc>
          <w:tcPr>
            <w:tcW w:w="2268" w:type="dxa"/>
            <w:tcBorders>
              <w:bottom w:val="single" w:sz="4" w:space="0" w:color="auto"/>
            </w:tcBorders>
            <w:vAlign w:val="bottom"/>
          </w:tcPr>
          <w:p w:rsidR="003D1DF3" w:rsidRPr="00367E6A" w:rsidRDefault="003D1DF3" w:rsidP="00F01516">
            <w:pPr>
              <w:spacing w:after="80" w:line="300" w:lineRule="exact"/>
              <w:rPr>
                <w:sz w:val="28"/>
                <w:lang w:val="fr-FR"/>
              </w:rPr>
            </w:pPr>
            <w:r w:rsidRPr="00367E6A">
              <w:rPr>
                <w:sz w:val="28"/>
                <w:lang w:val="fr-FR"/>
              </w:rPr>
              <w:t>Nations Unies</w:t>
            </w:r>
          </w:p>
        </w:tc>
        <w:tc>
          <w:tcPr>
            <w:tcW w:w="6094" w:type="dxa"/>
            <w:gridSpan w:val="2"/>
            <w:tcBorders>
              <w:bottom w:val="single" w:sz="4" w:space="0" w:color="auto"/>
            </w:tcBorders>
            <w:vAlign w:val="bottom"/>
          </w:tcPr>
          <w:p w:rsidR="003D1DF3" w:rsidRPr="00367E6A" w:rsidRDefault="009864BF" w:rsidP="009864BF">
            <w:pPr>
              <w:jc w:val="right"/>
              <w:rPr>
                <w:lang w:val="fr-FR"/>
              </w:rPr>
            </w:pPr>
            <w:r w:rsidRPr="009864BF">
              <w:rPr>
                <w:sz w:val="40"/>
                <w:lang w:val="fr-FR"/>
              </w:rPr>
              <w:t>ECE</w:t>
            </w:r>
            <w:r>
              <w:rPr>
                <w:lang w:val="fr-FR"/>
              </w:rPr>
              <w:t>/TRANS/WP.15/230</w:t>
            </w:r>
          </w:p>
        </w:tc>
      </w:tr>
      <w:tr w:rsidR="003D1DF3" w:rsidRPr="00367E6A" w:rsidTr="00F01516">
        <w:trPr>
          <w:trHeight w:hRule="exact" w:val="2835"/>
        </w:trPr>
        <w:tc>
          <w:tcPr>
            <w:tcW w:w="1276" w:type="dxa"/>
            <w:tcBorders>
              <w:top w:val="single" w:sz="4" w:space="0" w:color="auto"/>
              <w:bottom w:val="single" w:sz="12" w:space="0" w:color="auto"/>
            </w:tcBorders>
          </w:tcPr>
          <w:p w:rsidR="003D1DF3" w:rsidRPr="00367E6A" w:rsidRDefault="00367E6A" w:rsidP="00F01516">
            <w:pPr>
              <w:spacing w:before="120"/>
              <w:jc w:val="center"/>
              <w:rPr>
                <w:lang w:val="fr-FR"/>
              </w:rPr>
            </w:pPr>
            <w:r>
              <w:rPr>
                <w:noProof/>
                <w:lang w:val="en-GB" w:eastAsia="en-GB"/>
              </w:rPr>
              <w:drawing>
                <wp:inline distT="0" distB="0" distL="0" distR="0">
                  <wp:extent cx="714375" cy="590550"/>
                  <wp:effectExtent l="0" t="0" r="9525" b="0"/>
                  <wp:docPr id="2"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3D1DF3" w:rsidRPr="00367E6A" w:rsidRDefault="003D1DF3" w:rsidP="00F01516">
            <w:pPr>
              <w:spacing w:before="120" w:line="420" w:lineRule="exact"/>
              <w:rPr>
                <w:b/>
                <w:sz w:val="40"/>
                <w:szCs w:val="40"/>
                <w:lang w:val="fr-FR"/>
              </w:rPr>
            </w:pPr>
            <w:r w:rsidRPr="00367E6A">
              <w:rPr>
                <w:b/>
                <w:sz w:val="40"/>
                <w:szCs w:val="40"/>
                <w:lang w:val="fr-FR"/>
              </w:rPr>
              <w:t>Conseil économique et social</w:t>
            </w:r>
          </w:p>
        </w:tc>
        <w:tc>
          <w:tcPr>
            <w:tcW w:w="2835" w:type="dxa"/>
            <w:tcBorders>
              <w:top w:val="single" w:sz="4" w:space="0" w:color="auto"/>
              <w:bottom w:val="single" w:sz="12" w:space="0" w:color="auto"/>
            </w:tcBorders>
          </w:tcPr>
          <w:p w:rsidR="003D1DF3" w:rsidRDefault="009864BF" w:rsidP="009864BF">
            <w:pPr>
              <w:spacing w:before="240" w:line="240" w:lineRule="exact"/>
              <w:rPr>
                <w:lang w:val="fr-FR"/>
              </w:rPr>
            </w:pPr>
            <w:proofErr w:type="spellStart"/>
            <w:r>
              <w:rPr>
                <w:lang w:val="fr-FR"/>
              </w:rPr>
              <w:t>Distr</w:t>
            </w:r>
            <w:proofErr w:type="spellEnd"/>
            <w:r>
              <w:rPr>
                <w:lang w:val="fr-FR"/>
              </w:rPr>
              <w:t>. générale</w:t>
            </w:r>
          </w:p>
          <w:p w:rsidR="009864BF" w:rsidRDefault="0058171D" w:rsidP="009864BF">
            <w:pPr>
              <w:spacing w:line="240" w:lineRule="exact"/>
              <w:rPr>
                <w:lang w:val="fr-FR"/>
              </w:rPr>
            </w:pPr>
            <w:r>
              <w:rPr>
                <w:lang w:val="fr-FR"/>
              </w:rPr>
              <w:t>1 décembre</w:t>
            </w:r>
            <w:bookmarkStart w:id="0" w:name="_GoBack"/>
            <w:bookmarkEnd w:id="0"/>
            <w:r w:rsidR="009864BF">
              <w:rPr>
                <w:lang w:val="fr-FR"/>
              </w:rPr>
              <w:t xml:space="preserve"> 2015</w:t>
            </w:r>
          </w:p>
          <w:p w:rsidR="004E4695" w:rsidRDefault="004E4695" w:rsidP="009864BF">
            <w:pPr>
              <w:spacing w:line="240" w:lineRule="exact"/>
              <w:rPr>
                <w:lang w:val="fr-FR"/>
              </w:rPr>
            </w:pPr>
            <w:r>
              <w:rPr>
                <w:lang w:val="fr-FR"/>
              </w:rPr>
              <w:t xml:space="preserve">Français </w:t>
            </w:r>
          </w:p>
          <w:p w:rsidR="009864BF" w:rsidRPr="00367E6A" w:rsidRDefault="009864BF" w:rsidP="009864BF">
            <w:pPr>
              <w:spacing w:line="240" w:lineRule="exact"/>
              <w:rPr>
                <w:lang w:val="fr-FR"/>
              </w:rPr>
            </w:pPr>
            <w:r>
              <w:rPr>
                <w:lang w:val="fr-FR"/>
              </w:rPr>
              <w:t xml:space="preserve">Original: français </w:t>
            </w:r>
            <w:r w:rsidR="004E4695">
              <w:rPr>
                <w:lang w:val="fr-FR"/>
              </w:rPr>
              <w:t>et anglais</w:t>
            </w:r>
          </w:p>
        </w:tc>
      </w:tr>
    </w:tbl>
    <w:p w:rsidR="00FF1DBD" w:rsidRPr="00367E6A" w:rsidRDefault="000312C0" w:rsidP="000312C0">
      <w:pPr>
        <w:spacing w:before="120"/>
        <w:rPr>
          <w:b/>
          <w:sz w:val="28"/>
          <w:szCs w:val="28"/>
          <w:lang w:val="fr-FR"/>
        </w:rPr>
      </w:pPr>
      <w:r w:rsidRPr="00367E6A">
        <w:rPr>
          <w:b/>
          <w:sz w:val="28"/>
          <w:szCs w:val="28"/>
          <w:lang w:val="fr-FR"/>
        </w:rPr>
        <w:t>Commission économique pour l’Europe</w:t>
      </w:r>
    </w:p>
    <w:p w:rsidR="00B93E72" w:rsidRPr="00367E6A" w:rsidRDefault="00B93E72" w:rsidP="00B93E72">
      <w:pPr>
        <w:spacing w:before="120"/>
        <w:rPr>
          <w:sz w:val="28"/>
          <w:szCs w:val="28"/>
          <w:lang w:val="fr-FR"/>
        </w:rPr>
      </w:pPr>
      <w:r w:rsidRPr="00367E6A">
        <w:rPr>
          <w:sz w:val="28"/>
          <w:szCs w:val="28"/>
          <w:lang w:val="fr-FR"/>
        </w:rPr>
        <w:t>Comité des transports intérieurs</w:t>
      </w:r>
    </w:p>
    <w:p w:rsidR="00B93E72" w:rsidRPr="00367E6A" w:rsidRDefault="00B93E72" w:rsidP="00B93E72">
      <w:pPr>
        <w:spacing w:before="120"/>
        <w:rPr>
          <w:b/>
          <w:sz w:val="24"/>
          <w:szCs w:val="24"/>
          <w:lang w:val="fr-FR"/>
        </w:rPr>
      </w:pPr>
      <w:r w:rsidRPr="00367E6A">
        <w:rPr>
          <w:b/>
          <w:sz w:val="24"/>
          <w:szCs w:val="24"/>
          <w:lang w:val="fr-FR"/>
        </w:rPr>
        <w:t>Groupe de travail des transports</w:t>
      </w:r>
      <w:r w:rsidR="00FA6422" w:rsidRPr="00367E6A">
        <w:rPr>
          <w:b/>
          <w:sz w:val="24"/>
          <w:szCs w:val="24"/>
          <w:lang w:val="fr-FR"/>
        </w:rPr>
        <w:t xml:space="preserve"> </w:t>
      </w:r>
      <w:r w:rsidRPr="00367E6A">
        <w:rPr>
          <w:b/>
          <w:sz w:val="24"/>
          <w:szCs w:val="24"/>
          <w:lang w:val="fr-FR"/>
        </w:rPr>
        <w:t>de marchandises dangereuses</w:t>
      </w:r>
    </w:p>
    <w:p w:rsidR="00A34F4A" w:rsidRPr="00A34F4A" w:rsidRDefault="00A34F4A" w:rsidP="00A34F4A">
      <w:pPr>
        <w:keepNext/>
        <w:keepLines/>
        <w:tabs>
          <w:tab w:val="right" w:pos="851"/>
        </w:tabs>
        <w:spacing w:before="360" w:after="120" w:line="300" w:lineRule="exact"/>
        <w:ind w:left="1134" w:right="1134" w:hanging="1134"/>
        <w:rPr>
          <w:sz w:val="28"/>
          <w:lang w:val="fr-FR"/>
        </w:rPr>
      </w:pPr>
      <w:r w:rsidRPr="00A34F4A">
        <w:rPr>
          <w:b/>
          <w:sz w:val="28"/>
          <w:lang w:val="fr-FR"/>
        </w:rPr>
        <w:tab/>
      </w:r>
      <w:r w:rsidRPr="00A34F4A">
        <w:rPr>
          <w:b/>
          <w:sz w:val="28"/>
          <w:lang w:val="fr-FR"/>
        </w:rPr>
        <w:tab/>
        <w:t>Rapport du Groupe de travail sur sa quatre-vingt-</w:t>
      </w:r>
      <w:r w:rsidRPr="00A34F4A">
        <w:rPr>
          <w:b/>
          <w:bCs/>
          <w:sz w:val="28"/>
          <w:lang w:val="fr-FR"/>
        </w:rPr>
        <w:t>dix-</w:t>
      </w:r>
      <w:r w:rsidR="00B04977">
        <w:rPr>
          <w:b/>
          <w:bCs/>
          <w:sz w:val="28"/>
          <w:lang w:val="fr-FR"/>
        </w:rPr>
        <w:t>neuv</w:t>
      </w:r>
      <w:r w:rsidRPr="00A34F4A">
        <w:rPr>
          <w:b/>
          <w:bCs/>
          <w:sz w:val="28"/>
          <w:lang w:val="fr-FR"/>
        </w:rPr>
        <w:t xml:space="preserve">ième </w:t>
      </w:r>
      <w:r w:rsidRPr="00A34F4A">
        <w:rPr>
          <w:b/>
          <w:sz w:val="28"/>
          <w:lang w:val="fr-FR"/>
        </w:rPr>
        <w:t>session</w:t>
      </w:r>
    </w:p>
    <w:p w:rsidR="00A34F4A" w:rsidRPr="00A34F4A" w:rsidRDefault="00A34F4A" w:rsidP="00A34F4A">
      <w:pPr>
        <w:keepNext/>
        <w:keepLines/>
        <w:tabs>
          <w:tab w:val="right" w:pos="851"/>
        </w:tabs>
        <w:spacing w:before="120" w:after="120" w:line="240" w:lineRule="exact"/>
        <w:ind w:left="1134" w:right="1134" w:hanging="1134"/>
      </w:pPr>
      <w:r w:rsidRPr="00A34F4A">
        <w:rPr>
          <w:lang w:val="fr-FR"/>
        </w:rPr>
        <w:tab/>
      </w:r>
      <w:r w:rsidRPr="00A34F4A">
        <w:rPr>
          <w:lang w:val="fr-FR"/>
        </w:rPr>
        <w:tab/>
      </w:r>
      <w:proofErr w:type="gramStart"/>
      <w:r w:rsidRPr="00A34F4A">
        <w:rPr>
          <w:lang w:val="fr-FR"/>
        </w:rPr>
        <w:t>tenue</w:t>
      </w:r>
      <w:proofErr w:type="gramEnd"/>
      <w:r w:rsidRPr="00A34F4A">
        <w:rPr>
          <w:lang w:val="fr-FR"/>
        </w:rPr>
        <w:t xml:space="preserve"> à Genève du </w:t>
      </w:r>
      <w:r>
        <w:rPr>
          <w:lang w:val="fr-FR"/>
        </w:rPr>
        <w:t>9</w:t>
      </w:r>
      <w:r>
        <w:t xml:space="preserve"> au 13 novembre</w:t>
      </w:r>
      <w:r w:rsidRPr="00A34F4A">
        <w:t xml:space="preserve"> 2015</w:t>
      </w:r>
    </w:p>
    <w:p w:rsidR="00A34F4A" w:rsidRPr="00E04873" w:rsidRDefault="00A34F4A" w:rsidP="00A34F4A">
      <w:pPr>
        <w:spacing w:after="120"/>
        <w:rPr>
          <w:sz w:val="28"/>
        </w:rPr>
      </w:pPr>
      <w:r w:rsidRPr="00E04873">
        <w:rPr>
          <w:sz w:val="28"/>
        </w:rPr>
        <w:t>Table des matières</w:t>
      </w:r>
    </w:p>
    <w:p w:rsidR="002E2C91" w:rsidRPr="00C027DB" w:rsidRDefault="002E2C91" w:rsidP="002E2C91">
      <w:pPr>
        <w:tabs>
          <w:tab w:val="right" w:pos="850"/>
          <w:tab w:val="left" w:pos="1134"/>
          <w:tab w:val="left" w:pos="1559"/>
          <w:tab w:val="left" w:pos="1984"/>
          <w:tab w:val="left" w:leader="dot" w:pos="7654"/>
          <w:tab w:val="right" w:pos="8929"/>
          <w:tab w:val="right" w:pos="9638"/>
        </w:tabs>
        <w:spacing w:after="120"/>
      </w:pPr>
      <w:r w:rsidRPr="00E04873">
        <w:tab/>
      </w:r>
      <w:r w:rsidRPr="00C027DB">
        <w:t>I.</w:t>
      </w:r>
      <w:r w:rsidRPr="00C027DB">
        <w:tab/>
      </w:r>
      <w:r w:rsidR="007348C1" w:rsidRPr="00C027DB">
        <w:t>Participation</w:t>
      </w:r>
      <w:r w:rsidRPr="00C027DB">
        <w:tab/>
      </w:r>
      <w:r w:rsidRPr="00C027DB">
        <w:tab/>
        <w:t>1–5</w:t>
      </w:r>
      <w:r w:rsidRPr="00C027DB">
        <w:tab/>
      </w:r>
      <w:r w:rsidR="00642849">
        <w:t>4</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pPr>
      <w:r w:rsidRPr="00C027DB">
        <w:tab/>
      </w:r>
      <w:r w:rsidRPr="007348C1">
        <w:t>II.</w:t>
      </w:r>
      <w:r w:rsidRPr="007348C1">
        <w:tab/>
      </w:r>
      <w:r w:rsidR="007348C1" w:rsidRPr="0054289D">
        <w:rPr>
          <w:lang w:val="fr-FR"/>
        </w:rPr>
        <w:t>Adoption de l'ordre du jour (point 1 de l’ordre du jour)</w:t>
      </w:r>
      <w:r w:rsidRPr="007348C1">
        <w:tab/>
      </w:r>
      <w:r w:rsidRPr="007348C1">
        <w:tab/>
        <w:t>6</w:t>
      </w:r>
      <w:r w:rsidRPr="007348C1">
        <w:tab/>
      </w:r>
      <w:r w:rsidR="00642849">
        <w:t>4</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pPr>
      <w:r w:rsidRPr="007348C1">
        <w:tab/>
        <w:t>III.</w:t>
      </w:r>
      <w:r w:rsidRPr="007348C1">
        <w:tab/>
      </w:r>
      <w:r w:rsidR="007348C1">
        <w:rPr>
          <w:lang w:val="fr-FR"/>
        </w:rPr>
        <w:t>S</w:t>
      </w:r>
      <w:r w:rsidR="007348C1" w:rsidRPr="003E346D">
        <w:rPr>
          <w:lang w:val="fr-FR"/>
        </w:rPr>
        <w:t xml:space="preserve">oixante-dix-septième </w:t>
      </w:r>
      <w:r w:rsidR="007348C1" w:rsidRPr="0054289D">
        <w:rPr>
          <w:lang w:val="fr-FR"/>
        </w:rPr>
        <w:t xml:space="preserve">session du </w:t>
      </w:r>
      <w:r w:rsidR="007348C1">
        <w:rPr>
          <w:lang w:val="fr-FR"/>
        </w:rPr>
        <w:t>C</w:t>
      </w:r>
      <w:r w:rsidR="007348C1" w:rsidRPr="0054289D">
        <w:rPr>
          <w:lang w:val="fr-FR"/>
        </w:rPr>
        <w:t xml:space="preserve">omité des transports intérieurs </w:t>
      </w:r>
      <w:r w:rsidR="007348C1">
        <w:rPr>
          <w:lang w:val="fr-FR"/>
        </w:rPr>
        <w:br/>
      </w:r>
      <w:r w:rsidR="007348C1">
        <w:rPr>
          <w:lang w:val="fr-FR"/>
        </w:rPr>
        <w:tab/>
      </w:r>
      <w:r w:rsidR="007348C1">
        <w:rPr>
          <w:lang w:val="fr-FR"/>
        </w:rPr>
        <w:tab/>
      </w:r>
      <w:r w:rsidR="007348C1" w:rsidRPr="0054289D">
        <w:rPr>
          <w:lang w:val="fr-FR"/>
        </w:rPr>
        <w:t>(point 2 de l’ordre du jour)</w:t>
      </w:r>
      <w:r w:rsidRPr="007348C1">
        <w:tab/>
      </w:r>
      <w:r w:rsidRPr="007348C1">
        <w:tab/>
        <w:t>7</w:t>
      </w:r>
      <w:r w:rsidRPr="007348C1">
        <w:tab/>
      </w:r>
      <w:r w:rsidR="00642849">
        <w:t>4</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t>IV.</w:t>
      </w:r>
      <w:r w:rsidRPr="007348C1">
        <w:tab/>
      </w:r>
      <w:r w:rsidR="007348C1" w:rsidRPr="0054289D">
        <w:rPr>
          <w:lang w:val="fr-FR"/>
        </w:rPr>
        <w:t xml:space="preserve">État de l'Accord européen relatif au transport international des marchandises </w:t>
      </w:r>
      <w:r w:rsidR="007348C1">
        <w:rPr>
          <w:lang w:val="fr-FR"/>
        </w:rPr>
        <w:br/>
      </w:r>
      <w:r w:rsidR="007348C1" w:rsidRPr="0054289D">
        <w:rPr>
          <w:lang w:val="fr-FR"/>
        </w:rPr>
        <w:t xml:space="preserve">dangereuses par route (ADR) et questions connexes </w:t>
      </w:r>
      <w:r w:rsidR="007348C1">
        <w:rPr>
          <w:lang w:val="fr-FR"/>
        </w:rPr>
        <w:br/>
      </w:r>
      <w:r w:rsidR="007348C1" w:rsidRPr="0054289D">
        <w:rPr>
          <w:lang w:val="fr-FR"/>
        </w:rPr>
        <w:t>(point 3 de l’ordre du jour)</w:t>
      </w:r>
      <w:r w:rsidRPr="007348C1">
        <w:tab/>
      </w:r>
      <w:r w:rsidRPr="007348C1">
        <w:tab/>
        <w:t>8-11</w:t>
      </w:r>
      <w:r w:rsidRPr="007348C1">
        <w:tab/>
      </w:r>
      <w:r w:rsidR="00642849">
        <w:t>4</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A.</w:t>
      </w:r>
      <w:r w:rsidRPr="007348C1">
        <w:tab/>
      </w:r>
      <w:r w:rsidR="007348C1" w:rsidRPr="0054289D">
        <w:rPr>
          <w:lang w:val="fr-FR"/>
        </w:rPr>
        <w:t>Protocole d’amendement de 1993</w:t>
      </w:r>
      <w:r w:rsidRPr="007348C1">
        <w:tab/>
      </w:r>
      <w:r w:rsidRPr="007348C1">
        <w:tab/>
        <w:t>8-9</w:t>
      </w:r>
      <w:r w:rsidRPr="007348C1">
        <w:tab/>
      </w:r>
      <w:r w:rsidR="00642849">
        <w:t>4</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B.</w:t>
      </w:r>
      <w:r w:rsidRPr="007348C1">
        <w:tab/>
      </w:r>
      <w:r w:rsidR="007348C1">
        <w:rPr>
          <w:lang w:val="fr-FR"/>
        </w:rPr>
        <w:t xml:space="preserve">Corrections et amendements pour </w:t>
      </w:r>
      <w:proofErr w:type="spellStart"/>
      <w:r w:rsidR="007348C1">
        <w:rPr>
          <w:lang w:val="fr-FR"/>
        </w:rPr>
        <w:t>entrée</w:t>
      </w:r>
      <w:proofErr w:type="spellEnd"/>
      <w:r w:rsidR="007348C1">
        <w:rPr>
          <w:lang w:val="fr-FR"/>
        </w:rPr>
        <w:t xml:space="preserve"> en vigueur au 26 décembre 2015</w:t>
      </w:r>
      <w:r w:rsidRPr="007348C1">
        <w:tab/>
      </w:r>
      <w:r w:rsidRPr="007348C1">
        <w:tab/>
        <w:t>10-11</w:t>
      </w:r>
      <w:r w:rsidRPr="007348C1">
        <w:tab/>
      </w:r>
      <w:r w:rsidR="00642849">
        <w:t>5</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t>V.</w:t>
      </w:r>
      <w:r w:rsidRPr="007348C1">
        <w:tab/>
      </w:r>
      <w:r w:rsidR="007348C1" w:rsidRPr="00556C9E">
        <w:rPr>
          <w:lang w:val="fr-FR"/>
        </w:rPr>
        <w:t>Interprétation de l'ADR (point 4 de l’ordre du jour)</w:t>
      </w:r>
      <w:r w:rsidRPr="007348C1">
        <w:tab/>
      </w:r>
      <w:r w:rsidRPr="007348C1">
        <w:tab/>
        <w:t>12-16</w:t>
      </w:r>
      <w:r w:rsidRPr="007348C1">
        <w:tab/>
      </w:r>
      <w:r w:rsidR="00642849">
        <w:t>5</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A.</w:t>
      </w:r>
      <w:r w:rsidRPr="007348C1">
        <w:tab/>
      </w:r>
      <w:r w:rsidR="007348C1">
        <w:rPr>
          <w:lang w:val="fr-FR"/>
        </w:rPr>
        <w:t>Construction des compartiments de chargement des véhicules EX/III</w:t>
      </w:r>
      <w:r w:rsidRPr="007348C1">
        <w:tab/>
      </w:r>
      <w:r w:rsidRPr="007348C1">
        <w:tab/>
        <w:t>12-15</w:t>
      </w:r>
      <w:r w:rsidRPr="007348C1">
        <w:tab/>
      </w:r>
      <w:r w:rsidR="00642849">
        <w:t>5</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B.</w:t>
      </w:r>
      <w:r w:rsidRPr="007348C1">
        <w:tab/>
      </w:r>
      <w:r w:rsidR="007348C1">
        <w:rPr>
          <w:lang w:val="fr-FR"/>
        </w:rPr>
        <w:t>Interdiction pour les membres d’équipage d’ouvrir un colis</w:t>
      </w:r>
      <w:r w:rsidRPr="007348C1">
        <w:tab/>
      </w:r>
      <w:r w:rsidRPr="007348C1">
        <w:tab/>
        <w:t>16</w:t>
      </w:r>
      <w:r w:rsidRPr="007348C1">
        <w:tab/>
      </w:r>
      <w:r w:rsidR="00642849">
        <w:t>5</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t>VI.</w:t>
      </w:r>
      <w:r w:rsidRPr="007348C1">
        <w:tab/>
      </w:r>
      <w:r w:rsidR="007348C1">
        <w:t>Travaux de la Réunion commune RID/ADR/ADN</w:t>
      </w:r>
      <w:r w:rsidR="007348C1" w:rsidRPr="00556C9E">
        <w:rPr>
          <w:lang w:val="fr-FR"/>
        </w:rPr>
        <w:t xml:space="preserve"> (point </w:t>
      </w:r>
      <w:r w:rsidR="007348C1">
        <w:rPr>
          <w:lang w:val="fr-FR"/>
        </w:rPr>
        <w:t>5</w:t>
      </w:r>
      <w:r w:rsidR="007348C1" w:rsidRPr="00556C9E">
        <w:rPr>
          <w:lang w:val="fr-FR"/>
        </w:rPr>
        <w:t xml:space="preserve"> de l’ordre du jour)</w:t>
      </w:r>
      <w:r w:rsidRPr="007348C1">
        <w:tab/>
      </w:r>
      <w:r w:rsidRPr="007348C1">
        <w:tab/>
        <w:t>17-35</w:t>
      </w:r>
      <w:r w:rsidRPr="007348C1">
        <w:tab/>
      </w:r>
      <w:r w:rsidR="00642849">
        <w:t>6</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A.</w:t>
      </w:r>
      <w:r w:rsidRPr="007348C1">
        <w:tab/>
      </w:r>
      <w:r w:rsidR="007348C1" w:rsidRPr="004B4555">
        <w:rPr>
          <w:lang w:val="fr-FR"/>
        </w:rPr>
        <w:t>Généralités</w:t>
      </w:r>
      <w:r w:rsidRPr="007348C1">
        <w:tab/>
      </w:r>
      <w:r w:rsidRPr="007348C1">
        <w:tab/>
        <w:t>17</w:t>
      </w:r>
      <w:r w:rsidRPr="007348C1">
        <w:tab/>
      </w:r>
      <w:r w:rsidR="00642849">
        <w:t>6</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B.</w:t>
      </w:r>
      <w:r w:rsidRPr="007348C1">
        <w:tab/>
      </w:r>
      <w:r w:rsidR="007348C1" w:rsidRPr="004B4555">
        <w:rPr>
          <w:lang w:val="fr-FR"/>
        </w:rPr>
        <w:t>Questions spécifiques</w:t>
      </w:r>
      <w:r w:rsidRPr="007348C1">
        <w:tab/>
      </w:r>
      <w:r w:rsidRPr="007348C1">
        <w:tab/>
        <w:t>18-35</w:t>
      </w:r>
      <w:r w:rsidRPr="007348C1">
        <w:tab/>
      </w:r>
      <w:r w:rsidR="00642849">
        <w:t>6</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1.</w:t>
      </w:r>
      <w:r w:rsidRPr="007348C1">
        <w:tab/>
      </w:r>
      <w:r w:rsidR="007348C1">
        <w:rPr>
          <w:lang w:val="fr-FR"/>
        </w:rPr>
        <w:t>Disposition transitoire 1.6.1.20</w:t>
      </w:r>
      <w:r w:rsidRPr="007348C1">
        <w:tab/>
      </w:r>
      <w:r w:rsidRPr="007348C1">
        <w:tab/>
        <w:t>18</w:t>
      </w:r>
      <w:r w:rsidRPr="007348C1">
        <w:tab/>
      </w:r>
      <w:r w:rsidR="00642849">
        <w:t>6</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2.</w:t>
      </w:r>
      <w:r w:rsidRPr="007348C1">
        <w:tab/>
      </w:r>
      <w:r w:rsidR="007348C1">
        <w:rPr>
          <w:lang w:val="fr-FR"/>
        </w:rPr>
        <w:t>Champ d’application de la disposition spéciale 668</w:t>
      </w:r>
      <w:r w:rsidRPr="007348C1">
        <w:tab/>
      </w:r>
      <w:r w:rsidRPr="007348C1">
        <w:tab/>
        <w:t>19</w:t>
      </w:r>
      <w:r w:rsidRPr="007348C1">
        <w:tab/>
      </w:r>
      <w:r w:rsidR="00642849">
        <w:t>6</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3.</w:t>
      </w:r>
      <w:r w:rsidRPr="007348C1">
        <w:tab/>
      </w:r>
      <w:r w:rsidR="007348C1">
        <w:rPr>
          <w:lang w:val="fr-FR"/>
        </w:rPr>
        <w:t>Disposition spéciale 636 b)</w:t>
      </w:r>
      <w:r w:rsidRPr="007348C1">
        <w:tab/>
      </w:r>
      <w:r w:rsidRPr="007348C1">
        <w:tab/>
        <w:t>20</w:t>
      </w:r>
      <w:r w:rsidRPr="007348C1">
        <w:tab/>
      </w:r>
      <w:r w:rsidR="00642849">
        <w:t>6</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4.</w:t>
      </w:r>
      <w:r w:rsidRPr="007348C1">
        <w:tab/>
      </w:r>
      <w:r w:rsidR="007348C1">
        <w:rPr>
          <w:lang w:val="fr-FR"/>
        </w:rPr>
        <w:t>Nouvelles dispositions relatives au t</w:t>
      </w:r>
      <w:r w:rsidR="007348C1" w:rsidRPr="00676019">
        <w:rPr>
          <w:lang w:val="fr-FR"/>
        </w:rPr>
        <w:t xml:space="preserve">ransport de véhicules, </w:t>
      </w:r>
      <w:r w:rsidR="007348C1">
        <w:rPr>
          <w:lang w:val="fr-FR"/>
        </w:rPr>
        <w:br/>
      </w:r>
      <w:r w:rsidR="007348C1">
        <w:rPr>
          <w:lang w:val="fr-FR"/>
        </w:rPr>
        <w:tab/>
      </w:r>
      <w:r w:rsidR="007348C1">
        <w:rPr>
          <w:lang w:val="fr-FR"/>
        </w:rPr>
        <w:tab/>
      </w:r>
      <w:r w:rsidR="007348C1" w:rsidRPr="00676019">
        <w:rPr>
          <w:lang w:val="fr-FR"/>
        </w:rPr>
        <w:t>moteurs et machines</w:t>
      </w:r>
      <w:r w:rsidRPr="007348C1">
        <w:tab/>
      </w:r>
      <w:r w:rsidRPr="007348C1">
        <w:tab/>
        <w:t>21-25</w:t>
      </w:r>
      <w:r w:rsidRPr="007348C1">
        <w:tab/>
      </w:r>
      <w:r w:rsidR="00642849">
        <w:t>6</w:t>
      </w:r>
    </w:p>
    <w:p w:rsidR="002E2C91" w:rsidRPr="00C027DB"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r>
      <w:r w:rsidRPr="00C027DB">
        <w:t>5.</w:t>
      </w:r>
      <w:r w:rsidRPr="00C027DB">
        <w:tab/>
      </w:r>
      <w:r w:rsidR="007348C1">
        <w:rPr>
          <w:lang w:val="fr-FR"/>
        </w:rPr>
        <w:t>Matières qui polymérisent</w:t>
      </w:r>
      <w:r w:rsidRPr="00C027DB">
        <w:tab/>
      </w:r>
      <w:r w:rsidRPr="00C027DB">
        <w:tab/>
        <w:t>26</w:t>
      </w:r>
      <w:r w:rsidRPr="00C027DB">
        <w:tab/>
      </w:r>
      <w:r w:rsidR="00642849">
        <w:t>7</w:t>
      </w:r>
    </w:p>
    <w:p w:rsidR="002E2C91" w:rsidRPr="00C027DB"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C027DB">
        <w:lastRenderedPageBreak/>
        <w:tab/>
      </w:r>
      <w:r w:rsidRPr="00C027DB">
        <w:tab/>
      </w:r>
      <w:r w:rsidRPr="00C027DB">
        <w:tab/>
        <w:t>6.</w:t>
      </w:r>
      <w:r w:rsidRPr="00C027DB">
        <w:tab/>
        <w:t>4.1.1.19.1</w:t>
      </w:r>
      <w:r w:rsidRPr="00C027DB">
        <w:tab/>
      </w:r>
      <w:r w:rsidRPr="00C027DB">
        <w:tab/>
        <w:t>27</w:t>
      </w:r>
      <w:r w:rsidRPr="00C027DB">
        <w:tab/>
      </w:r>
      <w:r w:rsidR="00642849">
        <w:t>7</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C027DB">
        <w:tab/>
      </w:r>
      <w:r w:rsidRPr="00C027DB">
        <w:tab/>
      </w:r>
      <w:r w:rsidRPr="00C027DB">
        <w:tab/>
      </w:r>
      <w:r w:rsidRPr="007348C1">
        <w:t>7.</w:t>
      </w:r>
      <w:r w:rsidRPr="007348C1">
        <w:tab/>
      </w:r>
      <w:r w:rsidR="007348C1">
        <w:rPr>
          <w:lang w:val="fr-FR"/>
        </w:rPr>
        <w:t>Instruction d’emballage P200 (5)</w:t>
      </w:r>
      <w:r w:rsidRPr="007348C1">
        <w:tab/>
      </w:r>
      <w:r w:rsidRPr="007348C1">
        <w:tab/>
        <w:t>28</w:t>
      </w:r>
      <w:r w:rsidRPr="007348C1">
        <w:tab/>
      </w:r>
      <w:r w:rsidR="00642849">
        <w:t>7</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8.</w:t>
      </w:r>
      <w:r w:rsidRPr="007348C1">
        <w:tab/>
      </w:r>
      <w:r w:rsidR="007348C1">
        <w:rPr>
          <w:lang w:val="fr-FR"/>
        </w:rPr>
        <w:t>Consignes écrites</w:t>
      </w:r>
      <w:r w:rsidRPr="007348C1">
        <w:tab/>
      </w:r>
      <w:r w:rsidRPr="007348C1">
        <w:tab/>
        <w:t>29-31</w:t>
      </w:r>
      <w:r w:rsidRPr="007348C1">
        <w:tab/>
      </w:r>
      <w:r w:rsidR="00642849">
        <w:t>7</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9.</w:t>
      </w:r>
      <w:r w:rsidRPr="007348C1">
        <w:tab/>
      </w:r>
      <w:r w:rsidR="007348C1">
        <w:rPr>
          <w:lang w:val="fr-FR"/>
        </w:rPr>
        <w:t>Référence à la norme EN 13094:2015</w:t>
      </w:r>
      <w:r w:rsidRPr="007348C1">
        <w:tab/>
      </w:r>
      <w:r w:rsidRPr="007348C1">
        <w:tab/>
        <w:t>32</w:t>
      </w:r>
      <w:r w:rsidRPr="007348C1">
        <w:tab/>
      </w:r>
      <w:r w:rsidR="00642849">
        <w:t>8</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10.</w:t>
      </w:r>
      <w:r w:rsidRPr="007348C1">
        <w:tab/>
      </w:r>
      <w:r w:rsidR="007348C1">
        <w:rPr>
          <w:lang w:val="fr-FR"/>
        </w:rPr>
        <w:t>Sous-section 1.4.2.2 - Transporteur</w:t>
      </w:r>
      <w:r w:rsidRPr="007348C1">
        <w:tab/>
      </w:r>
      <w:r w:rsidRPr="007348C1">
        <w:tab/>
        <w:t>33-34</w:t>
      </w:r>
      <w:r w:rsidRPr="007348C1">
        <w:tab/>
      </w:r>
      <w:r w:rsidR="00642849">
        <w:t>8</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11.</w:t>
      </w:r>
      <w:r w:rsidRPr="007348C1">
        <w:tab/>
      </w:r>
      <w:r w:rsidR="007348C1">
        <w:rPr>
          <w:lang w:val="fr-FR"/>
        </w:rPr>
        <w:t>Utilisation des termes «véhicule» et «unité de transport»</w:t>
      </w:r>
      <w:r w:rsidRPr="007348C1">
        <w:tab/>
      </w:r>
      <w:r w:rsidRPr="007348C1">
        <w:tab/>
        <w:t>35</w:t>
      </w:r>
      <w:r w:rsidRPr="007348C1">
        <w:tab/>
      </w:r>
      <w:r w:rsidR="00642849">
        <w:t>8</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t>VII.</w:t>
      </w:r>
      <w:r w:rsidRPr="007348C1">
        <w:tab/>
      </w:r>
      <w:r w:rsidR="007348C1" w:rsidRPr="006615B4">
        <w:rPr>
          <w:lang w:val="fr-FR"/>
        </w:rPr>
        <w:t>Propositions d'amendement aux annexes A et B de l'ADR</w:t>
      </w:r>
      <w:r w:rsidR="007348C1">
        <w:rPr>
          <w:lang w:val="fr-FR"/>
        </w:rPr>
        <w:t xml:space="preserve"> </w:t>
      </w:r>
      <w:r w:rsidR="007348C1">
        <w:rPr>
          <w:lang w:val="fr-FR"/>
        </w:rPr>
        <w:br/>
        <w:t>(point 6 de l’ordre du jour)</w:t>
      </w:r>
      <w:r w:rsidRPr="007348C1">
        <w:tab/>
      </w:r>
      <w:r w:rsidRPr="007348C1">
        <w:tab/>
        <w:t>36-54</w:t>
      </w:r>
      <w:r w:rsidRPr="007348C1">
        <w:tab/>
      </w:r>
      <w:r w:rsidR="00642849">
        <w:t>8</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A.</w:t>
      </w:r>
      <w:r w:rsidRPr="007348C1">
        <w:tab/>
      </w:r>
      <w:r w:rsidR="007348C1" w:rsidRPr="006615B4">
        <w:rPr>
          <w:lang w:val="fr-FR"/>
        </w:rPr>
        <w:t>Construction et agrément des véhicules</w:t>
      </w:r>
      <w:r w:rsidRPr="007348C1">
        <w:tab/>
      </w:r>
      <w:r w:rsidRPr="007348C1">
        <w:tab/>
        <w:t>36-42</w:t>
      </w:r>
      <w:r w:rsidRPr="007348C1">
        <w:tab/>
      </w:r>
      <w:r w:rsidR="00642849">
        <w:t>8</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1.</w:t>
      </w:r>
      <w:r w:rsidRPr="007348C1">
        <w:tab/>
      </w:r>
      <w:r w:rsidR="007348C1">
        <w:rPr>
          <w:lang w:val="fr-FR"/>
        </w:rPr>
        <w:t>E</w:t>
      </w:r>
      <w:r w:rsidR="007348C1" w:rsidRPr="00F876E7">
        <w:rPr>
          <w:lang w:val="fr-FR"/>
        </w:rPr>
        <w:t>quipement électrique des véhicules transportant des</w:t>
      </w:r>
      <w:r w:rsidR="007348C1">
        <w:rPr>
          <w:lang w:val="fr-FR"/>
        </w:rPr>
        <w:br/>
      </w:r>
      <w:r w:rsidR="007348C1">
        <w:rPr>
          <w:lang w:val="fr-FR"/>
        </w:rPr>
        <w:tab/>
      </w:r>
      <w:r w:rsidR="007348C1">
        <w:rPr>
          <w:lang w:val="fr-FR"/>
        </w:rPr>
        <w:tab/>
      </w:r>
      <w:r w:rsidR="007348C1" w:rsidRPr="00F876E7">
        <w:rPr>
          <w:lang w:val="fr-FR"/>
        </w:rPr>
        <w:t>marchandises dangereuses</w:t>
      </w:r>
      <w:r w:rsidRPr="007348C1">
        <w:tab/>
      </w:r>
      <w:r w:rsidRPr="007348C1">
        <w:tab/>
        <w:t>36-38</w:t>
      </w:r>
      <w:r w:rsidRPr="007348C1">
        <w:tab/>
      </w:r>
      <w:r w:rsidR="00642849">
        <w:t>8</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2.</w:t>
      </w:r>
      <w:r w:rsidRPr="007348C1">
        <w:tab/>
      </w:r>
      <w:r w:rsidR="007348C1" w:rsidRPr="004369FC">
        <w:rPr>
          <w:lang w:val="fr-FR"/>
        </w:rPr>
        <w:t xml:space="preserve">Utilisation du gaz naturel liquéfié (GNL), du gaz naturel comprimé (GNC) </w:t>
      </w:r>
      <w:r w:rsidR="007348C1">
        <w:rPr>
          <w:lang w:val="fr-FR"/>
        </w:rPr>
        <w:br/>
      </w:r>
      <w:r w:rsidR="007348C1">
        <w:rPr>
          <w:lang w:val="fr-FR"/>
        </w:rPr>
        <w:tab/>
      </w:r>
      <w:r w:rsidR="007348C1">
        <w:rPr>
          <w:lang w:val="fr-FR"/>
        </w:rPr>
        <w:tab/>
      </w:r>
      <w:r w:rsidR="007348C1" w:rsidRPr="004369FC">
        <w:rPr>
          <w:lang w:val="fr-FR"/>
        </w:rPr>
        <w:t xml:space="preserve">et du gaz de pétrole liquéfié (GPL) en tant que carburant pour les véhicules </w:t>
      </w:r>
      <w:r w:rsidR="007348C1">
        <w:rPr>
          <w:lang w:val="fr-FR"/>
        </w:rPr>
        <w:br/>
      </w:r>
      <w:r w:rsidR="007348C1">
        <w:rPr>
          <w:lang w:val="fr-FR"/>
        </w:rPr>
        <w:tab/>
      </w:r>
      <w:r w:rsidR="007348C1">
        <w:rPr>
          <w:lang w:val="fr-FR"/>
        </w:rPr>
        <w:tab/>
      </w:r>
      <w:r w:rsidR="007348C1" w:rsidRPr="004369FC">
        <w:rPr>
          <w:lang w:val="fr-FR"/>
        </w:rPr>
        <w:t>transportant des marchandises dangereuses</w:t>
      </w:r>
      <w:r w:rsidRPr="007348C1">
        <w:tab/>
      </w:r>
      <w:r w:rsidRPr="007348C1">
        <w:tab/>
        <w:t>39-41</w:t>
      </w:r>
      <w:r w:rsidRPr="007348C1">
        <w:tab/>
      </w:r>
      <w:r w:rsidR="00642849">
        <w:t>9</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3.</w:t>
      </w:r>
      <w:r w:rsidRPr="007348C1">
        <w:tab/>
      </w:r>
      <w:r w:rsidR="007348C1" w:rsidRPr="004369FC">
        <w:rPr>
          <w:lang w:val="fr-FR"/>
        </w:rPr>
        <w:t>Règlement ECE No 13</w:t>
      </w:r>
      <w:r w:rsidRPr="007348C1">
        <w:tab/>
      </w:r>
      <w:r w:rsidRPr="007348C1">
        <w:tab/>
        <w:t>42</w:t>
      </w:r>
      <w:r w:rsidRPr="007348C1">
        <w:tab/>
      </w:r>
      <w:r w:rsidR="00642849">
        <w:t>9</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t>B.</w:t>
      </w:r>
      <w:r w:rsidRPr="007348C1">
        <w:tab/>
      </w:r>
      <w:r w:rsidR="007348C1" w:rsidRPr="006615B4">
        <w:rPr>
          <w:lang w:val="fr-FR"/>
        </w:rPr>
        <w:t>Propositions diverses</w:t>
      </w:r>
      <w:r w:rsidRPr="007348C1">
        <w:tab/>
      </w:r>
      <w:r w:rsidRPr="007348C1">
        <w:tab/>
        <w:t>43-54</w:t>
      </w:r>
      <w:r w:rsidRPr="007348C1">
        <w:tab/>
      </w:r>
      <w:r w:rsidR="00642849">
        <w:t>9</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1.</w:t>
      </w:r>
      <w:r w:rsidRPr="007348C1">
        <w:tab/>
      </w:r>
      <w:r w:rsidR="007348C1">
        <w:t>D</w:t>
      </w:r>
      <w:r w:rsidR="007348C1" w:rsidRPr="00CC65C3">
        <w:t>éfinition du transport par des particuliers selon le 1.1.3.1 a)</w:t>
      </w:r>
      <w:r w:rsidRPr="007348C1">
        <w:tab/>
      </w:r>
      <w:r w:rsidRPr="007348C1">
        <w:tab/>
        <w:t>43-45</w:t>
      </w:r>
      <w:r w:rsidRPr="007348C1">
        <w:tab/>
      </w:r>
      <w:r w:rsidR="00642849">
        <w:t>9</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2.</w:t>
      </w:r>
      <w:r w:rsidRPr="007348C1">
        <w:tab/>
      </w:r>
      <w:r w:rsidR="007348C1" w:rsidRPr="004369FC">
        <w:rPr>
          <w:lang w:val="fr-FR"/>
        </w:rPr>
        <w:t>Certificat d’empotage conformément au code IMDG</w:t>
      </w:r>
      <w:r w:rsidRPr="007348C1">
        <w:tab/>
      </w:r>
      <w:r w:rsidRPr="007348C1">
        <w:tab/>
        <w:t>46-47</w:t>
      </w:r>
      <w:r w:rsidRPr="007348C1">
        <w:tab/>
      </w:r>
      <w:r w:rsidR="00642849">
        <w:t>9</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3.</w:t>
      </w:r>
      <w:r w:rsidRPr="007348C1">
        <w:tab/>
      </w:r>
      <w:r w:rsidR="007348C1" w:rsidRPr="004369FC">
        <w:rPr>
          <w:lang w:val="fr-FR"/>
        </w:rPr>
        <w:t>Limitations relatives aux matières et objets explosibles</w:t>
      </w:r>
      <w:r w:rsidRPr="007348C1">
        <w:tab/>
      </w:r>
      <w:r w:rsidRPr="007348C1">
        <w:tab/>
        <w:t>48</w:t>
      </w:r>
      <w:r w:rsidRPr="007348C1">
        <w:tab/>
      </w:r>
      <w:r w:rsidR="00642849">
        <w:t>9</w:t>
      </w:r>
    </w:p>
    <w:p w:rsidR="002E2C91" w:rsidRPr="007348C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t>4.</w:t>
      </w:r>
      <w:r w:rsidRPr="007348C1">
        <w:tab/>
      </w:r>
      <w:r w:rsidR="007348C1" w:rsidRPr="004369FC">
        <w:rPr>
          <w:lang w:val="fr-FR"/>
        </w:rPr>
        <w:t>Simplification du texte du 1.9.5.2.2 pour la catégorie de tunnel E</w:t>
      </w:r>
      <w:r w:rsidRPr="007348C1">
        <w:tab/>
      </w:r>
      <w:r w:rsidRPr="007348C1">
        <w:tab/>
        <w:t>49-50</w:t>
      </w:r>
      <w:r w:rsidRPr="007348C1">
        <w:tab/>
      </w:r>
      <w:r w:rsidR="00642849">
        <w:t>10</w:t>
      </w:r>
    </w:p>
    <w:p w:rsidR="002E2C91" w:rsidRPr="00C027DB"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7348C1">
        <w:tab/>
      </w:r>
      <w:r w:rsidRPr="007348C1">
        <w:tab/>
      </w:r>
      <w:r w:rsidRPr="007348C1">
        <w:tab/>
      </w:r>
      <w:r w:rsidRPr="00C027DB">
        <w:t>5.</w:t>
      </w:r>
      <w:r w:rsidRPr="00C027DB">
        <w:tab/>
        <w:t>5.4.1.1.1 (f)</w:t>
      </w:r>
      <w:r w:rsidRPr="00C027DB">
        <w:tab/>
      </w:r>
      <w:r w:rsidRPr="00C027DB">
        <w:tab/>
        <w:t>51</w:t>
      </w:r>
      <w:r w:rsidRPr="00C027DB">
        <w:tab/>
      </w:r>
      <w:r w:rsidR="00642849">
        <w:t>10</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C027DB">
        <w:tab/>
      </w:r>
      <w:r w:rsidRPr="00C027DB">
        <w:tab/>
      </w:r>
      <w:r w:rsidRPr="00C027DB">
        <w:tab/>
      </w:r>
      <w:r w:rsidRPr="00A3510A">
        <w:t>6.</w:t>
      </w:r>
      <w:r w:rsidRPr="00A3510A">
        <w:tab/>
      </w:r>
      <w:r w:rsidR="00A3510A" w:rsidRPr="004369FC">
        <w:rPr>
          <w:lang w:val="fr-FR"/>
        </w:rPr>
        <w:t>Mise à jour de la norme EN 590</w:t>
      </w:r>
      <w:r w:rsidRPr="00A3510A">
        <w:tab/>
      </w:r>
      <w:r w:rsidRPr="00A3510A">
        <w:tab/>
        <w:t>52</w:t>
      </w:r>
      <w:r w:rsidRPr="00A3510A">
        <w:tab/>
      </w:r>
      <w:r w:rsidR="00642849">
        <w:t>10</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r>
      <w:r w:rsidRPr="00A3510A">
        <w:tab/>
      </w:r>
      <w:r w:rsidRPr="00A3510A">
        <w:tab/>
        <w:t>7.</w:t>
      </w:r>
      <w:r w:rsidRPr="00A3510A">
        <w:tab/>
      </w:r>
      <w:r w:rsidR="00A3510A" w:rsidRPr="004369FC">
        <w:rPr>
          <w:lang w:val="fr-FR"/>
        </w:rPr>
        <w:t xml:space="preserve">Possibilité d’utilisation de procédures électroniques pour l’examen </w:t>
      </w:r>
      <w:r w:rsidR="00A3510A">
        <w:rPr>
          <w:lang w:val="fr-FR"/>
        </w:rPr>
        <w:br/>
      </w:r>
      <w:r w:rsidR="00A3510A">
        <w:rPr>
          <w:lang w:val="fr-FR"/>
        </w:rPr>
        <w:tab/>
      </w:r>
      <w:r w:rsidR="00A3510A">
        <w:rPr>
          <w:lang w:val="fr-FR"/>
        </w:rPr>
        <w:tab/>
      </w:r>
      <w:r w:rsidR="00A3510A" w:rsidRPr="004369FC">
        <w:rPr>
          <w:lang w:val="fr-FR"/>
        </w:rPr>
        <w:t>des conducteurs de véhicules ADR</w:t>
      </w:r>
      <w:r w:rsidRPr="00A3510A">
        <w:tab/>
      </w:r>
      <w:r w:rsidRPr="00A3510A">
        <w:tab/>
        <w:t>53</w:t>
      </w:r>
      <w:r w:rsidRPr="00A3510A">
        <w:tab/>
      </w:r>
      <w:r w:rsidR="00642849">
        <w:t>10</w:t>
      </w:r>
    </w:p>
    <w:p w:rsidR="002E2C91" w:rsidRPr="00E04873"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r>
      <w:r w:rsidRPr="00A3510A">
        <w:tab/>
      </w:r>
      <w:r w:rsidRPr="00A3510A">
        <w:tab/>
      </w:r>
      <w:r w:rsidRPr="00E04873">
        <w:t>8.</w:t>
      </w:r>
      <w:r w:rsidRPr="00E04873">
        <w:tab/>
      </w:r>
      <w:r w:rsidR="00A3510A">
        <w:rPr>
          <w:lang w:val="fr-FR"/>
        </w:rPr>
        <w:t>Disposition spéciale 664</w:t>
      </w:r>
      <w:r w:rsidRPr="00E04873">
        <w:tab/>
      </w:r>
      <w:r w:rsidRPr="00E04873">
        <w:tab/>
        <w:t>54</w:t>
      </w:r>
      <w:r w:rsidRPr="00E04873">
        <w:tab/>
      </w:r>
      <w:r w:rsidR="00642849">
        <w:t>10</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E04873">
        <w:tab/>
        <w:t>VIII.</w:t>
      </w:r>
      <w:r w:rsidRPr="00E04873">
        <w:tab/>
      </w:r>
      <w:r w:rsidR="00A3510A" w:rsidRPr="004369FC">
        <w:rPr>
          <w:lang w:val="fr-FR"/>
        </w:rPr>
        <w:t>Programme de travail (point 7 de l’ordre du jour)</w:t>
      </w:r>
      <w:r w:rsidRPr="00A3510A">
        <w:tab/>
      </w:r>
      <w:r w:rsidRPr="00A3510A">
        <w:tab/>
        <w:t>55-62</w:t>
      </w:r>
      <w:r w:rsidRPr="00A3510A">
        <w:tab/>
      </w:r>
      <w:r w:rsidR="00642849">
        <w:t>10</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r>
      <w:r w:rsidRPr="00A3510A">
        <w:tab/>
        <w:t>A.</w:t>
      </w:r>
      <w:r w:rsidRPr="00A3510A">
        <w:tab/>
      </w:r>
      <w:r w:rsidR="00A3510A" w:rsidRPr="004369FC">
        <w:rPr>
          <w:lang w:val="fr-FR"/>
        </w:rPr>
        <w:t>Projet de programme de travail pour la période 2016-2020</w:t>
      </w:r>
      <w:r w:rsidRPr="00A3510A">
        <w:tab/>
      </w:r>
      <w:r w:rsidRPr="00A3510A">
        <w:tab/>
        <w:t>55</w:t>
      </w:r>
      <w:r w:rsidRPr="00A3510A">
        <w:tab/>
      </w:r>
      <w:r w:rsidR="00642849">
        <w:t>10</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r>
      <w:r w:rsidRPr="00A3510A">
        <w:tab/>
        <w:t>B.</w:t>
      </w:r>
      <w:r w:rsidRPr="00A3510A">
        <w:tab/>
        <w:t>Amend</w:t>
      </w:r>
      <w:r w:rsidR="00E04873">
        <w:t>e</w:t>
      </w:r>
      <w:r w:rsidRPr="00A3510A">
        <w:t xml:space="preserve">ments </w:t>
      </w:r>
      <w:r w:rsidR="00A3510A" w:rsidRPr="00A3510A">
        <w:t>de</w:t>
      </w:r>
      <w:r w:rsidRPr="00A3510A">
        <w:t xml:space="preserve"> 2017</w:t>
      </w:r>
      <w:r w:rsidRPr="00A3510A">
        <w:tab/>
      </w:r>
      <w:r w:rsidRPr="00A3510A">
        <w:tab/>
        <w:t>56-57</w:t>
      </w:r>
      <w:r w:rsidRPr="00A3510A">
        <w:tab/>
      </w:r>
      <w:r w:rsidR="002A7BA7">
        <w:t>1</w:t>
      </w:r>
      <w:r w:rsidR="00642849">
        <w:t>1</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r>
      <w:r w:rsidRPr="00A3510A">
        <w:tab/>
        <w:t>C.</w:t>
      </w:r>
      <w:r w:rsidRPr="00A3510A">
        <w:tab/>
      </w:r>
      <w:r w:rsidR="00A3510A" w:rsidRPr="004369FC">
        <w:rPr>
          <w:lang w:val="fr-FR"/>
        </w:rPr>
        <w:t>Centième session</w:t>
      </w:r>
      <w:r w:rsidRPr="00A3510A">
        <w:tab/>
      </w:r>
      <w:r w:rsidRPr="00A3510A">
        <w:tab/>
        <w:t>58</w:t>
      </w:r>
      <w:r w:rsidRPr="00A3510A">
        <w:tab/>
      </w:r>
      <w:r w:rsidR="002A7BA7">
        <w:t>1</w:t>
      </w:r>
      <w:r w:rsidR="00642849">
        <w:t>1</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r>
      <w:r w:rsidRPr="00A3510A">
        <w:tab/>
        <w:t>D.</w:t>
      </w:r>
      <w:r w:rsidRPr="00A3510A">
        <w:tab/>
      </w:r>
      <w:r w:rsidR="00A3510A" w:rsidRPr="005915A5">
        <w:rPr>
          <w:lang w:val="fr-FR"/>
        </w:rPr>
        <w:t xml:space="preserve">Évaluations </w:t>
      </w:r>
      <w:r w:rsidR="00A3510A" w:rsidRPr="00502885">
        <w:rPr>
          <w:lang w:val="fr-FR"/>
        </w:rPr>
        <w:t>bisannuelles</w:t>
      </w:r>
      <w:r w:rsidRPr="00A3510A">
        <w:tab/>
      </w:r>
      <w:r w:rsidRPr="00A3510A">
        <w:tab/>
        <w:t>59-62</w:t>
      </w:r>
      <w:r w:rsidRPr="00A3510A">
        <w:tab/>
      </w:r>
      <w:r w:rsidR="002A7BA7">
        <w:t>1</w:t>
      </w:r>
      <w:r w:rsidR="00642849">
        <w:t>1</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t>IX.</w:t>
      </w:r>
      <w:r w:rsidRPr="00A3510A">
        <w:tab/>
      </w:r>
      <w:r w:rsidR="00A3510A" w:rsidRPr="00F928CE">
        <w:t>É</w:t>
      </w:r>
      <w:r w:rsidR="00A3510A" w:rsidRPr="00E92B2E">
        <w:t xml:space="preserve">lection </w:t>
      </w:r>
      <w:r w:rsidR="00A3510A">
        <w:t>du bureau pour</w:t>
      </w:r>
      <w:r w:rsidR="00A3510A" w:rsidRPr="00E92B2E">
        <w:t xml:space="preserve"> 20</w:t>
      </w:r>
      <w:r w:rsidR="00A3510A">
        <w:t>16</w:t>
      </w:r>
      <w:r w:rsidR="00A3510A" w:rsidRPr="005915A5">
        <w:rPr>
          <w:lang w:val="fr-FR"/>
        </w:rPr>
        <w:t xml:space="preserve"> (point 9 de l’ordre du jour)</w:t>
      </w:r>
      <w:r w:rsidRPr="00A3510A">
        <w:tab/>
      </w:r>
      <w:r w:rsidRPr="00A3510A">
        <w:tab/>
        <w:t>63</w:t>
      </w:r>
      <w:r w:rsidRPr="00A3510A">
        <w:tab/>
      </w:r>
      <w:r w:rsidR="002A7BA7">
        <w:t>1</w:t>
      </w:r>
      <w:r w:rsidR="00642849">
        <w:t>2</w:t>
      </w:r>
    </w:p>
    <w:p w:rsidR="002E2C91" w:rsidRPr="00A3510A"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t>X.</w:t>
      </w:r>
      <w:r w:rsidRPr="00A3510A">
        <w:tab/>
      </w:r>
      <w:r w:rsidR="00A3510A" w:rsidRPr="005915A5">
        <w:rPr>
          <w:lang w:val="fr-FR"/>
        </w:rPr>
        <w:t xml:space="preserve">Questions diverses (point </w:t>
      </w:r>
      <w:r w:rsidR="00A3510A">
        <w:rPr>
          <w:lang w:val="fr-FR"/>
        </w:rPr>
        <w:t>9</w:t>
      </w:r>
      <w:r w:rsidR="00A3510A" w:rsidRPr="005915A5">
        <w:rPr>
          <w:lang w:val="fr-FR"/>
        </w:rPr>
        <w:t xml:space="preserve"> de l’ordre du jour)</w:t>
      </w:r>
      <w:r w:rsidRPr="00A3510A">
        <w:tab/>
      </w:r>
      <w:r w:rsidRPr="00A3510A">
        <w:tab/>
        <w:t>64-65</w:t>
      </w:r>
      <w:r w:rsidRPr="00A3510A">
        <w:tab/>
        <w:t>1</w:t>
      </w:r>
      <w:r w:rsidR="00642849">
        <w:t>2</w:t>
      </w:r>
    </w:p>
    <w:p w:rsidR="002E2C91" w:rsidRDefault="002E2C91" w:rsidP="002E2C91">
      <w:pPr>
        <w:tabs>
          <w:tab w:val="right" w:pos="850"/>
          <w:tab w:val="left" w:pos="1134"/>
          <w:tab w:val="left" w:pos="1559"/>
          <w:tab w:val="left" w:pos="1984"/>
          <w:tab w:val="left" w:leader="dot" w:pos="7654"/>
          <w:tab w:val="right" w:pos="8929"/>
          <w:tab w:val="right" w:pos="9638"/>
        </w:tabs>
        <w:spacing w:after="120"/>
        <w:ind w:left="1134" w:hanging="1134"/>
      </w:pPr>
      <w:r w:rsidRPr="00A3510A">
        <w:tab/>
        <w:t>XI.</w:t>
      </w:r>
      <w:r w:rsidRPr="00A3510A">
        <w:tab/>
      </w:r>
      <w:r w:rsidR="00A3510A" w:rsidRPr="005915A5">
        <w:rPr>
          <w:lang w:val="fr-FR"/>
        </w:rPr>
        <w:t xml:space="preserve">Adoption du rapport (point </w:t>
      </w:r>
      <w:r w:rsidR="00A3510A">
        <w:rPr>
          <w:lang w:val="fr-FR"/>
        </w:rPr>
        <w:t>10</w:t>
      </w:r>
      <w:r w:rsidR="00A3510A" w:rsidRPr="005915A5">
        <w:rPr>
          <w:lang w:val="fr-FR"/>
        </w:rPr>
        <w:t xml:space="preserve"> de l’ordre du jour)</w:t>
      </w:r>
      <w:r w:rsidRPr="00A3510A">
        <w:tab/>
      </w:r>
      <w:r w:rsidRPr="00A3510A">
        <w:tab/>
        <w:t>66</w:t>
      </w:r>
      <w:r w:rsidRPr="00A3510A">
        <w:tab/>
        <w:t>1</w:t>
      </w:r>
      <w:r w:rsidR="00642849">
        <w:t>2</w:t>
      </w:r>
    </w:p>
    <w:p w:rsidR="00CA2573" w:rsidRDefault="00CA2573">
      <w:pPr>
        <w:suppressAutoHyphens w:val="0"/>
        <w:spacing w:line="240" w:lineRule="auto"/>
      </w:pPr>
      <w:r>
        <w:br w:type="page"/>
      </w:r>
    </w:p>
    <w:p w:rsidR="002E2C91" w:rsidRPr="00E04873" w:rsidRDefault="002E2C91" w:rsidP="00AD4B6D">
      <w:pPr>
        <w:pStyle w:val="HChG"/>
        <w:spacing w:before="240"/>
      </w:pPr>
      <w:r w:rsidRPr="00A3510A">
        <w:lastRenderedPageBreak/>
        <w:tab/>
      </w:r>
      <w:r w:rsidRPr="00E04873">
        <w:t>Annexes</w:t>
      </w:r>
    </w:p>
    <w:p w:rsidR="002E2C91" w:rsidRPr="00A3510A" w:rsidRDefault="002E2C91" w:rsidP="002E2C91">
      <w:pPr>
        <w:tabs>
          <w:tab w:val="right" w:pos="850"/>
          <w:tab w:val="left" w:pos="1134"/>
          <w:tab w:val="left" w:pos="1559"/>
          <w:tab w:val="left" w:pos="1984"/>
          <w:tab w:val="left" w:leader="dot" w:pos="8929"/>
          <w:tab w:val="right" w:pos="9638"/>
        </w:tabs>
        <w:spacing w:after="120"/>
      </w:pPr>
      <w:r w:rsidRPr="00E04873">
        <w:tab/>
      </w:r>
      <w:r w:rsidRPr="00A3510A">
        <w:t>I.</w:t>
      </w:r>
      <w:r w:rsidRPr="00A3510A">
        <w:tab/>
      </w:r>
      <w:r w:rsidR="00A3510A" w:rsidRPr="005915A5">
        <w:rPr>
          <w:lang w:val="fr-FR"/>
        </w:rPr>
        <w:t xml:space="preserve">Projet d’amendements </w:t>
      </w:r>
      <w:r w:rsidR="00A3510A">
        <w:rPr>
          <w:lang w:val="fr-FR"/>
        </w:rPr>
        <w:t xml:space="preserve">aux annexes A et B de l’ADR </w:t>
      </w:r>
      <w:r w:rsidR="00A3510A" w:rsidRPr="005915A5">
        <w:rPr>
          <w:lang w:val="fr-FR"/>
        </w:rPr>
        <w:t xml:space="preserve">pour </w:t>
      </w:r>
      <w:proofErr w:type="spellStart"/>
      <w:r w:rsidR="00A3510A" w:rsidRPr="005915A5">
        <w:rPr>
          <w:lang w:val="fr-FR"/>
        </w:rPr>
        <w:t>entrée</w:t>
      </w:r>
      <w:proofErr w:type="spellEnd"/>
      <w:r w:rsidR="00A3510A" w:rsidRPr="005915A5">
        <w:rPr>
          <w:lang w:val="fr-FR"/>
        </w:rPr>
        <w:t xml:space="preserve"> en vigueur </w:t>
      </w:r>
      <w:r w:rsidR="00A3510A">
        <w:rPr>
          <w:lang w:val="fr-FR"/>
        </w:rPr>
        <w:br/>
      </w:r>
      <w:r w:rsidR="00A3510A">
        <w:rPr>
          <w:lang w:val="fr-FR"/>
        </w:rPr>
        <w:tab/>
      </w:r>
      <w:r w:rsidR="00A3510A">
        <w:rPr>
          <w:lang w:val="fr-FR"/>
        </w:rPr>
        <w:tab/>
      </w:r>
      <w:r w:rsidR="00A3510A" w:rsidRPr="005915A5">
        <w:rPr>
          <w:lang w:val="fr-FR"/>
        </w:rPr>
        <w:t>le 1 janvier </w:t>
      </w:r>
      <w:r w:rsidR="00A3510A">
        <w:rPr>
          <w:lang w:val="fr-FR"/>
        </w:rPr>
        <w:t>2017</w:t>
      </w:r>
      <w:r w:rsidRPr="00A3510A">
        <w:tab/>
      </w:r>
      <w:r w:rsidRPr="00A3510A">
        <w:tab/>
        <w:t>1</w:t>
      </w:r>
      <w:r w:rsidR="00642849">
        <w:t>3</w:t>
      </w:r>
    </w:p>
    <w:p w:rsidR="002E2C91" w:rsidRDefault="002E2C91" w:rsidP="002E2C91">
      <w:pPr>
        <w:tabs>
          <w:tab w:val="right" w:pos="850"/>
          <w:tab w:val="left" w:pos="1134"/>
          <w:tab w:val="left" w:pos="1559"/>
          <w:tab w:val="left" w:pos="1984"/>
          <w:tab w:val="left" w:leader="dot" w:pos="8929"/>
          <w:tab w:val="right" w:pos="9638"/>
        </w:tabs>
        <w:spacing w:after="120"/>
        <w:ind w:left="1134" w:hanging="1134"/>
      </w:pPr>
      <w:r w:rsidRPr="00A3510A">
        <w:tab/>
        <w:t>II.</w:t>
      </w:r>
      <w:r w:rsidRPr="00A3510A">
        <w:tab/>
      </w:r>
      <w:r w:rsidR="00A3510A" w:rsidRPr="00614EFC">
        <w:rPr>
          <w:lang w:val="fr-FR"/>
        </w:rPr>
        <w:t xml:space="preserve">Projet de programme de travail pour </w:t>
      </w:r>
      <w:r w:rsidR="00A3510A">
        <w:rPr>
          <w:lang w:val="fr-FR"/>
        </w:rPr>
        <w:t>2016</w:t>
      </w:r>
      <w:r w:rsidR="00A3510A" w:rsidRPr="00614EFC">
        <w:rPr>
          <w:lang w:val="fr-FR"/>
        </w:rPr>
        <w:t>-</w:t>
      </w:r>
      <w:r w:rsidR="00A3510A">
        <w:rPr>
          <w:lang w:val="fr-FR"/>
        </w:rPr>
        <w:t>2020</w:t>
      </w:r>
      <w:r w:rsidRPr="00A3510A">
        <w:tab/>
      </w:r>
      <w:r w:rsidRPr="00A3510A">
        <w:tab/>
        <w:t>2</w:t>
      </w:r>
      <w:r w:rsidR="00642849">
        <w:t>8</w:t>
      </w:r>
    </w:p>
    <w:p w:rsidR="009C40C7" w:rsidRDefault="00642849" w:rsidP="002E2C91">
      <w:pPr>
        <w:tabs>
          <w:tab w:val="right" w:pos="850"/>
          <w:tab w:val="left" w:pos="1134"/>
          <w:tab w:val="left" w:pos="1559"/>
          <w:tab w:val="left" w:pos="1984"/>
          <w:tab w:val="left" w:leader="dot" w:pos="8929"/>
          <w:tab w:val="right" w:pos="9638"/>
        </w:tabs>
        <w:spacing w:after="120"/>
        <w:ind w:left="1134" w:hanging="1134"/>
        <w:rPr>
          <w:lang w:val="fr-FR"/>
        </w:rPr>
      </w:pPr>
      <w:r>
        <w:rPr>
          <w:lang w:val="fr-FR"/>
        </w:rPr>
        <w:tab/>
      </w:r>
      <w:r w:rsidR="009C40C7">
        <w:rPr>
          <w:lang w:val="fr-FR"/>
        </w:rPr>
        <w:t>III.</w:t>
      </w:r>
      <w:r w:rsidR="009C40C7">
        <w:rPr>
          <w:lang w:val="fr-FR"/>
        </w:rPr>
        <w:tab/>
      </w:r>
      <w:r w:rsidR="009C40C7" w:rsidRPr="005915A5">
        <w:rPr>
          <w:lang w:val="fr-FR"/>
        </w:rPr>
        <w:t xml:space="preserve">Projet </w:t>
      </w:r>
      <w:r w:rsidR="009C40C7" w:rsidRPr="00614EFC">
        <w:rPr>
          <w:lang w:val="fr-FR"/>
        </w:rPr>
        <w:t>de programme de travail pour</w:t>
      </w:r>
      <w:r w:rsidR="009C40C7">
        <w:rPr>
          <w:lang w:val="fr-FR"/>
        </w:rPr>
        <w:t xml:space="preserve"> 2016-2017</w:t>
      </w:r>
      <w:r w:rsidR="009C40C7">
        <w:rPr>
          <w:lang w:val="fr-FR"/>
        </w:rPr>
        <w:tab/>
      </w:r>
      <w:r w:rsidR="009C40C7">
        <w:rPr>
          <w:lang w:val="fr-FR"/>
        </w:rPr>
        <w:tab/>
      </w:r>
      <w:r>
        <w:rPr>
          <w:lang w:val="fr-FR"/>
        </w:rPr>
        <w:t>30</w:t>
      </w:r>
    </w:p>
    <w:p w:rsidR="009C40C7" w:rsidRPr="00A3510A" w:rsidRDefault="00642849" w:rsidP="002E2C91">
      <w:pPr>
        <w:tabs>
          <w:tab w:val="right" w:pos="850"/>
          <w:tab w:val="left" w:pos="1134"/>
          <w:tab w:val="left" w:pos="1559"/>
          <w:tab w:val="left" w:pos="1984"/>
          <w:tab w:val="left" w:leader="dot" w:pos="8929"/>
          <w:tab w:val="right" w:pos="9638"/>
        </w:tabs>
        <w:spacing w:after="120"/>
        <w:ind w:left="1134" w:hanging="1134"/>
      </w:pPr>
      <w:r>
        <w:rPr>
          <w:lang w:val="fr-FR"/>
        </w:rPr>
        <w:tab/>
      </w:r>
      <w:r w:rsidR="00CA2573">
        <w:rPr>
          <w:lang w:val="fr-FR"/>
        </w:rPr>
        <w:t>IV.</w:t>
      </w:r>
      <w:r w:rsidR="00CA2573">
        <w:rPr>
          <w:lang w:val="fr-FR"/>
        </w:rPr>
        <w:tab/>
      </w:r>
      <w:r w:rsidR="00CA2573" w:rsidRPr="00117CD8">
        <w:rPr>
          <w:lang w:val="fr-FR"/>
        </w:rPr>
        <w:t>Évaluations bisannuelles</w:t>
      </w:r>
      <w:r w:rsidR="00CA2573">
        <w:rPr>
          <w:lang w:val="fr-FR"/>
        </w:rPr>
        <w:tab/>
      </w:r>
      <w:r w:rsidR="00CA2573">
        <w:rPr>
          <w:lang w:val="fr-FR"/>
        </w:rPr>
        <w:tab/>
        <w:t>33</w:t>
      </w:r>
    </w:p>
    <w:p w:rsidR="00CE4E32" w:rsidRPr="00C6788B" w:rsidRDefault="009864BF" w:rsidP="00AD4B6D">
      <w:pPr>
        <w:pStyle w:val="HChG"/>
      </w:pPr>
      <w:r w:rsidRPr="00A3510A">
        <w:br w:type="page"/>
      </w:r>
      <w:r w:rsidR="00CE4E32" w:rsidRPr="00A3510A">
        <w:lastRenderedPageBreak/>
        <w:tab/>
      </w:r>
      <w:r w:rsidR="00CE4E32" w:rsidRPr="00C6788B">
        <w:t>I.</w:t>
      </w:r>
      <w:r w:rsidR="00CE4E32" w:rsidRPr="00C6788B">
        <w:tab/>
        <w:t>Participation</w:t>
      </w:r>
    </w:p>
    <w:p w:rsidR="00CE4E32" w:rsidRDefault="00CE4E32" w:rsidP="00CE4E32">
      <w:pPr>
        <w:pStyle w:val="SingleTxtG"/>
        <w:rPr>
          <w:lang w:val="fr-FR"/>
        </w:rPr>
      </w:pPr>
      <w:r w:rsidRPr="0054289D">
        <w:rPr>
          <w:lang w:val="fr-FR"/>
        </w:rPr>
        <w:t>1.</w:t>
      </w:r>
      <w:r w:rsidRPr="0054289D">
        <w:rPr>
          <w:lang w:val="fr-FR"/>
        </w:rPr>
        <w:tab/>
        <w:t>Le Groupe de travail des transports de marchandises dangereuses a tenu sa quatre-vingt-</w:t>
      </w:r>
      <w:r>
        <w:rPr>
          <w:bCs/>
          <w:lang w:val="fr-FR"/>
        </w:rPr>
        <w:t>dix-neuvième</w:t>
      </w:r>
      <w:r w:rsidRPr="0054289D">
        <w:rPr>
          <w:bCs/>
          <w:lang w:val="fr-FR"/>
        </w:rPr>
        <w:t xml:space="preserve"> </w:t>
      </w:r>
      <w:r w:rsidRPr="0054289D">
        <w:rPr>
          <w:lang w:val="fr-FR"/>
        </w:rPr>
        <w:t xml:space="preserve">session du </w:t>
      </w:r>
      <w:r>
        <w:rPr>
          <w:lang w:val="fr-FR"/>
        </w:rPr>
        <w:t>9</w:t>
      </w:r>
      <w:r w:rsidRPr="0054289D">
        <w:rPr>
          <w:lang w:val="fr-FR"/>
        </w:rPr>
        <w:t xml:space="preserve"> au </w:t>
      </w:r>
      <w:r>
        <w:rPr>
          <w:lang w:val="fr-FR"/>
        </w:rPr>
        <w:t>13 novembre</w:t>
      </w:r>
      <w:r w:rsidRPr="0054289D">
        <w:rPr>
          <w:lang w:val="fr-FR"/>
        </w:rPr>
        <w:t xml:space="preserve"> </w:t>
      </w:r>
      <w:r>
        <w:rPr>
          <w:lang w:val="fr-FR"/>
        </w:rPr>
        <w:t>2015</w:t>
      </w:r>
      <w:r w:rsidRPr="0054289D">
        <w:rPr>
          <w:lang w:val="fr-FR"/>
        </w:rPr>
        <w:t xml:space="preserve"> sous la présidence de M. J. A. Franco (Portugal) et la vice-présidence de Mme A. </w:t>
      </w:r>
      <w:proofErr w:type="spellStart"/>
      <w:r w:rsidRPr="0054289D">
        <w:rPr>
          <w:lang w:val="fr-FR"/>
        </w:rPr>
        <w:t>Roumier</w:t>
      </w:r>
      <w:proofErr w:type="spellEnd"/>
      <w:r w:rsidRPr="0054289D">
        <w:rPr>
          <w:lang w:val="fr-FR"/>
        </w:rPr>
        <w:t xml:space="preserve"> (France).</w:t>
      </w:r>
    </w:p>
    <w:p w:rsidR="00CE4E32" w:rsidRPr="0054289D" w:rsidRDefault="00CE4E32" w:rsidP="00CE4E32">
      <w:pPr>
        <w:pStyle w:val="SingleTxtG"/>
        <w:rPr>
          <w:lang w:val="fr-FR"/>
        </w:rPr>
      </w:pPr>
      <w:r w:rsidRPr="000B4B0A">
        <w:rPr>
          <w:lang w:val="fr-FR"/>
        </w:rPr>
        <w:t>2.</w:t>
      </w:r>
      <w:r w:rsidRPr="000B4B0A">
        <w:rPr>
          <w:lang w:val="fr-FR"/>
        </w:rPr>
        <w:tab/>
        <w:t>Ont pris part à ses travaux des représentants des pays suivants: Allemagne, Autriche, Belgique, Danemark, Espagne, Fédération de Russie, Finlande, France, Hongrie, Irlande, Italie, Lettonie, Lituanie, Luxembourg, Norvège, Pays-Bas, Pologne, Portugal, République tchèque, Roumanie, Royaume-Uni, Slovaquie, Suède, Suisse et Turquie.</w:t>
      </w:r>
    </w:p>
    <w:p w:rsidR="00CE4E32" w:rsidRPr="00A03737" w:rsidRDefault="00CE4E32" w:rsidP="00CE4E32">
      <w:pPr>
        <w:pStyle w:val="SingleTxtG"/>
        <w:rPr>
          <w:lang w:val="fr-FR"/>
        </w:rPr>
      </w:pPr>
      <w:r w:rsidRPr="00A03737">
        <w:rPr>
          <w:lang w:val="fr-FR"/>
        </w:rPr>
        <w:t>3.</w:t>
      </w:r>
      <w:r w:rsidRPr="00A03737">
        <w:rPr>
          <w:lang w:val="fr-FR"/>
        </w:rPr>
        <w:tab/>
        <w:t xml:space="preserve">L'Union européenne était représentée. </w:t>
      </w:r>
    </w:p>
    <w:p w:rsidR="00CE4E32" w:rsidRPr="00A03737" w:rsidRDefault="00CE4E32" w:rsidP="00CE4E32">
      <w:pPr>
        <w:pStyle w:val="SingleTxtG"/>
        <w:rPr>
          <w:lang w:val="fr-FR"/>
        </w:rPr>
      </w:pPr>
      <w:r w:rsidRPr="00A03737">
        <w:rPr>
          <w:lang w:val="fr-FR"/>
        </w:rPr>
        <w:t>4.</w:t>
      </w:r>
      <w:r w:rsidRPr="00A03737">
        <w:rPr>
          <w:lang w:val="fr-FR"/>
        </w:rPr>
        <w:tab/>
        <w:t xml:space="preserve">L’organisation intergouvernementale suivante était représentée: l'Organisation intergouvernementale pour les transports internationaux ferroviaires (OTIF). </w:t>
      </w:r>
    </w:p>
    <w:p w:rsidR="00CE4E32" w:rsidRPr="0067498A" w:rsidRDefault="00CE4E32" w:rsidP="00CE4E32">
      <w:pPr>
        <w:pStyle w:val="SingleTxtG"/>
        <w:rPr>
          <w:lang w:val="fr-FR"/>
        </w:rPr>
      </w:pPr>
      <w:r>
        <w:rPr>
          <w:lang w:val="fr-FR"/>
        </w:rPr>
        <w:t>5</w:t>
      </w:r>
      <w:r w:rsidRPr="004B6DCD">
        <w:rPr>
          <w:lang w:val="fr-FR"/>
        </w:rPr>
        <w:t>.</w:t>
      </w:r>
      <w:r w:rsidRPr="004B6DCD">
        <w:rPr>
          <w:lang w:val="fr-FR"/>
        </w:rPr>
        <w:tab/>
      </w:r>
      <w:r w:rsidRPr="00A874E3">
        <w:rPr>
          <w:lang w:val="fr-FR"/>
        </w:rPr>
        <w:t>Les organisations non gouvernementales suivantes étaient représentées:</w:t>
      </w:r>
      <w:r>
        <w:rPr>
          <w:bCs/>
          <w:lang w:val="fr-FR"/>
        </w:rPr>
        <w:t xml:space="preserve"> </w:t>
      </w:r>
      <w:r w:rsidRPr="00160E0F">
        <w:rPr>
          <w:lang w:val="fr-FR"/>
        </w:rPr>
        <w:t xml:space="preserve">l’Association européenne des gaz de pétrole liquéfiés (AEGPL), </w:t>
      </w:r>
      <w:r w:rsidRPr="005915A5">
        <w:rPr>
          <w:lang w:val="fr-FR"/>
        </w:rPr>
        <w:t xml:space="preserve">le Comité de liaison de la construction de carrosseries et de remorques (CLCCR), </w:t>
      </w:r>
      <w:r w:rsidRPr="00160E0F">
        <w:rPr>
          <w:lang w:val="fr-FR"/>
        </w:rPr>
        <w:t xml:space="preserve">la Conférence européenne des négociants en combustibles et carburants </w:t>
      </w:r>
      <w:r w:rsidRPr="00160E0F">
        <w:rPr>
          <w:bCs/>
          <w:lang w:val="fr-FR"/>
        </w:rPr>
        <w:t>(CENCC),</w:t>
      </w:r>
      <w:r w:rsidRPr="00160E0F">
        <w:rPr>
          <w:lang w:val="fr-FR"/>
        </w:rPr>
        <w:t xml:space="preserve"> le Conseil européen de l’industrie chimique (CEFIC), </w:t>
      </w:r>
      <w:r w:rsidRPr="00190AEE">
        <w:rPr>
          <w:lang w:val="fr-FR"/>
        </w:rPr>
        <w:t>l’Organisation internationale des constructeurs automobiles (OICA),</w:t>
      </w:r>
      <w:r>
        <w:rPr>
          <w:lang w:val="fr-FR"/>
        </w:rPr>
        <w:t xml:space="preserve"> </w:t>
      </w:r>
      <w:r w:rsidRPr="00160E0F">
        <w:rPr>
          <w:lang w:val="fr-FR"/>
        </w:rPr>
        <w:t>l’Union internationale des transports routiers (IRU),</w:t>
      </w:r>
      <w:r w:rsidRPr="00160E0F">
        <w:t xml:space="preserve"> </w:t>
      </w:r>
      <w:r>
        <w:rPr>
          <w:lang w:val="fr-FR"/>
        </w:rPr>
        <w:t xml:space="preserve">l’Union des sociétés du trafic combiné rail/route (UIRR), </w:t>
      </w:r>
      <w:r w:rsidRPr="00160E0F">
        <w:rPr>
          <w:lang w:val="fr-FR"/>
        </w:rPr>
        <w:t xml:space="preserve">International Association for Natural </w:t>
      </w:r>
      <w:proofErr w:type="spellStart"/>
      <w:r w:rsidRPr="00160E0F">
        <w:rPr>
          <w:lang w:val="fr-FR"/>
        </w:rPr>
        <w:t>Gas</w:t>
      </w:r>
      <w:proofErr w:type="spellEnd"/>
      <w:r w:rsidRPr="00160E0F">
        <w:rPr>
          <w:lang w:val="fr-FR"/>
        </w:rPr>
        <w:t xml:space="preserve"> </w:t>
      </w:r>
      <w:proofErr w:type="spellStart"/>
      <w:r w:rsidRPr="00160E0F">
        <w:rPr>
          <w:lang w:val="fr-FR"/>
        </w:rPr>
        <w:t>Vehicles</w:t>
      </w:r>
      <w:proofErr w:type="spellEnd"/>
      <w:r w:rsidRPr="00160E0F">
        <w:rPr>
          <w:lang w:val="fr-FR"/>
        </w:rPr>
        <w:t xml:space="preserve"> (NGV Global)</w:t>
      </w:r>
      <w:r w:rsidRPr="00160E0F">
        <w:rPr>
          <w:bCs/>
          <w:lang w:val="fr-FR"/>
        </w:rPr>
        <w:t>.</w:t>
      </w:r>
    </w:p>
    <w:p w:rsidR="00CE4E32" w:rsidRPr="0054289D" w:rsidRDefault="00CE4E32" w:rsidP="00CE4E32">
      <w:pPr>
        <w:pStyle w:val="HChG"/>
        <w:rPr>
          <w:lang w:val="fr-FR"/>
        </w:rPr>
      </w:pPr>
      <w:r w:rsidRPr="0054289D">
        <w:rPr>
          <w:lang w:val="fr-FR"/>
        </w:rPr>
        <w:tab/>
        <w:t>II.</w:t>
      </w:r>
      <w:r w:rsidRPr="0054289D">
        <w:rPr>
          <w:lang w:val="fr-FR"/>
        </w:rPr>
        <w:tab/>
        <w:t>Adoption de l'ordre du jour (point 1 de l’ordre du jour)</w:t>
      </w:r>
    </w:p>
    <w:p w:rsidR="00CE4E32" w:rsidRPr="0054289D" w:rsidRDefault="00CE4E32" w:rsidP="00CE4E32">
      <w:pPr>
        <w:pStyle w:val="SingleTxtG"/>
        <w:tabs>
          <w:tab w:val="left" w:pos="3100"/>
        </w:tabs>
        <w:rPr>
          <w:i/>
          <w:lang w:val="fr-FR"/>
        </w:rPr>
      </w:pPr>
      <w:r w:rsidRPr="0054289D">
        <w:rPr>
          <w:i/>
          <w:lang w:val="fr-FR"/>
        </w:rPr>
        <w:t>Documents:</w:t>
      </w:r>
      <w:r w:rsidRPr="0054289D">
        <w:rPr>
          <w:lang w:val="fr-FR"/>
        </w:rPr>
        <w:tab/>
        <w:t>ECE/TRANS/WP.15/</w:t>
      </w:r>
      <w:r>
        <w:rPr>
          <w:lang w:val="fr-FR"/>
        </w:rPr>
        <w:t>229</w:t>
      </w:r>
      <w:r w:rsidRPr="0054289D">
        <w:rPr>
          <w:lang w:val="fr-FR"/>
        </w:rPr>
        <w:t xml:space="preserve"> et Add.1 (Secrétariat)</w:t>
      </w:r>
    </w:p>
    <w:p w:rsidR="00CE4E32" w:rsidRPr="0054289D" w:rsidRDefault="00CE4E32" w:rsidP="00CE4E32">
      <w:pPr>
        <w:pStyle w:val="SingleTxtG"/>
        <w:tabs>
          <w:tab w:val="left" w:pos="3100"/>
        </w:tabs>
        <w:rPr>
          <w:lang w:val="fr-FR"/>
        </w:rPr>
      </w:pPr>
      <w:r w:rsidRPr="0054289D">
        <w:rPr>
          <w:i/>
          <w:lang w:val="fr-FR"/>
        </w:rPr>
        <w:t>Documents informels</w:t>
      </w:r>
      <w:r w:rsidRPr="0054289D">
        <w:rPr>
          <w:lang w:val="fr-FR"/>
        </w:rPr>
        <w:t xml:space="preserve">: </w:t>
      </w:r>
      <w:r w:rsidRPr="0054289D">
        <w:rPr>
          <w:lang w:val="fr-FR"/>
        </w:rPr>
        <w:tab/>
        <w:t>INF.1</w:t>
      </w:r>
      <w:r>
        <w:rPr>
          <w:lang w:val="fr-FR"/>
        </w:rPr>
        <w:t xml:space="preserve"> et</w:t>
      </w:r>
      <w:r w:rsidRPr="0054289D">
        <w:rPr>
          <w:lang w:val="fr-FR"/>
        </w:rPr>
        <w:t xml:space="preserve"> INF.2 (Secrétariat)</w:t>
      </w:r>
    </w:p>
    <w:p w:rsidR="00CE4E32" w:rsidRPr="0054289D" w:rsidRDefault="00CE4E32" w:rsidP="00CE4E32">
      <w:pPr>
        <w:pStyle w:val="SingleTxtG"/>
        <w:rPr>
          <w:lang w:val="fr-FR"/>
        </w:rPr>
      </w:pPr>
      <w:r w:rsidRPr="0054289D">
        <w:rPr>
          <w:lang w:val="fr-FR"/>
        </w:rPr>
        <w:t>6.</w:t>
      </w:r>
      <w:r w:rsidRPr="0054289D">
        <w:rPr>
          <w:lang w:val="fr-FR"/>
        </w:rPr>
        <w:tab/>
      </w:r>
      <w:r w:rsidRPr="0054289D">
        <w:rPr>
          <w:bCs/>
          <w:szCs w:val="24"/>
          <w:lang w:val="fr-FR"/>
        </w:rPr>
        <w:t>Le Groupe de travail a adopté l’ordre du jour provisoire préparé par le secrétariat, tel que modifié par le document informel INF.2 pour tenir compte des documents informels INF.1 à INF.</w:t>
      </w:r>
      <w:r>
        <w:rPr>
          <w:bCs/>
          <w:szCs w:val="24"/>
          <w:lang w:val="fr-FR"/>
        </w:rPr>
        <w:t>25</w:t>
      </w:r>
      <w:r w:rsidRPr="0054289D">
        <w:rPr>
          <w:bCs/>
          <w:szCs w:val="24"/>
          <w:lang w:val="fr-FR"/>
        </w:rPr>
        <w:t>.</w:t>
      </w:r>
      <w:r w:rsidRPr="0054289D">
        <w:rPr>
          <w:lang w:val="fr-FR"/>
        </w:rPr>
        <w:tab/>
      </w:r>
    </w:p>
    <w:p w:rsidR="00CE4E32" w:rsidRPr="0054289D" w:rsidRDefault="00CE4E32" w:rsidP="00CE4E32">
      <w:pPr>
        <w:pStyle w:val="HChG"/>
        <w:rPr>
          <w:lang w:val="fr-FR"/>
        </w:rPr>
      </w:pPr>
      <w:r w:rsidRPr="0054289D">
        <w:rPr>
          <w:lang w:val="fr-FR"/>
        </w:rPr>
        <w:tab/>
      </w:r>
      <w:r>
        <w:rPr>
          <w:lang w:val="fr-FR"/>
        </w:rPr>
        <w:t>I</w:t>
      </w:r>
      <w:r w:rsidRPr="0054289D">
        <w:rPr>
          <w:lang w:val="fr-FR"/>
        </w:rPr>
        <w:t>II.</w:t>
      </w:r>
      <w:r w:rsidRPr="0054289D">
        <w:rPr>
          <w:lang w:val="fr-FR"/>
        </w:rPr>
        <w:tab/>
      </w:r>
      <w:r>
        <w:rPr>
          <w:lang w:val="fr-FR"/>
        </w:rPr>
        <w:t>S</w:t>
      </w:r>
      <w:r w:rsidRPr="003E346D">
        <w:rPr>
          <w:lang w:val="fr-FR"/>
        </w:rPr>
        <w:t xml:space="preserve">oixante-dix-septième </w:t>
      </w:r>
      <w:r w:rsidRPr="0054289D">
        <w:rPr>
          <w:lang w:val="fr-FR"/>
        </w:rPr>
        <w:t xml:space="preserve">session du </w:t>
      </w:r>
      <w:r>
        <w:rPr>
          <w:lang w:val="fr-FR"/>
        </w:rPr>
        <w:t>C</w:t>
      </w:r>
      <w:r w:rsidRPr="0054289D">
        <w:rPr>
          <w:lang w:val="fr-FR"/>
        </w:rPr>
        <w:t>omité des transports intérieurs (point 2 de l’ordre du jour)</w:t>
      </w:r>
    </w:p>
    <w:p w:rsidR="00CE4E32" w:rsidRPr="0054289D" w:rsidRDefault="00CE4E32" w:rsidP="00CE4E32">
      <w:pPr>
        <w:pStyle w:val="SingleTxtG"/>
        <w:ind w:left="2268" w:hanging="1134"/>
        <w:jc w:val="left"/>
        <w:rPr>
          <w:szCs w:val="24"/>
          <w:lang w:val="fr-FR"/>
        </w:rPr>
      </w:pPr>
      <w:r w:rsidRPr="0054289D">
        <w:rPr>
          <w:i/>
          <w:lang w:val="fr-FR"/>
        </w:rPr>
        <w:t>Document</w:t>
      </w:r>
      <w:r w:rsidRPr="0054289D">
        <w:rPr>
          <w:lang w:val="fr-FR"/>
        </w:rPr>
        <w:t>:</w:t>
      </w:r>
      <w:r w:rsidRPr="0054289D">
        <w:rPr>
          <w:lang w:val="fr-FR"/>
        </w:rPr>
        <w:tab/>
      </w:r>
      <w:r w:rsidRPr="0054289D">
        <w:rPr>
          <w:lang w:val="fr-FR"/>
        </w:rPr>
        <w:tab/>
      </w:r>
      <w:r w:rsidRPr="00E92B2E">
        <w:t>ECE/TRANS/24</w:t>
      </w:r>
      <w:r>
        <w:t>8</w:t>
      </w:r>
    </w:p>
    <w:p w:rsidR="00CE4E32" w:rsidRPr="0029459C" w:rsidRDefault="00CE4E32" w:rsidP="00CE4E32">
      <w:pPr>
        <w:pStyle w:val="SingleTxtG"/>
        <w:rPr>
          <w:lang w:val="fr-FR"/>
        </w:rPr>
      </w:pPr>
      <w:r w:rsidRPr="0029459C">
        <w:rPr>
          <w:lang w:val="fr-FR"/>
        </w:rPr>
        <w:t>7.</w:t>
      </w:r>
      <w:r w:rsidRPr="0029459C">
        <w:rPr>
          <w:lang w:val="fr-FR"/>
        </w:rPr>
        <w:tab/>
        <w:t>Le Groupe de travail a noté les conclusions des délibérations du Comité sur sa soixante-</w:t>
      </w:r>
      <w:r>
        <w:rPr>
          <w:lang w:val="fr-FR"/>
        </w:rPr>
        <w:t>dix-septième</w:t>
      </w:r>
      <w:r w:rsidRPr="0029459C">
        <w:rPr>
          <w:lang w:val="fr-FR"/>
        </w:rPr>
        <w:t xml:space="preserve"> session.</w:t>
      </w:r>
    </w:p>
    <w:p w:rsidR="00CE4E32" w:rsidRPr="0054289D" w:rsidRDefault="00CE4E32" w:rsidP="00CE4E32">
      <w:pPr>
        <w:pStyle w:val="HChG"/>
        <w:rPr>
          <w:lang w:val="fr-FR"/>
        </w:rPr>
      </w:pPr>
      <w:r w:rsidRPr="0054289D">
        <w:rPr>
          <w:lang w:val="fr-FR"/>
        </w:rPr>
        <w:tab/>
      </w:r>
      <w:r>
        <w:rPr>
          <w:lang w:val="fr-FR"/>
        </w:rPr>
        <w:t>IV</w:t>
      </w:r>
      <w:r w:rsidRPr="0054289D">
        <w:rPr>
          <w:lang w:val="fr-FR"/>
        </w:rPr>
        <w:t>.</w:t>
      </w:r>
      <w:r w:rsidRPr="0054289D">
        <w:rPr>
          <w:lang w:val="fr-FR"/>
        </w:rPr>
        <w:tab/>
        <w:t>État de l'Accord européen relatif au transport international des marchandises dangereuses par route (ADR) et questions connexes (point 3 de l’ordre du jour)</w:t>
      </w:r>
    </w:p>
    <w:p w:rsidR="00CE4E32" w:rsidRPr="0054289D" w:rsidRDefault="00CE4E32" w:rsidP="00CE4E32">
      <w:pPr>
        <w:pStyle w:val="H1G"/>
        <w:rPr>
          <w:lang w:val="fr-FR"/>
        </w:rPr>
      </w:pPr>
      <w:r w:rsidRPr="0054289D">
        <w:rPr>
          <w:lang w:val="fr-FR"/>
        </w:rPr>
        <w:tab/>
        <w:t>A.</w:t>
      </w:r>
      <w:r w:rsidRPr="0054289D">
        <w:rPr>
          <w:lang w:val="fr-FR"/>
        </w:rPr>
        <w:tab/>
        <w:t>Protocole d’amendement de 1993</w:t>
      </w:r>
    </w:p>
    <w:p w:rsidR="00CE4E32" w:rsidRDefault="00CE4E32" w:rsidP="00CE4E32">
      <w:pPr>
        <w:pStyle w:val="SingleTxtG"/>
      </w:pPr>
      <w:r>
        <w:t>8</w:t>
      </w:r>
      <w:r w:rsidRPr="009070E2">
        <w:t>.</w:t>
      </w:r>
      <w:r w:rsidRPr="009070E2">
        <w:tab/>
      </w:r>
      <w:r>
        <w:t xml:space="preserve">Le Groupe de travail a noté qu’il n’y avait pas de nouvelles parties contractantes à l’ADR et </w:t>
      </w:r>
      <w:r w:rsidRPr="00160E0F">
        <w:t xml:space="preserve">que </w:t>
      </w:r>
      <w:r>
        <w:t>14</w:t>
      </w:r>
      <w:r w:rsidRPr="00160E0F">
        <w:t xml:space="preserve"> pays (Azerbaïdjan, </w:t>
      </w:r>
      <w:proofErr w:type="spellStart"/>
      <w:r w:rsidRPr="00160E0F">
        <w:t>Bélarus</w:t>
      </w:r>
      <w:proofErr w:type="spellEnd"/>
      <w:r w:rsidRPr="00160E0F">
        <w:t>, Bosnie-Herzégovine, Croatie, ex-République yougoslave de Macédoine, Islande, Kazakhstan, Malte, Maroc, Monténégro, Serbie, Tadjikistan, Tunisie et Ukraine)</w:t>
      </w:r>
      <w:r>
        <w:t xml:space="preserve"> n’avaient pas encore déposé l’instrument juridique </w:t>
      </w:r>
      <w:r>
        <w:lastRenderedPageBreak/>
        <w:t xml:space="preserve">nécessaire pour que le Protocole </w:t>
      </w:r>
      <w:r w:rsidRPr="00B116DA">
        <w:rPr>
          <w:lang w:val="fr-FR"/>
        </w:rPr>
        <w:t xml:space="preserve">de 1993 portant modification des articles 1 a), 14 1) et 14 3) b) de l’Accord </w:t>
      </w:r>
      <w:r>
        <w:t>entre en vigueur. Le Groupe de travail  a de nouveau encouragé ces pays à prendre les mesures nécessaires pour ratifier le Protocole ou y adhérer, afin qu’il puisse prendre effet au plus vite.</w:t>
      </w:r>
    </w:p>
    <w:p w:rsidR="00CE4E32" w:rsidRDefault="00CE4E32" w:rsidP="00CE4E32">
      <w:pPr>
        <w:pStyle w:val="SingleTxtG"/>
      </w:pPr>
      <w:r>
        <w:t>9.</w:t>
      </w:r>
      <w:r>
        <w:tab/>
        <w:t xml:space="preserve">La représentante de la Turquie a indiqué que le Ministère des affaires étrangères avait </w:t>
      </w:r>
      <w:r w:rsidRPr="00663317">
        <w:t xml:space="preserve">déposé </w:t>
      </w:r>
      <w:r>
        <w:t xml:space="preserve">un instrument d’adhésion au Protocole </w:t>
      </w:r>
      <w:r w:rsidRPr="00B116DA">
        <w:rPr>
          <w:lang w:val="fr-FR"/>
        </w:rPr>
        <w:t>de 1993</w:t>
      </w:r>
      <w:r>
        <w:rPr>
          <w:lang w:val="fr-FR"/>
        </w:rPr>
        <w:t xml:space="preserve"> </w:t>
      </w:r>
      <w:r w:rsidRPr="00663317">
        <w:t>auprès du Secrétaire général de l’ONU</w:t>
      </w:r>
      <w:r>
        <w:t>.</w:t>
      </w:r>
    </w:p>
    <w:p w:rsidR="00CE4E32" w:rsidRPr="0054289D" w:rsidRDefault="00CE4E32" w:rsidP="00CE4E32">
      <w:pPr>
        <w:pStyle w:val="H1G"/>
        <w:rPr>
          <w:lang w:val="fr-FR"/>
        </w:rPr>
      </w:pPr>
      <w:r w:rsidRPr="0054289D">
        <w:rPr>
          <w:lang w:val="fr-FR"/>
        </w:rPr>
        <w:tab/>
      </w:r>
      <w:r>
        <w:rPr>
          <w:lang w:val="fr-FR"/>
        </w:rPr>
        <w:t>B</w:t>
      </w:r>
      <w:r w:rsidRPr="0054289D">
        <w:rPr>
          <w:lang w:val="fr-FR"/>
        </w:rPr>
        <w:t>.</w:t>
      </w:r>
      <w:r w:rsidRPr="0054289D">
        <w:rPr>
          <w:lang w:val="fr-FR"/>
        </w:rPr>
        <w:tab/>
      </w:r>
      <w:r>
        <w:rPr>
          <w:lang w:val="fr-FR"/>
        </w:rPr>
        <w:t xml:space="preserve">Corrections et amendements pour </w:t>
      </w:r>
      <w:proofErr w:type="spellStart"/>
      <w:r>
        <w:rPr>
          <w:lang w:val="fr-FR"/>
        </w:rPr>
        <w:t>entrée</w:t>
      </w:r>
      <w:proofErr w:type="spellEnd"/>
      <w:r>
        <w:rPr>
          <w:lang w:val="fr-FR"/>
        </w:rPr>
        <w:t xml:space="preserve"> en vigueur au 26 décembre 2015</w:t>
      </w:r>
    </w:p>
    <w:p w:rsidR="00CE4E32" w:rsidRPr="00626BB4" w:rsidRDefault="00CE4E32" w:rsidP="00CE4E32">
      <w:pPr>
        <w:pStyle w:val="SingleTxtG"/>
        <w:rPr>
          <w:lang w:val="fr-FR"/>
        </w:rPr>
      </w:pPr>
      <w:r>
        <w:rPr>
          <w:lang w:val="fr-FR"/>
        </w:rPr>
        <w:t>10</w:t>
      </w:r>
      <w:r w:rsidRPr="00626BB4">
        <w:rPr>
          <w:lang w:val="fr-FR"/>
        </w:rPr>
        <w:t>.</w:t>
      </w:r>
      <w:r w:rsidRPr="00626BB4">
        <w:rPr>
          <w:lang w:val="fr-FR"/>
        </w:rPr>
        <w:tab/>
        <w:t>Le Groupe de travail a noté que les corrections à l'ADR adoptées à sa précédente session (ECE/TRANS/WP.15/</w:t>
      </w:r>
      <w:r>
        <w:rPr>
          <w:lang w:val="fr-FR"/>
        </w:rPr>
        <w:t>228, annexe I</w:t>
      </w:r>
      <w:r w:rsidRPr="00626BB4">
        <w:rPr>
          <w:lang w:val="fr-FR"/>
        </w:rPr>
        <w:t xml:space="preserve">I) sont réputées acceptées (Notifications dépositaires </w:t>
      </w:r>
      <w:r w:rsidRPr="00295BCB">
        <w:rPr>
          <w:lang w:val="fr-FR"/>
        </w:rPr>
        <w:t>CN.371.2015</w:t>
      </w:r>
      <w:r>
        <w:rPr>
          <w:lang w:val="fr-FR"/>
        </w:rPr>
        <w:t>.</w:t>
      </w:r>
      <w:r w:rsidRPr="00295BCB">
        <w:rPr>
          <w:lang w:val="fr-FR"/>
        </w:rPr>
        <w:t>TREATIES</w:t>
      </w:r>
      <w:r w:rsidRPr="00626BB4">
        <w:rPr>
          <w:lang w:val="fr-FR"/>
        </w:rPr>
        <w:t xml:space="preserve"> du </w:t>
      </w:r>
      <w:r>
        <w:rPr>
          <w:lang w:val="fr-FR"/>
        </w:rPr>
        <w:t>26 juin 2015</w:t>
      </w:r>
      <w:r w:rsidRPr="00626BB4">
        <w:rPr>
          <w:lang w:val="fr-FR"/>
        </w:rPr>
        <w:t xml:space="preserve"> et </w:t>
      </w:r>
      <w:r w:rsidRPr="00295BCB">
        <w:rPr>
          <w:lang w:val="fr-FR"/>
        </w:rPr>
        <w:t>C.N.445.2015.TREATIES</w:t>
      </w:r>
      <w:r w:rsidRPr="00626BB4">
        <w:rPr>
          <w:lang w:val="fr-FR"/>
        </w:rPr>
        <w:t xml:space="preserve"> du </w:t>
      </w:r>
      <w:r>
        <w:rPr>
          <w:lang w:val="fr-FR"/>
        </w:rPr>
        <w:t>5 août 2015</w:t>
      </w:r>
      <w:r w:rsidRPr="00626BB4">
        <w:rPr>
          <w:lang w:val="fr-FR"/>
        </w:rPr>
        <w:t>).</w:t>
      </w:r>
    </w:p>
    <w:p w:rsidR="00CE4E32" w:rsidRDefault="00CE4E32" w:rsidP="00CE4E32">
      <w:pPr>
        <w:pStyle w:val="SingleTxtG"/>
        <w:rPr>
          <w:lang w:val="fr-FR"/>
        </w:rPr>
      </w:pPr>
      <w:r>
        <w:rPr>
          <w:lang w:val="fr-FR"/>
        </w:rPr>
        <w:t>11</w:t>
      </w:r>
      <w:r w:rsidRPr="00626BB4">
        <w:rPr>
          <w:lang w:val="fr-FR"/>
        </w:rPr>
        <w:t>.</w:t>
      </w:r>
      <w:r w:rsidRPr="00626BB4">
        <w:rPr>
          <w:lang w:val="fr-FR"/>
        </w:rPr>
        <w:tab/>
        <w:t xml:space="preserve">Le Groupe de travail a noté que les amendements adoptés à sa précédente session pour </w:t>
      </w:r>
      <w:proofErr w:type="spellStart"/>
      <w:r w:rsidRPr="00626BB4">
        <w:rPr>
          <w:lang w:val="fr-FR"/>
        </w:rPr>
        <w:t>entrée</w:t>
      </w:r>
      <w:proofErr w:type="spellEnd"/>
      <w:r w:rsidRPr="00626BB4">
        <w:rPr>
          <w:lang w:val="fr-FR"/>
        </w:rPr>
        <w:t xml:space="preserve"> en vigueur </w:t>
      </w:r>
      <w:r>
        <w:rPr>
          <w:lang w:val="fr-FR"/>
        </w:rPr>
        <w:t>dès que possible</w:t>
      </w:r>
      <w:r w:rsidRPr="00626BB4">
        <w:rPr>
          <w:lang w:val="fr-FR"/>
        </w:rPr>
        <w:t xml:space="preserve"> (ECE/TRANS/WP.15/</w:t>
      </w:r>
      <w:r>
        <w:rPr>
          <w:lang w:val="fr-FR"/>
        </w:rPr>
        <w:t>228, annexe I</w:t>
      </w:r>
      <w:r w:rsidRPr="00626BB4">
        <w:rPr>
          <w:lang w:val="fr-FR"/>
        </w:rPr>
        <w:t>I) ont été proposés aux Parties contractantes par le Gouvernement du Portugal et sont</w:t>
      </w:r>
      <w:r>
        <w:rPr>
          <w:lang w:val="fr-FR"/>
        </w:rPr>
        <w:t xml:space="preserve"> réputés acceptés (Notification</w:t>
      </w:r>
      <w:r w:rsidRPr="00626BB4">
        <w:rPr>
          <w:lang w:val="fr-FR"/>
        </w:rPr>
        <w:t xml:space="preserve"> dépositai</w:t>
      </w:r>
      <w:r>
        <w:rPr>
          <w:lang w:val="fr-FR"/>
        </w:rPr>
        <w:t>re</w:t>
      </w:r>
      <w:r w:rsidRPr="00626BB4">
        <w:rPr>
          <w:lang w:val="fr-FR"/>
        </w:rPr>
        <w:t xml:space="preserve"> </w:t>
      </w:r>
      <w:r w:rsidRPr="00295BCB">
        <w:rPr>
          <w:lang w:val="fr-FR"/>
        </w:rPr>
        <w:t>C.N.445.2015.TREATIES</w:t>
      </w:r>
      <w:r w:rsidRPr="00626BB4">
        <w:rPr>
          <w:lang w:val="fr-FR"/>
        </w:rPr>
        <w:t xml:space="preserve"> du </w:t>
      </w:r>
      <w:r>
        <w:rPr>
          <w:lang w:val="fr-FR"/>
        </w:rPr>
        <w:t>26 juin 2015</w:t>
      </w:r>
      <w:r w:rsidRPr="00626BB4">
        <w:rPr>
          <w:lang w:val="fr-FR"/>
        </w:rPr>
        <w:t>)</w:t>
      </w:r>
      <w:r>
        <w:rPr>
          <w:lang w:val="fr-FR"/>
        </w:rPr>
        <w:t xml:space="preserve"> et entreront en vigueur le 26 décembre 2015</w:t>
      </w:r>
      <w:r w:rsidRPr="00626BB4">
        <w:rPr>
          <w:lang w:val="fr-FR"/>
        </w:rPr>
        <w:t>.</w:t>
      </w:r>
    </w:p>
    <w:p w:rsidR="00CE4E32" w:rsidRPr="00556C9E" w:rsidRDefault="00CE4E32" w:rsidP="00CE4E32">
      <w:pPr>
        <w:pStyle w:val="HChG"/>
        <w:rPr>
          <w:lang w:val="fr-FR"/>
        </w:rPr>
      </w:pPr>
      <w:r w:rsidRPr="00556C9E">
        <w:rPr>
          <w:lang w:val="fr-FR"/>
        </w:rPr>
        <w:tab/>
        <w:t>V.</w:t>
      </w:r>
      <w:r w:rsidRPr="00556C9E">
        <w:rPr>
          <w:lang w:val="fr-FR"/>
        </w:rPr>
        <w:tab/>
        <w:t>Interprétation de l'ADR (point 4 de l’ordre du jour)</w:t>
      </w:r>
    </w:p>
    <w:p w:rsidR="00CE4E32" w:rsidRPr="0054289D" w:rsidRDefault="00CE4E32" w:rsidP="00CE4E32">
      <w:pPr>
        <w:pStyle w:val="H1G"/>
        <w:rPr>
          <w:lang w:val="fr-FR"/>
        </w:rPr>
      </w:pPr>
      <w:r w:rsidRPr="0054289D">
        <w:rPr>
          <w:lang w:val="fr-FR"/>
        </w:rPr>
        <w:tab/>
      </w:r>
      <w:r>
        <w:rPr>
          <w:lang w:val="fr-FR"/>
        </w:rPr>
        <w:t>A</w:t>
      </w:r>
      <w:r w:rsidRPr="0054289D">
        <w:rPr>
          <w:lang w:val="fr-FR"/>
        </w:rPr>
        <w:t>.</w:t>
      </w:r>
      <w:r w:rsidRPr="0054289D">
        <w:rPr>
          <w:lang w:val="fr-FR"/>
        </w:rPr>
        <w:tab/>
      </w:r>
      <w:r>
        <w:rPr>
          <w:lang w:val="fr-FR"/>
        </w:rPr>
        <w:t>Construction des compartiments de chargement des véhicules EX/III</w:t>
      </w:r>
    </w:p>
    <w:p w:rsidR="00CE4E32" w:rsidRPr="0054289D" w:rsidRDefault="00CE4E32" w:rsidP="00CE4E32">
      <w:pPr>
        <w:pStyle w:val="SingleTxtG"/>
        <w:tabs>
          <w:tab w:val="left" w:pos="3100"/>
        </w:tabs>
        <w:rPr>
          <w:lang w:val="fr-FR"/>
        </w:rPr>
      </w:pPr>
      <w:r>
        <w:rPr>
          <w:i/>
          <w:lang w:val="fr-FR"/>
        </w:rPr>
        <w:t>Document informel</w:t>
      </w:r>
      <w:r w:rsidRPr="0054289D">
        <w:rPr>
          <w:lang w:val="fr-FR"/>
        </w:rPr>
        <w:t xml:space="preserve">: </w:t>
      </w:r>
      <w:r w:rsidRPr="0054289D">
        <w:rPr>
          <w:lang w:val="fr-FR"/>
        </w:rPr>
        <w:tab/>
        <w:t>INF.</w:t>
      </w:r>
      <w:r>
        <w:rPr>
          <w:lang w:val="fr-FR"/>
        </w:rPr>
        <w:t>5 (Pays-Bas)</w:t>
      </w:r>
    </w:p>
    <w:p w:rsidR="00CE4E32" w:rsidRDefault="00CE4E32" w:rsidP="00CE4E32">
      <w:pPr>
        <w:pStyle w:val="SingleTxtG"/>
        <w:rPr>
          <w:lang w:val="fr-FR"/>
        </w:rPr>
      </w:pPr>
      <w:r>
        <w:rPr>
          <w:lang w:val="fr-FR"/>
        </w:rPr>
        <w:t>12.</w:t>
      </w:r>
      <w:r>
        <w:rPr>
          <w:lang w:val="fr-FR"/>
        </w:rPr>
        <w:tab/>
        <w:t xml:space="preserve">Les délégations qui se sont prononcées considéraient que l’intention de la sous-section 9.3.4.2 de l’ADR était bien de protéger le chargement contre des sources de chaleur et des flammes extérieures. </w:t>
      </w:r>
    </w:p>
    <w:p w:rsidR="00CE4E32" w:rsidRDefault="00CE4E32" w:rsidP="00CE4E32">
      <w:pPr>
        <w:pStyle w:val="SingleTxtG"/>
        <w:rPr>
          <w:lang w:val="fr-FR"/>
        </w:rPr>
      </w:pPr>
      <w:r>
        <w:rPr>
          <w:lang w:val="fr-FR"/>
        </w:rPr>
        <w:t>13.</w:t>
      </w:r>
      <w:r>
        <w:rPr>
          <w:lang w:val="fr-FR"/>
        </w:rPr>
        <w:tab/>
        <w:t xml:space="preserve">Il a été rappelé que le Groupe de travail, à sa quatre-vingt-onzième session (voir ECE/TRANS/WP.15/212), avait </w:t>
      </w:r>
      <w:r w:rsidRPr="00FC6A77">
        <w:rPr>
          <w:lang w:val="fr-FR"/>
        </w:rPr>
        <w:t>confirmé que l'ADR</w:t>
      </w:r>
      <w:r>
        <w:rPr>
          <w:lang w:val="fr-FR"/>
        </w:rPr>
        <w:t xml:space="preserve"> n'interdisait</w:t>
      </w:r>
      <w:r w:rsidRPr="00FC6A77">
        <w:rPr>
          <w:lang w:val="fr-FR"/>
        </w:rPr>
        <w:t xml:space="preserve"> pas l'utilisation de l'aluminium dans la composition de la caisse des véhicules EX/III.</w:t>
      </w:r>
      <w:r>
        <w:rPr>
          <w:lang w:val="fr-FR"/>
        </w:rPr>
        <w:t xml:space="preserve"> </w:t>
      </w:r>
    </w:p>
    <w:p w:rsidR="00CE4E32" w:rsidRDefault="00CE4E32" w:rsidP="00CE4E32">
      <w:pPr>
        <w:pStyle w:val="SingleTxtG"/>
        <w:rPr>
          <w:lang w:val="fr-FR"/>
        </w:rPr>
      </w:pPr>
      <w:r>
        <w:rPr>
          <w:lang w:val="fr-FR"/>
        </w:rPr>
        <w:t>14.</w:t>
      </w:r>
      <w:r>
        <w:rPr>
          <w:lang w:val="fr-FR"/>
        </w:rPr>
        <w:tab/>
        <w:t>Il n’y a pas eu de consensus sur la question de pouvoir ou non avoir des parties métalliques à l’intérieur de la caisse du véhicule. La plupart des délégations qui se sont prononcées considéraient que les parties métalliques étaient autorisées dès lors qu’elles étaient fixées sur des parois qui garantissaient elles-mêmes une isolation suffisante aux flammes et à la chaleur.</w:t>
      </w:r>
    </w:p>
    <w:p w:rsidR="00CE4E32" w:rsidRDefault="00CE4E32" w:rsidP="00CE4E32">
      <w:pPr>
        <w:pStyle w:val="SingleTxtG"/>
        <w:rPr>
          <w:lang w:val="fr-FR"/>
        </w:rPr>
      </w:pPr>
      <w:r>
        <w:rPr>
          <w:lang w:val="fr-FR"/>
        </w:rPr>
        <w:t>15.</w:t>
      </w:r>
      <w:r>
        <w:rPr>
          <w:lang w:val="fr-FR"/>
        </w:rPr>
        <w:tab/>
        <w:t xml:space="preserve">Le représentant des Pays-Bas a indiqué qu’il présenterait, à une prochaine session, une proposition visant à clarifier la rédaction du 9.3.4.2 tout en tenant compte des évolutions techniques. </w:t>
      </w:r>
    </w:p>
    <w:p w:rsidR="00CE4E32" w:rsidRPr="0054289D" w:rsidRDefault="00CE4E32" w:rsidP="00CE4E32">
      <w:pPr>
        <w:pStyle w:val="H1G"/>
        <w:rPr>
          <w:lang w:val="fr-FR"/>
        </w:rPr>
      </w:pPr>
      <w:r w:rsidRPr="0054289D">
        <w:rPr>
          <w:lang w:val="fr-FR"/>
        </w:rPr>
        <w:tab/>
      </w:r>
      <w:r>
        <w:rPr>
          <w:lang w:val="fr-FR"/>
        </w:rPr>
        <w:t>B</w:t>
      </w:r>
      <w:r w:rsidRPr="0054289D">
        <w:rPr>
          <w:lang w:val="fr-FR"/>
        </w:rPr>
        <w:t>.</w:t>
      </w:r>
      <w:r w:rsidRPr="0054289D">
        <w:rPr>
          <w:lang w:val="fr-FR"/>
        </w:rPr>
        <w:tab/>
      </w:r>
      <w:r>
        <w:rPr>
          <w:lang w:val="fr-FR"/>
        </w:rPr>
        <w:t>Interdiction pour les membres d’équipage d’ouvrir un colis</w:t>
      </w:r>
    </w:p>
    <w:p w:rsidR="00CE4E32" w:rsidRPr="0054289D" w:rsidRDefault="00CE4E32" w:rsidP="00CE4E32">
      <w:pPr>
        <w:pStyle w:val="SingleTxtG"/>
        <w:tabs>
          <w:tab w:val="left" w:pos="3100"/>
        </w:tabs>
        <w:rPr>
          <w:lang w:val="fr-FR"/>
        </w:rPr>
      </w:pPr>
      <w:r>
        <w:rPr>
          <w:i/>
          <w:lang w:val="fr-FR"/>
        </w:rPr>
        <w:t>Document informel</w:t>
      </w:r>
      <w:r w:rsidRPr="0054289D">
        <w:rPr>
          <w:lang w:val="fr-FR"/>
        </w:rPr>
        <w:t xml:space="preserve">: </w:t>
      </w:r>
      <w:r w:rsidRPr="0054289D">
        <w:rPr>
          <w:lang w:val="fr-FR"/>
        </w:rPr>
        <w:tab/>
        <w:t>INF.</w:t>
      </w:r>
      <w:r>
        <w:rPr>
          <w:lang w:val="fr-FR"/>
        </w:rPr>
        <w:t>11 (IRU)</w:t>
      </w:r>
    </w:p>
    <w:p w:rsidR="00CE4E32" w:rsidRDefault="00CE4E32" w:rsidP="00CE4E32">
      <w:pPr>
        <w:pStyle w:val="SingleTxtG"/>
        <w:rPr>
          <w:lang w:val="fr-FR"/>
        </w:rPr>
      </w:pPr>
      <w:r>
        <w:rPr>
          <w:lang w:val="fr-FR"/>
        </w:rPr>
        <w:t>16.</w:t>
      </w:r>
      <w:r>
        <w:rPr>
          <w:lang w:val="fr-FR"/>
        </w:rPr>
        <w:tab/>
        <w:t xml:space="preserve">Le Groupe de travail est convenu que les conducteurs et autres membres de l’équipage des véhicules peuvent assumer les fonctions d’autres intervenants, comme celles de chargeur, de déchargeur ou de destinataire, suivant les dispositions des contrats entre les </w:t>
      </w:r>
      <w:r>
        <w:rPr>
          <w:lang w:val="fr-FR"/>
        </w:rPr>
        <w:lastRenderedPageBreak/>
        <w:t>parties concernées. Dans ce cas, les obligations et prescriptions applicables pour ces intervenants s’appliquent pour ces fonctions. L’ouverture des colis après déchargement n’entre pas dans le champ d’application de l’ADR.</w:t>
      </w:r>
    </w:p>
    <w:p w:rsidR="00C63BD0" w:rsidRPr="00556C9E" w:rsidRDefault="00C63BD0" w:rsidP="00C63BD0">
      <w:pPr>
        <w:pStyle w:val="HChG"/>
        <w:rPr>
          <w:lang w:val="fr-FR"/>
        </w:rPr>
      </w:pPr>
      <w:r w:rsidRPr="00556C9E">
        <w:rPr>
          <w:lang w:val="fr-FR"/>
        </w:rPr>
        <w:tab/>
        <w:t>V</w:t>
      </w:r>
      <w:r>
        <w:rPr>
          <w:lang w:val="fr-FR"/>
        </w:rPr>
        <w:t>I</w:t>
      </w:r>
      <w:r w:rsidRPr="00556C9E">
        <w:rPr>
          <w:lang w:val="fr-FR"/>
        </w:rPr>
        <w:t>.</w:t>
      </w:r>
      <w:r w:rsidRPr="00556C9E">
        <w:rPr>
          <w:lang w:val="fr-FR"/>
        </w:rPr>
        <w:tab/>
      </w:r>
      <w:r>
        <w:t>Travaux de la Réunion commune RID/ADR/ADN</w:t>
      </w:r>
      <w:r w:rsidRPr="00556C9E">
        <w:rPr>
          <w:lang w:val="fr-FR"/>
        </w:rPr>
        <w:t xml:space="preserve"> (point </w:t>
      </w:r>
      <w:r>
        <w:rPr>
          <w:lang w:val="fr-FR"/>
        </w:rPr>
        <w:t>5</w:t>
      </w:r>
      <w:r w:rsidRPr="00556C9E">
        <w:rPr>
          <w:lang w:val="fr-FR"/>
        </w:rPr>
        <w:t xml:space="preserve"> de l’ordre du jour)</w:t>
      </w:r>
    </w:p>
    <w:p w:rsidR="00C63BD0" w:rsidRPr="004B4555" w:rsidRDefault="00C63BD0" w:rsidP="00C63BD0">
      <w:pPr>
        <w:pStyle w:val="SingleTxtG"/>
        <w:keepNext/>
        <w:keepLines/>
        <w:ind w:left="2268" w:hanging="1134"/>
        <w:jc w:val="left"/>
        <w:rPr>
          <w:lang w:val="fr-FR"/>
        </w:rPr>
      </w:pPr>
      <w:r>
        <w:rPr>
          <w:i/>
          <w:lang w:val="fr-FR"/>
        </w:rPr>
        <w:t>Documents</w:t>
      </w:r>
      <w:r w:rsidRPr="004B4555">
        <w:rPr>
          <w:lang w:val="fr-FR"/>
        </w:rPr>
        <w:t>:</w:t>
      </w:r>
      <w:r w:rsidRPr="004B4555">
        <w:rPr>
          <w:lang w:val="fr-FR"/>
        </w:rPr>
        <w:tab/>
        <w:t>ECE/TRANS/WP.15/AC.1/</w:t>
      </w:r>
      <w:r>
        <w:rPr>
          <w:lang w:val="fr-FR"/>
        </w:rPr>
        <w:t xml:space="preserve">138, annexe II </w:t>
      </w:r>
      <w:r w:rsidRPr="004B4555">
        <w:rPr>
          <w:lang w:val="fr-FR"/>
        </w:rPr>
        <w:t xml:space="preserve">(Amendements adoptés par la Réunion commune à sa session de mars </w:t>
      </w:r>
      <w:r>
        <w:rPr>
          <w:lang w:val="fr-FR"/>
        </w:rPr>
        <w:t>2015</w:t>
      </w:r>
      <w:proofErr w:type="gramStart"/>
      <w:r>
        <w:rPr>
          <w:lang w:val="fr-FR"/>
        </w:rPr>
        <w:t>)</w:t>
      </w:r>
      <w:proofErr w:type="gramEnd"/>
      <w:r>
        <w:rPr>
          <w:lang w:val="fr-FR"/>
        </w:rPr>
        <w:br/>
        <w:t>ECE/TRANS/WP.15/AC.1/2015</w:t>
      </w:r>
      <w:r w:rsidRPr="004B4555">
        <w:rPr>
          <w:lang w:val="fr-FR"/>
        </w:rPr>
        <w:t>/</w:t>
      </w:r>
      <w:r>
        <w:rPr>
          <w:lang w:val="fr-FR"/>
        </w:rPr>
        <w:t>23</w:t>
      </w:r>
      <w:r w:rsidRPr="004B4555">
        <w:rPr>
          <w:lang w:val="fr-FR"/>
        </w:rPr>
        <w:t>/Add.1</w:t>
      </w:r>
      <w:r w:rsidRPr="004B4555">
        <w:rPr>
          <w:lang w:val="fr-FR"/>
        </w:rPr>
        <w:br/>
        <w:t>et ECE/TRANS/WP.15/AC.1/</w:t>
      </w:r>
      <w:r>
        <w:rPr>
          <w:lang w:val="fr-FR"/>
        </w:rPr>
        <w:t>140</w:t>
      </w:r>
      <w:r w:rsidRPr="004B4555">
        <w:rPr>
          <w:lang w:val="fr-FR"/>
        </w:rPr>
        <w:t>/Add.</w:t>
      </w:r>
      <w:r>
        <w:rPr>
          <w:lang w:val="fr-FR"/>
        </w:rPr>
        <w:t>1</w:t>
      </w:r>
      <w:r w:rsidRPr="004B4555">
        <w:rPr>
          <w:lang w:val="fr-FR"/>
        </w:rPr>
        <w:t xml:space="preserve"> (Amendements adoptés par la Réunion commun</w:t>
      </w:r>
      <w:r>
        <w:rPr>
          <w:lang w:val="fr-FR"/>
        </w:rPr>
        <w:t>e à sa session de septembre 2015</w:t>
      </w:r>
      <w:r w:rsidRPr="004B4555">
        <w:rPr>
          <w:lang w:val="fr-FR"/>
        </w:rPr>
        <w:t>)</w:t>
      </w:r>
    </w:p>
    <w:p w:rsidR="00C63BD0" w:rsidRDefault="00C63BD0" w:rsidP="00C63BD0">
      <w:pPr>
        <w:pStyle w:val="SingleTxtG"/>
        <w:tabs>
          <w:tab w:val="left" w:pos="3000"/>
        </w:tabs>
        <w:ind w:left="2268" w:hanging="1134"/>
        <w:jc w:val="left"/>
        <w:rPr>
          <w:szCs w:val="24"/>
          <w:lang w:val="fr-FR"/>
        </w:rPr>
      </w:pPr>
      <w:r>
        <w:rPr>
          <w:i/>
          <w:lang w:val="fr-FR"/>
        </w:rPr>
        <w:t>Documents informels</w:t>
      </w:r>
      <w:r w:rsidRPr="004B4555">
        <w:rPr>
          <w:lang w:val="fr-FR"/>
        </w:rPr>
        <w:t>:</w:t>
      </w:r>
      <w:r w:rsidRPr="004B4555">
        <w:rPr>
          <w:lang w:val="fr-FR"/>
        </w:rPr>
        <w:tab/>
      </w:r>
      <w:r w:rsidRPr="004B4555">
        <w:rPr>
          <w:szCs w:val="24"/>
          <w:lang w:val="fr-FR"/>
        </w:rPr>
        <w:t>INF.</w:t>
      </w:r>
      <w:r>
        <w:rPr>
          <w:szCs w:val="24"/>
          <w:lang w:val="fr-FR"/>
        </w:rPr>
        <w:t>9</w:t>
      </w:r>
      <w:r w:rsidRPr="004B4555">
        <w:rPr>
          <w:szCs w:val="24"/>
          <w:lang w:val="fr-FR"/>
        </w:rPr>
        <w:t xml:space="preserve"> (Secrétariat)</w:t>
      </w:r>
      <w:r>
        <w:rPr>
          <w:szCs w:val="24"/>
          <w:lang w:val="fr-FR"/>
        </w:rPr>
        <w:t>, INF.14 (France)</w:t>
      </w:r>
      <w:proofErr w:type="gramStart"/>
      <w:r>
        <w:rPr>
          <w:szCs w:val="24"/>
          <w:lang w:val="fr-FR"/>
        </w:rPr>
        <w:t>,,</w:t>
      </w:r>
      <w:proofErr w:type="gramEnd"/>
      <w:r>
        <w:rPr>
          <w:szCs w:val="24"/>
          <w:lang w:val="fr-FR"/>
        </w:rPr>
        <w:t xml:space="preserve"> INF.16 (Suisse),</w:t>
      </w:r>
      <w:r>
        <w:rPr>
          <w:szCs w:val="24"/>
          <w:lang w:val="fr-FR"/>
        </w:rPr>
        <w:br/>
      </w:r>
      <w:r>
        <w:t>INF.17</w:t>
      </w:r>
      <w:r w:rsidRPr="007F5048">
        <w:t> (</w:t>
      </w:r>
      <w:r>
        <w:t>Allemagne</w:t>
      </w:r>
      <w:r w:rsidRPr="007F5048">
        <w:t>)</w:t>
      </w:r>
      <w:r>
        <w:t>,</w:t>
      </w:r>
      <w:r w:rsidRPr="00676019">
        <w:t xml:space="preserve"> </w:t>
      </w:r>
      <w:r>
        <w:t>INF.18</w:t>
      </w:r>
      <w:r w:rsidRPr="007F5048">
        <w:t> (</w:t>
      </w:r>
      <w:r>
        <w:t>Suisse</w:t>
      </w:r>
      <w:r w:rsidRPr="007F5048">
        <w:t>)</w:t>
      </w:r>
      <w:r>
        <w:t xml:space="preserve">, </w:t>
      </w:r>
      <w:r>
        <w:rPr>
          <w:szCs w:val="24"/>
          <w:lang w:val="fr-FR"/>
        </w:rPr>
        <w:t>INF.20 (Royaume-Uni)</w:t>
      </w:r>
    </w:p>
    <w:p w:rsidR="00C63BD0" w:rsidRPr="004B4555" w:rsidRDefault="00C63BD0" w:rsidP="00C63BD0">
      <w:pPr>
        <w:pStyle w:val="H1G"/>
        <w:rPr>
          <w:lang w:val="fr-FR"/>
        </w:rPr>
      </w:pPr>
      <w:r>
        <w:rPr>
          <w:lang w:val="fr-FR"/>
        </w:rPr>
        <w:tab/>
        <w:t>A.</w:t>
      </w:r>
      <w:r w:rsidRPr="004B4555">
        <w:rPr>
          <w:lang w:val="fr-FR"/>
        </w:rPr>
        <w:tab/>
        <w:t>Généralités</w:t>
      </w:r>
    </w:p>
    <w:p w:rsidR="00C63BD0" w:rsidRDefault="00C63BD0" w:rsidP="00C63BD0">
      <w:pPr>
        <w:pStyle w:val="SingleTxtG"/>
        <w:rPr>
          <w:lang w:val="fr-FR"/>
        </w:rPr>
      </w:pPr>
      <w:r>
        <w:rPr>
          <w:lang w:val="fr-FR"/>
        </w:rPr>
        <w:t>17.</w:t>
      </w:r>
      <w:r>
        <w:rPr>
          <w:lang w:val="fr-FR"/>
        </w:rPr>
        <w:tab/>
      </w:r>
      <w:r w:rsidRPr="004B4555">
        <w:rPr>
          <w:lang w:val="fr-FR"/>
        </w:rPr>
        <w:t>Le Groupe de travail a entériné les amendements adoptés par la Réunion commune, avec quelques modifications (voir annexe I).</w:t>
      </w:r>
    </w:p>
    <w:p w:rsidR="00C63BD0" w:rsidRPr="004B4555" w:rsidRDefault="00C63BD0" w:rsidP="00C63BD0">
      <w:pPr>
        <w:pStyle w:val="H1G"/>
        <w:rPr>
          <w:lang w:val="fr-FR"/>
        </w:rPr>
      </w:pPr>
      <w:r w:rsidRPr="004B4555">
        <w:rPr>
          <w:lang w:val="fr-FR"/>
        </w:rPr>
        <w:tab/>
        <w:t>B.</w:t>
      </w:r>
      <w:r w:rsidRPr="004B4555">
        <w:rPr>
          <w:lang w:val="fr-FR"/>
        </w:rPr>
        <w:tab/>
        <w:t>Questions spécifiques</w:t>
      </w:r>
    </w:p>
    <w:p w:rsidR="00C63BD0" w:rsidRDefault="00C63BD0" w:rsidP="00C63BD0">
      <w:pPr>
        <w:pStyle w:val="H23G"/>
        <w:rPr>
          <w:lang w:val="fr-FR"/>
        </w:rPr>
      </w:pPr>
      <w:r w:rsidRPr="004B4555">
        <w:rPr>
          <w:lang w:val="fr-FR"/>
        </w:rPr>
        <w:tab/>
        <w:t>1.</w:t>
      </w:r>
      <w:r w:rsidRPr="004B4555">
        <w:rPr>
          <w:lang w:val="fr-FR"/>
        </w:rPr>
        <w:tab/>
      </w:r>
      <w:r>
        <w:rPr>
          <w:lang w:val="fr-FR"/>
        </w:rPr>
        <w:t>Disposition transitoire 1.6.1.20</w:t>
      </w:r>
    </w:p>
    <w:p w:rsidR="00C63BD0" w:rsidRPr="004B4555" w:rsidRDefault="00C63BD0" w:rsidP="00C63BD0">
      <w:pPr>
        <w:pStyle w:val="SingleTxtG"/>
        <w:keepNext/>
        <w:keepLines/>
        <w:ind w:left="2268" w:hanging="1134"/>
        <w:jc w:val="left"/>
        <w:rPr>
          <w:lang w:val="fr-FR"/>
        </w:rPr>
      </w:pPr>
      <w:r>
        <w:rPr>
          <w:i/>
          <w:lang w:val="fr-FR"/>
        </w:rPr>
        <w:t>Document</w:t>
      </w:r>
      <w:r w:rsidRPr="004B4555">
        <w:rPr>
          <w:lang w:val="fr-FR"/>
        </w:rPr>
        <w:t>:</w:t>
      </w:r>
      <w:r w:rsidRPr="004B4555">
        <w:rPr>
          <w:lang w:val="fr-FR"/>
        </w:rPr>
        <w:tab/>
        <w:t>ECE/TRANS/WP.15/</w:t>
      </w:r>
      <w:r>
        <w:rPr>
          <w:lang w:val="fr-FR"/>
        </w:rPr>
        <w:t>2015/18 (Secrétariat)</w:t>
      </w:r>
    </w:p>
    <w:p w:rsidR="00C63BD0" w:rsidRDefault="00C63BD0" w:rsidP="00C63BD0">
      <w:pPr>
        <w:pStyle w:val="SingleTxtG"/>
        <w:rPr>
          <w:lang w:val="fr-FR"/>
        </w:rPr>
      </w:pPr>
      <w:r>
        <w:rPr>
          <w:lang w:val="fr-FR"/>
        </w:rPr>
        <w:t>18.</w:t>
      </w:r>
      <w:r>
        <w:rPr>
          <w:lang w:val="fr-FR"/>
        </w:rPr>
        <w:tab/>
      </w:r>
      <w:r w:rsidRPr="004B4555">
        <w:rPr>
          <w:lang w:val="fr-FR"/>
        </w:rPr>
        <w:t xml:space="preserve">Le Groupe de travail a </w:t>
      </w:r>
      <w:r>
        <w:rPr>
          <w:lang w:val="fr-FR"/>
        </w:rPr>
        <w:t>adopté les amendements de conséquence proposés par le secrétariat</w:t>
      </w:r>
      <w:r w:rsidRPr="004B4555">
        <w:rPr>
          <w:lang w:val="fr-FR"/>
        </w:rPr>
        <w:t xml:space="preserve"> (voir annexe I).</w:t>
      </w:r>
    </w:p>
    <w:p w:rsidR="00C63BD0" w:rsidRPr="004B4555" w:rsidRDefault="00C63BD0" w:rsidP="00C63BD0">
      <w:pPr>
        <w:pStyle w:val="H23G"/>
        <w:rPr>
          <w:lang w:val="fr-FR"/>
        </w:rPr>
      </w:pPr>
      <w:r w:rsidRPr="004B4555">
        <w:rPr>
          <w:lang w:val="fr-FR"/>
        </w:rPr>
        <w:tab/>
      </w:r>
      <w:r>
        <w:rPr>
          <w:lang w:val="fr-FR"/>
        </w:rPr>
        <w:t>2</w:t>
      </w:r>
      <w:r w:rsidRPr="004B4555">
        <w:rPr>
          <w:lang w:val="fr-FR"/>
        </w:rPr>
        <w:t>.</w:t>
      </w:r>
      <w:r w:rsidRPr="004B4555">
        <w:rPr>
          <w:lang w:val="fr-FR"/>
        </w:rPr>
        <w:tab/>
      </w:r>
      <w:r>
        <w:rPr>
          <w:lang w:val="fr-FR"/>
        </w:rPr>
        <w:t>Champ d’application de la disposition spéciale 668</w:t>
      </w:r>
    </w:p>
    <w:p w:rsidR="00C63BD0" w:rsidRPr="004B4555" w:rsidRDefault="00C63BD0" w:rsidP="00C63BD0">
      <w:pPr>
        <w:pStyle w:val="SingleTxtG"/>
        <w:keepNext/>
        <w:keepLines/>
        <w:ind w:left="2268" w:hanging="1134"/>
        <w:jc w:val="left"/>
        <w:rPr>
          <w:lang w:val="fr-FR"/>
        </w:rPr>
      </w:pPr>
      <w:r>
        <w:rPr>
          <w:i/>
          <w:lang w:val="fr-FR"/>
        </w:rPr>
        <w:t>Document informel</w:t>
      </w:r>
      <w:r w:rsidRPr="004B4555">
        <w:rPr>
          <w:lang w:val="fr-FR"/>
        </w:rPr>
        <w:t>:</w:t>
      </w:r>
      <w:r w:rsidRPr="004B4555">
        <w:rPr>
          <w:lang w:val="fr-FR"/>
        </w:rPr>
        <w:tab/>
      </w:r>
      <w:r>
        <w:rPr>
          <w:lang w:val="fr-FR"/>
        </w:rPr>
        <w:t>INF.20 (Royaume-Uni)</w:t>
      </w:r>
    </w:p>
    <w:p w:rsidR="00C63BD0" w:rsidRDefault="00C63BD0" w:rsidP="00C63BD0">
      <w:pPr>
        <w:pStyle w:val="SingleTxtG"/>
        <w:rPr>
          <w:lang w:val="fr-FR"/>
        </w:rPr>
      </w:pPr>
      <w:r>
        <w:rPr>
          <w:lang w:val="fr-FR"/>
        </w:rPr>
        <w:t>19.</w:t>
      </w:r>
      <w:r>
        <w:rPr>
          <w:lang w:val="fr-FR"/>
        </w:rPr>
        <w:tab/>
        <w:t xml:space="preserve">Notant que les </w:t>
      </w:r>
      <w:r w:rsidRPr="00D939B2">
        <w:rPr>
          <w:lang w:val="fr-FR"/>
        </w:rPr>
        <w:t>matières destinées au marquage routier</w:t>
      </w:r>
      <w:r>
        <w:rPr>
          <w:lang w:val="fr-FR"/>
        </w:rPr>
        <w:t xml:space="preserve"> ne sont pas transportées sous forme solide à </w:t>
      </w:r>
      <w:r w:rsidRPr="00D939B2">
        <w:rPr>
          <w:lang w:val="fr-FR"/>
        </w:rPr>
        <w:t>une température égale ou supérieure à 240 °C</w:t>
      </w:r>
      <w:r>
        <w:rPr>
          <w:lang w:val="fr-FR"/>
        </w:rPr>
        <w:t>, le Groupe de travail a confirmé qu’il n’était pas nécessaire d’affecter la disposition spéciale 668 au No ONU 3258 (</w:t>
      </w:r>
      <w:r w:rsidRPr="00D939B2">
        <w:rPr>
          <w:lang w:val="fr-FR"/>
        </w:rPr>
        <w:t>SOLIDE TRANSPORTÉ À CHAUD, N.S.A., à une température é</w:t>
      </w:r>
      <w:r>
        <w:rPr>
          <w:lang w:val="fr-FR"/>
        </w:rPr>
        <w:t>gale ou supérieure à 240 </w:t>
      </w:r>
      <w:r w:rsidRPr="00D939B2">
        <w:rPr>
          <w:lang w:val="fr-FR"/>
        </w:rPr>
        <w:t>°C</w:t>
      </w:r>
      <w:r>
        <w:rPr>
          <w:lang w:val="fr-FR"/>
        </w:rPr>
        <w:t xml:space="preserve">) </w:t>
      </w:r>
      <w:r w:rsidRPr="004B4555">
        <w:rPr>
          <w:lang w:val="fr-FR"/>
        </w:rPr>
        <w:t>(voir annexe I)</w:t>
      </w:r>
      <w:r>
        <w:rPr>
          <w:lang w:val="fr-FR"/>
        </w:rPr>
        <w:t>.</w:t>
      </w:r>
    </w:p>
    <w:p w:rsidR="00C63BD0" w:rsidRPr="004B4555" w:rsidRDefault="00C63BD0" w:rsidP="00C63BD0">
      <w:pPr>
        <w:pStyle w:val="H23G"/>
        <w:rPr>
          <w:lang w:val="fr-FR"/>
        </w:rPr>
      </w:pPr>
      <w:r w:rsidRPr="004B4555">
        <w:rPr>
          <w:lang w:val="fr-FR"/>
        </w:rPr>
        <w:tab/>
      </w:r>
      <w:r>
        <w:rPr>
          <w:lang w:val="fr-FR"/>
        </w:rPr>
        <w:t>3</w:t>
      </w:r>
      <w:r w:rsidRPr="004B4555">
        <w:rPr>
          <w:lang w:val="fr-FR"/>
        </w:rPr>
        <w:t>.</w:t>
      </w:r>
      <w:r w:rsidRPr="004B4555">
        <w:rPr>
          <w:lang w:val="fr-FR"/>
        </w:rPr>
        <w:tab/>
      </w:r>
      <w:r>
        <w:rPr>
          <w:lang w:val="fr-FR"/>
        </w:rPr>
        <w:t>Disposition spéciale 636 b)</w:t>
      </w:r>
    </w:p>
    <w:p w:rsidR="00C63BD0" w:rsidRDefault="00C63BD0" w:rsidP="00C63BD0">
      <w:pPr>
        <w:pStyle w:val="SingleTxtG"/>
        <w:rPr>
          <w:lang w:val="fr-FR"/>
        </w:rPr>
      </w:pPr>
      <w:r>
        <w:rPr>
          <w:lang w:val="fr-FR"/>
        </w:rPr>
        <w:t>20.</w:t>
      </w:r>
      <w:r>
        <w:rPr>
          <w:lang w:val="fr-FR"/>
        </w:rPr>
        <w:tab/>
        <w:t xml:space="preserve">Le Groupe de travail a noté que les propositions de modifications de la disposition spéciale 636 b) seront encore discutées à la prochaine session de la Réunion commune suite à la prochaine réunion du groupe de </w:t>
      </w:r>
      <w:r>
        <w:t>travail informel sur le transport des équipements électriques et électroniques mis au rebut. Dans l’attente du résultat de ces discussions, ces propositions n’ont pas été étudiées.</w:t>
      </w:r>
    </w:p>
    <w:p w:rsidR="00C63BD0" w:rsidRPr="004B4555" w:rsidRDefault="00C63BD0" w:rsidP="00C63BD0">
      <w:pPr>
        <w:pStyle w:val="H23G"/>
        <w:rPr>
          <w:lang w:val="fr-FR"/>
        </w:rPr>
      </w:pPr>
      <w:r w:rsidRPr="004B4555">
        <w:rPr>
          <w:lang w:val="fr-FR"/>
        </w:rPr>
        <w:tab/>
      </w:r>
      <w:r>
        <w:rPr>
          <w:lang w:val="fr-FR"/>
        </w:rPr>
        <w:t>4</w:t>
      </w:r>
      <w:r w:rsidRPr="004B4555">
        <w:rPr>
          <w:lang w:val="fr-FR"/>
        </w:rPr>
        <w:t>.</w:t>
      </w:r>
      <w:r w:rsidRPr="004B4555">
        <w:rPr>
          <w:lang w:val="fr-FR"/>
        </w:rPr>
        <w:tab/>
      </w:r>
      <w:r>
        <w:rPr>
          <w:lang w:val="fr-FR"/>
        </w:rPr>
        <w:t>Nouvelles dispositions relatives au t</w:t>
      </w:r>
      <w:r w:rsidRPr="00676019">
        <w:rPr>
          <w:lang w:val="fr-FR"/>
        </w:rPr>
        <w:t>ransport de véhicules, moteurs et machines</w:t>
      </w:r>
    </w:p>
    <w:p w:rsidR="00C63BD0" w:rsidRPr="004B4555" w:rsidRDefault="00C63BD0" w:rsidP="00C63BD0">
      <w:pPr>
        <w:pStyle w:val="SingleTxtG"/>
        <w:keepNext/>
        <w:keepLines/>
        <w:ind w:left="2268" w:hanging="1134"/>
        <w:jc w:val="left"/>
        <w:rPr>
          <w:lang w:val="fr-FR"/>
        </w:rPr>
      </w:pPr>
      <w:r>
        <w:rPr>
          <w:i/>
          <w:lang w:val="fr-FR"/>
        </w:rPr>
        <w:t>Documents informels</w:t>
      </w:r>
      <w:r w:rsidRPr="004B4555">
        <w:rPr>
          <w:lang w:val="fr-FR"/>
        </w:rPr>
        <w:t>:</w:t>
      </w:r>
      <w:r w:rsidRPr="004B4555">
        <w:rPr>
          <w:lang w:val="fr-FR"/>
        </w:rPr>
        <w:tab/>
      </w:r>
      <w:r>
        <w:rPr>
          <w:lang w:val="fr-FR"/>
        </w:rPr>
        <w:t>INF.16 et INF.18 (Suisse)</w:t>
      </w:r>
    </w:p>
    <w:p w:rsidR="00C63BD0" w:rsidRDefault="00C63BD0" w:rsidP="00C63BD0">
      <w:pPr>
        <w:pStyle w:val="SingleTxtG"/>
        <w:rPr>
          <w:lang w:val="fr-FR"/>
        </w:rPr>
      </w:pPr>
      <w:r>
        <w:rPr>
          <w:lang w:val="fr-FR"/>
        </w:rPr>
        <w:t>21.</w:t>
      </w:r>
      <w:r>
        <w:rPr>
          <w:lang w:val="fr-FR"/>
        </w:rPr>
        <w:tab/>
        <w:t>Le Groupe de travail a adopté les nouvelles dispositions proposées par la Réunion commune avec des modifications éditoriales (</w:t>
      </w:r>
      <w:r w:rsidRPr="004B4555">
        <w:rPr>
          <w:lang w:val="fr-FR"/>
        </w:rPr>
        <w:t>voir annexe I</w:t>
      </w:r>
      <w:r>
        <w:rPr>
          <w:lang w:val="fr-FR"/>
        </w:rPr>
        <w:t>).</w:t>
      </w:r>
    </w:p>
    <w:p w:rsidR="00C63BD0" w:rsidRDefault="00C63BD0" w:rsidP="00C63BD0">
      <w:pPr>
        <w:pStyle w:val="SingleTxtG"/>
        <w:rPr>
          <w:lang w:val="fr-FR"/>
        </w:rPr>
      </w:pPr>
      <w:r>
        <w:rPr>
          <w:lang w:val="fr-FR"/>
        </w:rPr>
        <w:lastRenderedPageBreak/>
        <w:t>22.</w:t>
      </w:r>
      <w:r>
        <w:rPr>
          <w:lang w:val="fr-FR"/>
        </w:rPr>
        <w:tab/>
        <w:t>Le Groupe de travail a noté les points soulevés par le représentant de la Suisse dans ses documents informels INF.16 et INF.18 notamment en ce qui concerne:</w:t>
      </w:r>
    </w:p>
    <w:p w:rsidR="00C63BD0" w:rsidRDefault="00C63BD0" w:rsidP="00C63BD0">
      <w:pPr>
        <w:pStyle w:val="SingleTxtG"/>
        <w:rPr>
          <w:lang w:val="fr-FR"/>
        </w:rPr>
      </w:pPr>
      <w:r>
        <w:rPr>
          <w:lang w:val="fr-FR"/>
        </w:rPr>
        <w:t>-</w:t>
      </w:r>
      <w:r>
        <w:rPr>
          <w:lang w:val="fr-FR"/>
        </w:rPr>
        <w:tab/>
        <w:t>les éventuelles contradictions entre les exemptions restant applicables au 1.1.3.2 et 1.1.3.7 et les nouvelles dispositions spéciales introduites;</w:t>
      </w:r>
    </w:p>
    <w:p w:rsidR="00C63BD0" w:rsidRDefault="00C63BD0" w:rsidP="00C63BD0">
      <w:pPr>
        <w:pStyle w:val="SingleTxtG"/>
        <w:rPr>
          <w:lang w:val="fr-FR"/>
        </w:rPr>
      </w:pPr>
      <w:r>
        <w:rPr>
          <w:lang w:val="fr-FR"/>
        </w:rPr>
        <w:t>-</w:t>
      </w:r>
      <w:r>
        <w:rPr>
          <w:lang w:val="fr-FR"/>
        </w:rPr>
        <w:tab/>
        <w:t>les difficultés de mise en œuvre des critères d’exemption du paragraphe g) iv) de la disposition spéciale 363; et</w:t>
      </w:r>
    </w:p>
    <w:p w:rsidR="00C63BD0" w:rsidRDefault="00C63BD0" w:rsidP="00C63BD0">
      <w:pPr>
        <w:pStyle w:val="SingleTxtG"/>
        <w:rPr>
          <w:lang w:val="fr-FR"/>
        </w:rPr>
      </w:pPr>
      <w:r>
        <w:rPr>
          <w:lang w:val="fr-FR"/>
        </w:rPr>
        <w:t>-</w:t>
      </w:r>
      <w:r>
        <w:rPr>
          <w:lang w:val="fr-FR"/>
        </w:rPr>
        <w:tab/>
        <w:t xml:space="preserve">l’absence de proposition pour l’introduction d’une catégorie de transport et d’un code de restriction en tunnel pour les No ONU 3166, 3171, 3528, 3529 et 3530. </w:t>
      </w:r>
    </w:p>
    <w:p w:rsidR="00C63BD0" w:rsidRDefault="00C63BD0" w:rsidP="00C63BD0">
      <w:pPr>
        <w:pStyle w:val="SingleTxtG"/>
        <w:rPr>
          <w:lang w:val="fr-FR"/>
        </w:rPr>
      </w:pPr>
      <w:r>
        <w:rPr>
          <w:lang w:val="fr-FR"/>
        </w:rPr>
        <w:t>23.</w:t>
      </w:r>
      <w:r>
        <w:rPr>
          <w:lang w:val="fr-FR"/>
        </w:rPr>
        <w:tab/>
        <w:t>Certaines délégations ont souhaité disposer de plus de temps pour analyser ces propositions et ont invité le représentant de la Suisse à préparer une proposition officielle pour la prochaine session du Groupe de travail et pour la prochaine session de la Réunion commune pour les points pouvant également concerner le RID et l’ADN.</w:t>
      </w:r>
    </w:p>
    <w:p w:rsidR="00C63BD0" w:rsidRDefault="00C63BD0" w:rsidP="00C63BD0">
      <w:pPr>
        <w:pStyle w:val="SingleTxtG"/>
        <w:rPr>
          <w:lang w:val="fr-FR"/>
        </w:rPr>
      </w:pPr>
      <w:r>
        <w:rPr>
          <w:lang w:val="fr-FR"/>
        </w:rPr>
        <w:t>24.</w:t>
      </w:r>
      <w:r>
        <w:rPr>
          <w:lang w:val="fr-FR"/>
        </w:rPr>
        <w:tab/>
        <w:t>Les délégations qui le souhaiteraient pourront transmettre leurs commentaires par écrit au représentant de la Suisse sur la base des documents informels INF.16 et INF.18.</w:t>
      </w:r>
    </w:p>
    <w:p w:rsidR="000A30A9" w:rsidRDefault="000A30A9" w:rsidP="000A30A9">
      <w:pPr>
        <w:pStyle w:val="SingleTxtG"/>
        <w:rPr>
          <w:lang w:val="fr-FR"/>
        </w:rPr>
      </w:pPr>
      <w:r>
        <w:rPr>
          <w:lang w:val="fr-FR"/>
        </w:rPr>
        <w:t>25.</w:t>
      </w:r>
      <w:r>
        <w:rPr>
          <w:lang w:val="fr-FR"/>
        </w:rPr>
        <w:tab/>
        <w:t>Le représentant de la Suisse a indiqué que la nouvelle disposition spéciale 667 b) pourrait poser des problèmes de mise en œuvre sur le terrain. Il a souhaité que le Groupe de travail se prononce par vote sur l’introduction de cette nouvelle disposition. Par vote, le Groupe de travail a confirmé l’adoption de cette nouvelle disposition spéciale.</w:t>
      </w:r>
    </w:p>
    <w:p w:rsidR="000A30A9" w:rsidRPr="004B4555" w:rsidRDefault="000A30A9" w:rsidP="000A30A9">
      <w:pPr>
        <w:pStyle w:val="H23G"/>
        <w:rPr>
          <w:lang w:val="fr-FR"/>
        </w:rPr>
      </w:pPr>
      <w:r w:rsidRPr="004B4555">
        <w:rPr>
          <w:lang w:val="fr-FR"/>
        </w:rPr>
        <w:tab/>
      </w:r>
      <w:r>
        <w:rPr>
          <w:lang w:val="fr-FR"/>
        </w:rPr>
        <w:t>5</w:t>
      </w:r>
      <w:r w:rsidRPr="004B4555">
        <w:rPr>
          <w:lang w:val="fr-FR"/>
        </w:rPr>
        <w:t>.</w:t>
      </w:r>
      <w:r w:rsidRPr="004B4555">
        <w:rPr>
          <w:lang w:val="fr-FR"/>
        </w:rPr>
        <w:tab/>
      </w:r>
      <w:r>
        <w:rPr>
          <w:lang w:val="fr-FR"/>
        </w:rPr>
        <w:t>Matières qui polymérisent</w:t>
      </w:r>
    </w:p>
    <w:p w:rsidR="000A30A9" w:rsidRDefault="000A30A9" w:rsidP="000A30A9">
      <w:pPr>
        <w:pStyle w:val="SingleTxtG"/>
        <w:rPr>
          <w:lang w:val="fr-FR"/>
        </w:rPr>
      </w:pPr>
      <w:r>
        <w:rPr>
          <w:lang w:val="fr-FR"/>
        </w:rPr>
        <w:t>26.</w:t>
      </w:r>
      <w:r>
        <w:rPr>
          <w:lang w:val="fr-FR"/>
        </w:rPr>
        <w:tab/>
        <w:t>Le Groupe de travail a confirmé l’affectation de la disposition spéciale TE11 aux Nos ONU 3531 à 3534 (voir annexe I).</w:t>
      </w:r>
    </w:p>
    <w:p w:rsidR="000A30A9" w:rsidRPr="004B4555" w:rsidRDefault="000A30A9" w:rsidP="000A30A9">
      <w:pPr>
        <w:pStyle w:val="H23G"/>
        <w:rPr>
          <w:lang w:val="fr-FR"/>
        </w:rPr>
      </w:pPr>
      <w:r w:rsidRPr="004B4555">
        <w:rPr>
          <w:lang w:val="fr-FR"/>
        </w:rPr>
        <w:tab/>
      </w:r>
      <w:r>
        <w:rPr>
          <w:lang w:val="fr-FR"/>
        </w:rPr>
        <w:t>6</w:t>
      </w:r>
      <w:r w:rsidRPr="004B4555">
        <w:rPr>
          <w:lang w:val="fr-FR"/>
        </w:rPr>
        <w:t>.</w:t>
      </w:r>
      <w:r w:rsidRPr="004B4555">
        <w:rPr>
          <w:lang w:val="fr-FR"/>
        </w:rPr>
        <w:tab/>
      </w:r>
      <w:r>
        <w:rPr>
          <w:lang w:val="fr-FR"/>
        </w:rPr>
        <w:t>4.1.1.19.1</w:t>
      </w:r>
    </w:p>
    <w:p w:rsidR="000A30A9" w:rsidRDefault="000A30A9" w:rsidP="000A30A9">
      <w:pPr>
        <w:pStyle w:val="SingleTxtG"/>
        <w:spacing w:before="120"/>
      </w:pPr>
      <w:r>
        <w:t>27.</w:t>
      </w:r>
      <w:r>
        <w:tab/>
        <w:t>Dans l’attente de l’avis des représentants de l’industrie, le Groupe de travail a adopté l’amendement visant à aligner le 4.1.1.19.1 sur le Règlement type de l’ONU tout en notant qu’avec cette nouvelle rédaction, l’ADR ne permettrait plus l’utilisation de GRV comme emballages de secours. Ce paragraphe pourra faire l’objet d’une nouvelle modification à la prochaine session s’il s’avère nécessaire d’y ajouter les GRV.</w:t>
      </w:r>
    </w:p>
    <w:p w:rsidR="000A30A9" w:rsidRPr="004B4555" w:rsidRDefault="000A30A9" w:rsidP="000A30A9">
      <w:pPr>
        <w:pStyle w:val="H23G"/>
        <w:rPr>
          <w:lang w:val="fr-FR"/>
        </w:rPr>
      </w:pPr>
      <w:r w:rsidRPr="004B4555">
        <w:rPr>
          <w:lang w:val="fr-FR"/>
        </w:rPr>
        <w:tab/>
      </w:r>
      <w:r>
        <w:rPr>
          <w:lang w:val="fr-FR"/>
        </w:rPr>
        <w:t>7</w:t>
      </w:r>
      <w:r w:rsidRPr="004B4555">
        <w:rPr>
          <w:lang w:val="fr-FR"/>
        </w:rPr>
        <w:t>.</w:t>
      </w:r>
      <w:r w:rsidRPr="004B4555">
        <w:rPr>
          <w:lang w:val="fr-FR"/>
        </w:rPr>
        <w:tab/>
      </w:r>
      <w:r>
        <w:rPr>
          <w:lang w:val="fr-FR"/>
        </w:rPr>
        <w:t>Instruction d’emballage P200 (5)</w:t>
      </w:r>
    </w:p>
    <w:p w:rsidR="000A30A9" w:rsidRDefault="000A30A9" w:rsidP="000A30A9">
      <w:pPr>
        <w:pStyle w:val="SingleTxtG"/>
        <w:spacing w:before="120"/>
      </w:pPr>
      <w:r>
        <w:t>28.</w:t>
      </w:r>
      <w:r>
        <w:tab/>
      </w:r>
      <w:r>
        <w:rPr>
          <w:lang w:val="fr-FR"/>
        </w:rPr>
        <w:t xml:space="preserve">Le Groupe de travail souhaiterait que le Sous-Comité </w:t>
      </w:r>
      <w:r>
        <w:t>d’experts du transport des marchandises dangereuses de l’ONU vérifie l’emploi des termes «phase liquide» et «composant liquide» dans le texte de l’instruction d’emballage P200 (5).</w:t>
      </w:r>
    </w:p>
    <w:p w:rsidR="000A30A9" w:rsidRPr="004B4555" w:rsidRDefault="000A30A9" w:rsidP="000A30A9">
      <w:pPr>
        <w:pStyle w:val="H23G"/>
        <w:rPr>
          <w:lang w:val="fr-FR"/>
        </w:rPr>
      </w:pPr>
      <w:r w:rsidRPr="004B4555">
        <w:rPr>
          <w:lang w:val="fr-FR"/>
        </w:rPr>
        <w:tab/>
      </w:r>
      <w:r>
        <w:rPr>
          <w:lang w:val="fr-FR"/>
        </w:rPr>
        <w:t>8</w:t>
      </w:r>
      <w:r w:rsidRPr="004B4555">
        <w:rPr>
          <w:lang w:val="fr-FR"/>
        </w:rPr>
        <w:t>.</w:t>
      </w:r>
      <w:r w:rsidRPr="004B4555">
        <w:rPr>
          <w:lang w:val="fr-FR"/>
        </w:rPr>
        <w:tab/>
      </w:r>
      <w:r>
        <w:rPr>
          <w:lang w:val="fr-FR"/>
        </w:rPr>
        <w:t>Consignes écrites</w:t>
      </w:r>
    </w:p>
    <w:p w:rsidR="000A30A9" w:rsidRDefault="000A30A9" w:rsidP="000A30A9">
      <w:pPr>
        <w:pStyle w:val="SingleTxtG"/>
        <w:spacing w:before="120"/>
      </w:pPr>
      <w:r>
        <w:t>29.</w:t>
      </w:r>
      <w:r>
        <w:tab/>
        <w:t xml:space="preserve">Plusieurs délégations ont rappelé qu’il n’était pas souhaitable de modifier régulièrement les consignes écrites et que les modifications adoptées pour l’ADR 2017 étaient justifiées par la nécessité d’y faire figurer la nouvelle étiquette 9A. </w:t>
      </w:r>
    </w:p>
    <w:p w:rsidR="000A30A9" w:rsidRDefault="000A30A9" w:rsidP="000A30A9">
      <w:pPr>
        <w:pStyle w:val="SingleTxtG"/>
        <w:spacing w:before="120"/>
      </w:pPr>
      <w:r>
        <w:t>30.</w:t>
      </w:r>
      <w:r>
        <w:tab/>
        <w:t>Les avis divergeaient sur l’opportunité d’introduire ou non une mesure transitoire pour l’entrée en vigueur du modèle modifié. Les délégations qui le souhaiteraient sont invitées à soumettre leur proposition à la prochaine session de la Réunion commune.</w:t>
      </w:r>
    </w:p>
    <w:p w:rsidR="000A30A9" w:rsidRDefault="000A30A9" w:rsidP="000A30A9">
      <w:pPr>
        <w:pStyle w:val="SingleTxtG"/>
        <w:spacing w:before="120"/>
        <w:rPr>
          <w:rFonts w:ascii="TimesNewRomanPSMT" w:hAnsi="TimesNewRomanPSMT" w:cs="TimesNewRomanPSMT"/>
          <w:lang w:val="fr-FR" w:eastAsia="fr-FR"/>
        </w:rPr>
      </w:pPr>
      <w:r>
        <w:t>31.</w:t>
      </w:r>
      <w:r>
        <w:tab/>
        <w:t xml:space="preserve">Certaines délégations étaient d’avis que, comme cela est déjà le cas pour les certificats de formation des conducteurs, l’ADR devrait contenir une obligation pour les </w:t>
      </w:r>
      <w:r>
        <w:rPr>
          <w:rFonts w:ascii="TimesNewRomanPSMT" w:hAnsi="TimesNewRomanPSMT" w:cs="TimesNewRomanPSMT"/>
          <w:lang w:val="fr-FR" w:eastAsia="fr-FR"/>
        </w:rPr>
        <w:t xml:space="preserve">Parties contractantes de fournir au secrétariat de la CEE-ONU </w:t>
      </w:r>
      <w:r w:rsidRPr="00E6063E">
        <w:rPr>
          <w:rFonts w:ascii="TimesNewRomanPSMT" w:hAnsi="TimesNewRomanPSMT" w:cs="TimesNewRomanPSMT"/>
          <w:lang w:val="fr-FR" w:eastAsia="fr-FR"/>
        </w:rPr>
        <w:t>leurs traductions officielles du modèle de consignes écrites</w:t>
      </w:r>
      <w:r>
        <w:rPr>
          <w:rFonts w:ascii="TimesNewRomanPSMT" w:hAnsi="TimesNewRomanPSMT" w:cs="TimesNewRomanPSMT"/>
          <w:lang w:val="fr-FR" w:eastAsia="fr-FR"/>
        </w:rPr>
        <w:t xml:space="preserve"> afin que le secrétariat les mette à disposition de toutes les Parties contractantes. Il a été noté cependant que suite à la demande du Groupe de travail à</w:t>
      </w:r>
      <w:r w:rsidRPr="00BF4BF7">
        <w:rPr>
          <w:rFonts w:ascii="TimesNewRomanPSMT" w:hAnsi="TimesNewRomanPSMT" w:cs="TimesNewRomanPSMT"/>
          <w:lang w:val="fr-FR" w:eastAsia="fr-FR"/>
        </w:rPr>
        <w:t xml:space="preserve"> </w:t>
      </w:r>
      <w:r w:rsidRPr="00BF4BF7">
        <w:rPr>
          <w:rFonts w:ascii="TimesNewRomanPSMT" w:hAnsi="TimesNewRomanPSMT" w:cs="TimesNewRomanPSMT"/>
          <w:lang w:val="fr-FR" w:eastAsia="fr-FR"/>
        </w:rPr>
        <w:lastRenderedPageBreak/>
        <w:t>sa quatre-vingt-cinquième session</w:t>
      </w:r>
      <w:r>
        <w:rPr>
          <w:rFonts w:ascii="TimesNewRomanPSMT" w:hAnsi="TimesNewRomanPSMT" w:cs="TimesNewRomanPSMT"/>
          <w:lang w:val="fr-FR" w:eastAsia="fr-FR"/>
        </w:rPr>
        <w:t>, de nombreuses traductions étaient déjà disponibles sur le site internet de la CEE-ONU.</w:t>
      </w:r>
    </w:p>
    <w:p w:rsidR="00E9548B" w:rsidRPr="004B4555" w:rsidRDefault="00E9548B" w:rsidP="00E9548B">
      <w:pPr>
        <w:pStyle w:val="H23G"/>
        <w:rPr>
          <w:lang w:val="fr-FR"/>
        </w:rPr>
      </w:pPr>
      <w:r w:rsidRPr="004B4555">
        <w:rPr>
          <w:lang w:val="fr-FR"/>
        </w:rPr>
        <w:tab/>
      </w:r>
      <w:r>
        <w:rPr>
          <w:lang w:val="fr-FR"/>
        </w:rPr>
        <w:t>9</w:t>
      </w:r>
      <w:r w:rsidRPr="004B4555">
        <w:rPr>
          <w:lang w:val="fr-FR"/>
        </w:rPr>
        <w:t>.</w:t>
      </w:r>
      <w:r w:rsidRPr="004B4555">
        <w:rPr>
          <w:lang w:val="fr-FR"/>
        </w:rPr>
        <w:tab/>
      </w:r>
      <w:r>
        <w:rPr>
          <w:lang w:val="fr-FR"/>
        </w:rPr>
        <w:t>Référence à la norme EN 13094:2015</w:t>
      </w:r>
    </w:p>
    <w:p w:rsidR="00E9548B" w:rsidRPr="00763513" w:rsidRDefault="00E9548B" w:rsidP="00E9548B">
      <w:pPr>
        <w:pStyle w:val="SingleTxtG"/>
        <w:spacing w:before="120"/>
        <w:rPr>
          <w:i/>
        </w:rPr>
      </w:pPr>
      <w:r>
        <w:rPr>
          <w:i/>
        </w:rPr>
        <w:t>Document informel: INF.14 (France)</w:t>
      </w:r>
    </w:p>
    <w:p w:rsidR="00E9548B" w:rsidRDefault="00E9548B" w:rsidP="00E9548B">
      <w:pPr>
        <w:pStyle w:val="SingleTxtG"/>
        <w:spacing w:before="120"/>
      </w:pPr>
      <w:r>
        <w:t>32.</w:t>
      </w:r>
      <w:r>
        <w:tab/>
        <w:t>Les modifications proposées par la représentante de la France ont été adoptées (voir annexe I).</w:t>
      </w:r>
    </w:p>
    <w:p w:rsidR="00E9548B" w:rsidRPr="004B4555" w:rsidRDefault="00E9548B" w:rsidP="00E9548B">
      <w:pPr>
        <w:pStyle w:val="H23G"/>
        <w:rPr>
          <w:lang w:val="fr-FR"/>
        </w:rPr>
      </w:pPr>
      <w:r w:rsidRPr="004B4555">
        <w:rPr>
          <w:lang w:val="fr-FR"/>
        </w:rPr>
        <w:tab/>
      </w:r>
      <w:r>
        <w:rPr>
          <w:lang w:val="fr-FR"/>
        </w:rPr>
        <w:t>10</w:t>
      </w:r>
      <w:r w:rsidRPr="004B4555">
        <w:rPr>
          <w:lang w:val="fr-FR"/>
        </w:rPr>
        <w:t>.</w:t>
      </w:r>
      <w:r w:rsidRPr="004B4555">
        <w:rPr>
          <w:lang w:val="fr-FR"/>
        </w:rPr>
        <w:tab/>
      </w:r>
      <w:r>
        <w:rPr>
          <w:lang w:val="fr-FR"/>
        </w:rPr>
        <w:t>Sous-section 1.4.2.2 - Transporteur</w:t>
      </w:r>
    </w:p>
    <w:p w:rsidR="00E9548B" w:rsidRPr="00763513" w:rsidRDefault="00E9548B" w:rsidP="00E9548B">
      <w:pPr>
        <w:pStyle w:val="SingleTxtG"/>
        <w:spacing w:before="120"/>
        <w:rPr>
          <w:i/>
        </w:rPr>
      </w:pPr>
      <w:r>
        <w:rPr>
          <w:i/>
        </w:rPr>
        <w:t>Document informel: INF.6 (Roumanie)</w:t>
      </w:r>
    </w:p>
    <w:p w:rsidR="00E9548B" w:rsidRDefault="00E9548B" w:rsidP="00E9548B">
      <w:pPr>
        <w:pStyle w:val="SingleTxtG"/>
        <w:spacing w:before="120"/>
      </w:pPr>
      <w:r>
        <w:t>33.</w:t>
      </w:r>
      <w:r>
        <w:tab/>
        <w:t>Certaines délégations considéraient que les obligations de sécurité des transporteurs étaient suffisamment claires et détaillées et qu’il n’était pas nécessaire de modifier le texte existant. D’autres délégations souhaitaient disposer de plus de temps pour étudier la proposition de la Roumanie.</w:t>
      </w:r>
    </w:p>
    <w:p w:rsidR="00E9548B" w:rsidRDefault="00E9548B" w:rsidP="00E9548B">
      <w:pPr>
        <w:pStyle w:val="SingleTxtG"/>
        <w:spacing w:before="120"/>
      </w:pPr>
      <w:r>
        <w:t>34.</w:t>
      </w:r>
      <w:r>
        <w:tab/>
        <w:t>Le représentant de la Roumanie présentera une proposition officielle à la prochaine session du Groupe de travail.</w:t>
      </w:r>
    </w:p>
    <w:p w:rsidR="00E9548B" w:rsidRPr="004B4555" w:rsidRDefault="00E9548B" w:rsidP="00E9548B">
      <w:pPr>
        <w:pStyle w:val="H23G"/>
        <w:rPr>
          <w:lang w:val="fr-FR"/>
        </w:rPr>
      </w:pPr>
      <w:r w:rsidRPr="004B4555">
        <w:rPr>
          <w:lang w:val="fr-FR"/>
        </w:rPr>
        <w:tab/>
      </w:r>
      <w:r>
        <w:rPr>
          <w:lang w:val="fr-FR"/>
        </w:rPr>
        <w:t>11</w:t>
      </w:r>
      <w:r w:rsidRPr="004B4555">
        <w:rPr>
          <w:lang w:val="fr-FR"/>
        </w:rPr>
        <w:t>.</w:t>
      </w:r>
      <w:r w:rsidRPr="004B4555">
        <w:rPr>
          <w:lang w:val="fr-FR"/>
        </w:rPr>
        <w:tab/>
      </w:r>
      <w:r>
        <w:rPr>
          <w:lang w:val="fr-FR"/>
        </w:rPr>
        <w:t>Utilisation des termes «véhicule» et «unité de transport»</w:t>
      </w:r>
    </w:p>
    <w:p w:rsidR="00E9548B" w:rsidRPr="00763513" w:rsidRDefault="00E9548B" w:rsidP="00E9548B">
      <w:pPr>
        <w:pStyle w:val="SingleTxtG"/>
        <w:spacing w:before="120"/>
        <w:rPr>
          <w:i/>
        </w:rPr>
      </w:pPr>
      <w:r>
        <w:rPr>
          <w:i/>
        </w:rPr>
        <w:t>Document informel: INF.13 (Autriche)</w:t>
      </w:r>
    </w:p>
    <w:p w:rsidR="00E9548B" w:rsidRDefault="00E9548B" w:rsidP="00E9548B">
      <w:pPr>
        <w:pStyle w:val="SingleTxtG"/>
      </w:pPr>
      <w:r>
        <w:t>35.</w:t>
      </w:r>
      <w:r>
        <w:tab/>
        <w:t>La modification du premier alinéa du 8.1.5.3 proposée par le représentant de l’Autriche a été adoptée avec un amendement de conséquence à la quatrième page du modèle de consignes écrites du 5.4.3.4 (voir annexe I).</w:t>
      </w:r>
    </w:p>
    <w:p w:rsidR="00E6624F" w:rsidRPr="00556C9E" w:rsidRDefault="00E6624F" w:rsidP="00E6624F">
      <w:pPr>
        <w:pStyle w:val="HChG"/>
        <w:spacing w:before="240"/>
        <w:rPr>
          <w:lang w:val="fr-FR"/>
        </w:rPr>
      </w:pPr>
      <w:r w:rsidRPr="00556C9E">
        <w:rPr>
          <w:lang w:val="fr-FR"/>
        </w:rPr>
        <w:tab/>
        <w:t>V</w:t>
      </w:r>
      <w:r>
        <w:rPr>
          <w:lang w:val="fr-FR"/>
        </w:rPr>
        <w:t>II</w:t>
      </w:r>
      <w:r w:rsidRPr="00556C9E">
        <w:rPr>
          <w:lang w:val="fr-FR"/>
        </w:rPr>
        <w:t>.</w:t>
      </w:r>
      <w:r w:rsidRPr="00556C9E">
        <w:rPr>
          <w:lang w:val="fr-FR"/>
        </w:rPr>
        <w:tab/>
      </w:r>
      <w:r w:rsidRPr="006615B4">
        <w:rPr>
          <w:lang w:val="fr-FR"/>
        </w:rPr>
        <w:t>Propositions d'amendement aux annexes A et B de l'ADR</w:t>
      </w:r>
      <w:r>
        <w:rPr>
          <w:lang w:val="fr-FR"/>
        </w:rPr>
        <w:t xml:space="preserve"> (point 6 de l’ordre du jour)</w:t>
      </w:r>
    </w:p>
    <w:p w:rsidR="00E6624F" w:rsidRPr="004B4555" w:rsidRDefault="00E6624F" w:rsidP="00E6624F">
      <w:pPr>
        <w:pStyle w:val="H1G"/>
        <w:spacing w:before="240"/>
        <w:rPr>
          <w:lang w:val="fr-FR"/>
        </w:rPr>
      </w:pPr>
      <w:r w:rsidRPr="004B4555">
        <w:rPr>
          <w:lang w:val="fr-FR"/>
        </w:rPr>
        <w:tab/>
      </w:r>
      <w:r>
        <w:rPr>
          <w:lang w:val="fr-FR"/>
        </w:rPr>
        <w:t>A</w:t>
      </w:r>
      <w:r w:rsidRPr="004B4555">
        <w:rPr>
          <w:lang w:val="fr-FR"/>
        </w:rPr>
        <w:t>.</w:t>
      </w:r>
      <w:r w:rsidRPr="004B4555">
        <w:rPr>
          <w:lang w:val="fr-FR"/>
        </w:rPr>
        <w:tab/>
      </w:r>
      <w:r w:rsidRPr="006615B4">
        <w:rPr>
          <w:lang w:val="fr-FR"/>
        </w:rPr>
        <w:t>Construction et agrément des véhicules</w:t>
      </w:r>
    </w:p>
    <w:p w:rsidR="00E6624F" w:rsidRPr="004B4555" w:rsidRDefault="00E6624F" w:rsidP="00E6624F">
      <w:pPr>
        <w:pStyle w:val="H23G"/>
        <w:rPr>
          <w:lang w:val="fr-FR"/>
        </w:rPr>
      </w:pPr>
      <w:r w:rsidRPr="004B4555">
        <w:rPr>
          <w:lang w:val="fr-FR"/>
        </w:rPr>
        <w:tab/>
      </w:r>
      <w:r>
        <w:rPr>
          <w:lang w:val="fr-FR"/>
        </w:rPr>
        <w:t>1</w:t>
      </w:r>
      <w:r w:rsidRPr="004B4555">
        <w:rPr>
          <w:lang w:val="fr-FR"/>
        </w:rPr>
        <w:t>.</w:t>
      </w:r>
      <w:r w:rsidRPr="004B4555">
        <w:rPr>
          <w:lang w:val="fr-FR"/>
        </w:rPr>
        <w:tab/>
      </w:r>
      <w:r>
        <w:rPr>
          <w:lang w:val="fr-FR"/>
        </w:rPr>
        <w:t>E</w:t>
      </w:r>
      <w:r w:rsidRPr="00F876E7">
        <w:rPr>
          <w:lang w:val="fr-FR"/>
        </w:rPr>
        <w:t>quipement électrique des véhicules transportant des marchandises dangereuses</w:t>
      </w:r>
    </w:p>
    <w:p w:rsidR="00E6624F" w:rsidRPr="00763513" w:rsidRDefault="00E6624F" w:rsidP="00E6624F">
      <w:pPr>
        <w:pStyle w:val="SingleTxtG"/>
        <w:spacing w:before="120"/>
        <w:jc w:val="left"/>
        <w:rPr>
          <w:i/>
        </w:rPr>
      </w:pPr>
      <w:r>
        <w:rPr>
          <w:i/>
        </w:rPr>
        <w:t xml:space="preserve">Document: </w:t>
      </w:r>
      <w:r>
        <w:rPr>
          <w:i/>
        </w:rPr>
        <w:tab/>
      </w:r>
      <w:r>
        <w:rPr>
          <w:i/>
        </w:rPr>
        <w:tab/>
      </w:r>
      <w:r w:rsidRPr="00957A47">
        <w:t>ECE/TRANS/WP.15/2015/15 (Pays-Bas)</w:t>
      </w:r>
    </w:p>
    <w:p w:rsidR="00E6624F" w:rsidRPr="00957A47" w:rsidRDefault="00E6624F" w:rsidP="00E6624F">
      <w:pPr>
        <w:pStyle w:val="SingleTxtG"/>
        <w:spacing w:before="120"/>
      </w:pPr>
      <w:r>
        <w:rPr>
          <w:i/>
        </w:rPr>
        <w:t xml:space="preserve">Documents informels: </w:t>
      </w:r>
      <w:r w:rsidRPr="00957A47">
        <w:t>INF.7 (Pays-Bas), INF.8 (Roumanie)</w:t>
      </w:r>
    </w:p>
    <w:p w:rsidR="00E6624F" w:rsidRDefault="00E6624F" w:rsidP="00E6624F">
      <w:pPr>
        <w:pStyle w:val="SingleTxtG"/>
        <w:spacing w:before="120"/>
      </w:pPr>
      <w:r>
        <w:t>36.</w:t>
      </w:r>
      <w:r>
        <w:tab/>
        <w:t xml:space="preserve">Le Groupe de travail </w:t>
      </w:r>
      <w:r w:rsidRPr="00DF3E0D">
        <w:t>a remercié le représentant des Pays-Bas et les autres membres du groupe de travail informel pour le travail accompli.</w:t>
      </w:r>
    </w:p>
    <w:p w:rsidR="00E6624F" w:rsidRDefault="00E6624F" w:rsidP="00E6624F">
      <w:pPr>
        <w:pStyle w:val="SingleTxtG"/>
        <w:spacing w:before="120"/>
      </w:pPr>
      <w:r>
        <w:t>37.</w:t>
      </w:r>
      <w:r>
        <w:tab/>
        <w:t xml:space="preserve">Les propositions d’amendements figurant dans le document </w:t>
      </w:r>
      <w:r w:rsidRPr="00F876E7">
        <w:t>ECE/TRANS/WP.15/2015/15</w:t>
      </w:r>
      <w:r>
        <w:t xml:space="preserve"> telles que modifiées dans les documents informels INF.7 et INF.8 ont été adoptées avec des modifications supplémentaires (voir annexe I).</w:t>
      </w:r>
    </w:p>
    <w:p w:rsidR="00E6624F" w:rsidRDefault="00E6624F" w:rsidP="00E6624F">
      <w:pPr>
        <w:pStyle w:val="SingleTxtG"/>
        <w:spacing w:before="120"/>
      </w:pPr>
      <w:r>
        <w:t>38.</w:t>
      </w:r>
      <w:r>
        <w:tab/>
        <w:t>Le Groupe de travail a donné mandat au secrétariat pour effectuer des corrections éditoriales dans le texte adopté tel qu’il figurera dans la version finale des amendements, notamment en ce qui concerne la terminologie utilisée dans la version française, la présentation des dates limites d’application des prescriptions et la numérotation des commentaires du tableau du 9.2.1.1.</w:t>
      </w:r>
    </w:p>
    <w:p w:rsidR="00E6624F" w:rsidRPr="004369FC" w:rsidRDefault="00E6624F" w:rsidP="00E6624F">
      <w:pPr>
        <w:pStyle w:val="H23G"/>
        <w:rPr>
          <w:lang w:val="fr-FR"/>
        </w:rPr>
      </w:pPr>
      <w:r w:rsidRPr="004369FC">
        <w:rPr>
          <w:lang w:val="fr-FR"/>
        </w:rPr>
        <w:lastRenderedPageBreak/>
        <w:tab/>
        <w:t>2.</w:t>
      </w:r>
      <w:r w:rsidRPr="004369FC">
        <w:rPr>
          <w:lang w:val="fr-FR"/>
        </w:rPr>
        <w:tab/>
        <w:t>Utilisation du gaz naturel liquéfié (GNL), du gaz naturel comprimé (GNC) et du gaz de pétrole liquéfié (GPL) en tant que carburant pour les véhicules transportant des marchandises dangereuses</w:t>
      </w:r>
    </w:p>
    <w:p w:rsidR="00E6624F" w:rsidRPr="004369FC" w:rsidRDefault="00E6624F" w:rsidP="00E6624F">
      <w:pPr>
        <w:pStyle w:val="SingleTxtG"/>
        <w:spacing w:before="120"/>
        <w:jc w:val="left"/>
        <w:rPr>
          <w:i/>
          <w:lang w:val="fr-FR"/>
        </w:rPr>
      </w:pPr>
      <w:r w:rsidRPr="004369FC">
        <w:rPr>
          <w:i/>
          <w:lang w:val="fr-FR"/>
        </w:rPr>
        <w:t xml:space="preserve">Documents: </w:t>
      </w:r>
      <w:r w:rsidRPr="004369FC">
        <w:rPr>
          <w:i/>
          <w:lang w:val="fr-FR"/>
        </w:rPr>
        <w:tab/>
      </w:r>
      <w:r w:rsidRPr="004369FC">
        <w:rPr>
          <w:i/>
          <w:lang w:val="fr-FR"/>
        </w:rPr>
        <w:tab/>
      </w:r>
      <w:r w:rsidRPr="004369FC">
        <w:rPr>
          <w:lang w:val="fr-FR"/>
        </w:rPr>
        <w:t>ECE/TRANS/WP.15/2015/16 (AEGPL et NGV Global)</w:t>
      </w:r>
      <w:r w:rsidRPr="004369FC">
        <w:rPr>
          <w:lang w:val="fr-FR"/>
        </w:rPr>
        <w:br/>
      </w:r>
      <w:r w:rsidRPr="004369FC">
        <w:rPr>
          <w:lang w:val="fr-FR"/>
        </w:rPr>
        <w:tab/>
      </w:r>
      <w:r w:rsidRPr="004369FC">
        <w:rPr>
          <w:lang w:val="fr-FR"/>
        </w:rPr>
        <w:tab/>
      </w:r>
      <w:r w:rsidRPr="004369FC">
        <w:rPr>
          <w:lang w:val="fr-FR"/>
        </w:rPr>
        <w:tab/>
        <w:t>ECE/TRANS/WP.15/2015/17 (Allemagne)</w:t>
      </w:r>
    </w:p>
    <w:p w:rsidR="00E6624F" w:rsidRPr="004369FC" w:rsidRDefault="00E6624F" w:rsidP="00E6624F">
      <w:pPr>
        <w:pStyle w:val="SingleTxtG"/>
        <w:spacing w:before="120"/>
        <w:rPr>
          <w:lang w:val="fr-FR"/>
        </w:rPr>
      </w:pPr>
      <w:r w:rsidRPr="004369FC">
        <w:rPr>
          <w:i/>
          <w:lang w:val="fr-FR"/>
        </w:rPr>
        <w:t xml:space="preserve">Documents informels: </w:t>
      </w:r>
      <w:r w:rsidRPr="004369FC">
        <w:rPr>
          <w:lang w:val="fr-FR"/>
        </w:rPr>
        <w:t>INF.15 et INF.23 (AEGPL et NGV Global), INF.24 (Secrétariat)</w:t>
      </w:r>
    </w:p>
    <w:p w:rsidR="00614EFC" w:rsidRPr="004369FC" w:rsidRDefault="00614EFC" w:rsidP="00614EFC">
      <w:pPr>
        <w:pStyle w:val="SingleTxtG"/>
        <w:spacing w:before="120"/>
        <w:rPr>
          <w:lang w:val="fr-FR"/>
        </w:rPr>
      </w:pPr>
      <w:r>
        <w:rPr>
          <w:lang w:val="fr-FR"/>
        </w:rPr>
        <w:t>39</w:t>
      </w:r>
      <w:r w:rsidRPr="004369FC">
        <w:rPr>
          <w:lang w:val="fr-FR"/>
        </w:rPr>
        <w:t>.</w:t>
      </w:r>
      <w:r w:rsidRPr="004369FC">
        <w:rPr>
          <w:lang w:val="fr-FR"/>
        </w:rPr>
        <w:tab/>
        <w:t>Après discussion, le Groupe de travail a adopté les amendements tels que présentés dans le document informel INF.24, sur la base des documents de AEGPL et NGV Global et de l’Allemagne, avec quelques modifications (voir annexe I).</w:t>
      </w:r>
    </w:p>
    <w:p w:rsidR="00614EFC" w:rsidRPr="004369FC" w:rsidRDefault="00614EFC" w:rsidP="00614EFC">
      <w:pPr>
        <w:pStyle w:val="SingleTxtG"/>
        <w:spacing w:before="120"/>
        <w:rPr>
          <w:lang w:val="fr-FR"/>
        </w:rPr>
      </w:pPr>
      <w:r>
        <w:rPr>
          <w:lang w:val="fr-FR"/>
        </w:rPr>
        <w:t>40</w:t>
      </w:r>
      <w:r w:rsidRPr="004369FC">
        <w:rPr>
          <w:lang w:val="fr-FR"/>
        </w:rPr>
        <w:t>.</w:t>
      </w:r>
      <w:r w:rsidRPr="004369FC">
        <w:rPr>
          <w:lang w:val="fr-FR"/>
        </w:rPr>
        <w:tab/>
        <w:t>Les avis étaient partagés sur la question d’avoir ou non des limites de quantités pour l’application de l’exemption du 1.1.3.2 a) et sur les valeurs à donner à ces quantités maximales le cas échéant. Ce point pourra être discuté à la prochaine session sur la base d’une proposition officielle.</w:t>
      </w:r>
    </w:p>
    <w:p w:rsidR="00614EFC" w:rsidRPr="004369FC" w:rsidRDefault="00614EFC" w:rsidP="00614EFC">
      <w:pPr>
        <w:pStyle w:val="SingleTxtG"/>
        <w:spacing w:before="120"/>
        <w:rPr>
          <w:lang w:val="fr-FR"/>
        </w:rPr>
      </w:pPr>
      <w:r>
        <w:rPr>
          <w:lang w:val="fr-FR"/>
        </w:rPr>
        <w:t>41</w:t>
      </w:r>
      <w:r w:rsidRPr="004369FC">
        <w:rPr>
          <w:lang w:val="fr-FR"/>
        </w:rPr>
        <w:t>.</w:t>
      </w:r>
      <w:r w:rsidRPr="004369FC">
        <w:rPr>
          <w:lang w:val="fr-FR"/>
        </w:rPr>
        <w:tab/>
        <w:t xml:space="preserve">Par vote, le Groupe de travail a rejeté la proposition d’introduire dans l’ADR la mesure transitoire 1.6.5.17 et </w:t>
      </w:r>
      <w:r>
        <w:rPr>
          <w:lang w:val="fr-FR"/>
        </w:rPr>
        <w:t>l’amendement</w:t>
      </w:r>
      <w:r w:rsidRPr="004369FC">
        <w:rPr>
          <w:lang w:val="fr-FR"/>
        </w:rPr>
        <w:t xml:space="preserve"> figurant dans le document informel INF.9 a été supprimé en conséquence.</w:t>
      </w:r>
    </w:p>
    <w:p w:rsidR="00614EFC" w:rsidRPr="004369FC" w:rsidRDefault="00614EFC" w:rsidP="00614EFC">
      <w:pPr>
        <w:pStyle w:val="H23G"/>
        <w:rPr>
          <w:lang w:val="fr-FR"/>
        </w:rPr>
      </w:pPr>
      <w:r w:rsidRPr="004369FC">
        <w:rPr>
          <w:lang w:val="fr-FR"/>
        </w:rPr>
        <w:tab/>
        <w:t>3.</w:t>
      </w:r>
      <w:r w:rsidRPr="004369FC">
        <w:rPr>
          <w:lang w:val="fr-FR"/>
        </w:rPr>
        <w:tab/>
        <w:t>Règlement ECE No 13</w:t>
      </w:r>
    </w:p>
    <w:p w:rsidR="00614EFC" w:rsidRPr="004369FC" w:rsidRDefault="00614EFC" w:rsidP="00614EFC">
      <w:pPr>
        <w:pStyle w:val="SingleTxtG"/>
        <w:spacing w:before="120"/>
        <w:rPr>
          <w:lang w:val="fr-FR"/>
        </w:rPr>
      </w:pPr>
      <w:r w:rsidRPr="004369FC">
        <w:rPr>
          <w:i/>
          <w:lang w:val="fr-FR"/>
        </w:rPr>
        <w:t xml:space="preserve">Document informel: </w:t>
      </w:r>
      <w:r w:rsidRPr="004369FC">
        <w:rPr>
          <w:lang w:val="fr-FR"/>
        </w:rPr>
        <w:t>INF.4 (Pays-Bas)</w:t>
      </w:r>
    </w:p>
    <w:p w:rsidR="00614EFC" w:rsidRPr="004369FC" w:rsidRDefault="00614EFC" w:rsidP="00614EFC">
      <w:pPr>
        <w:pStyle w:val="SingleTxtG"/>
        <w:spacing w:before="120"/>
        <w:rPr>
          <w:lang w:val="fr-FR"/>
        </w:rPr>
      </w:pPr>
      <w:r>
        <w:rPr>
          <w:lang w:val="fr-FR"/>
        </w:rPr>
        <w:t>42</w:t>
      </w:r>
      <w:r w:rsidRPr="004369FC">
        <w:rPr>
          <w:lang w:val="fr-FR"/>
        </w:rPr>
        <w:t>.</w:t>
      </w:r>
      <w:r w:rsidRPr="004369FC">
        <w:rPr>
          <w:lang w:val="fr-FR"/>
        </w:rPr>
        <w:tab/>
        <w:t>Le Groupe de travail a confirmé les propositions de mise à jour du Règlement ECE No 13 en ce qui concerne les dispositifs de freinage d'endurance pour les remorques. Il a demandé au secrétariat de transmettre ces propositions au secrétariat du Forum mondial de l’harmonisation des Règlements concernant les véhicules (WP.29).</w:t>
      </w:r>
    </w:p>
    <w:p w:rsidR="00E6624F" w:rsidRPr="004B4555" w:rsidRDefault="00E6624F" w:rsidP="00E6624F">
      <w:pPr>
        <w:pStyle w:val="H1G"/>
        <w:spacing w:before="240"/>
        <w:rPr>
          <w:lang w:val="fr-FR"/>
        </w:rPr>
      </w:pPr>
      <w:r w:rsidRPr="004B4555">
        <w:rPr>
          <w:lang w:val="fr-FR"/>
        </w:rPr>
        <w:tab/>
      </w:r>
      <w:r>
        <w:rPr>
          <w:lang w:val="fr-FR"/>
        </w:rPr>
        <w:t>B</w:t>
      </w:r>
      <w:r w:rsidRPr="004B4555">
        <w:rPr>
          <w:lang w:val="fr-FR"/>
        </w:rPr>
        <w:t>.</w:t>
      </w:r>
      <w:r w:rsidRPr="004B4555">
        <w:rPr>
          <w:lang w:val="fr-FR"/>
        </w:rPr>
        <w:tab/>
      </w:r>
      <w:r w:rsidRPr="006615B4">
        <w:rPr>
          <w:lang w:val="fr-FR"/>
        </w:rPr>
        <w:t>Propositions diverses</w:t>
      </w:r>
    </w:p>
    <w:p w:rsidR="00E6624F" w:rsidRPr="004B4555" w:rsidRDefault="00E6624F" w:rsidP="00E6624F">
      <w:pPr>
        <w:pStyle w:val="H23G"/>
        <w:rPr>
          <w:lang w:val="fr-FR"/>
        </w:rPr>
      </w:pPr>
      <w:r w:rsidRPr="004B4555">
        <w:rPr>
          <w:lang w:val="fr-FR"/>
        </w:rPr>
        <w:tab/>
      </w:r>
      <w:r>
        <w:rPr>
          <w:lang w:val="fr-FR"/>
        </w:rPr>
        <w:t>1</w:t>
      </w:r>
      <w:r w:rsidRPr="004B4555">
        <w:rPr>
          <w:lang w:val="fr-FR"/>
        </w:rPr>
        <w:t>.</w:t>
      </w:r>
      <w:r w:rsidRPr="004B4555">
        <w:rPr>
          <w:lang w:val="fr-FR"/>
        </w:rPr>
        <w:tab/>
      </w:r>
      <w:r>
        <w:t>D</w:t>
      </w:r>
      <w:r w:rsidRPr="00CC65C3">
        <w:t>éfinition du transport par des particuliers selon le 1.1.3.1 a)</w:t>
      </w:r>
    </w:p>
    <w:p w:rsidR="00E6624F" w:rsidRPr="00957A47" w:rsidRDefault="00E6624F" w:rsidP="00E6624F">
      <w:pPr>
        <w:pStyle w:val="SingleTxtG"/>
        <w:spacing w:before="120"/>
        <w:jc w:val="left"/>
      </w:pPr>
      <w:r>
        <w:rPr>
          <w:i/>
        </w:rPr>
        <w:t xml:space="preserve">Document: </w:t>
      </w:r>
      <w:r>
        <w:rPr>
          <w:i/>
        </w:rPr>
        <w:tab/>
      </w:r>
      <w:r w:rsidRPr="00957A47">
        <w:t>ECE/TRANS/WP.15/2015/7 (Suisse)</w:t>
      </w:r>
    </w:p>
    <w:p w:rsidR="00E6624F" w:rsidRDefault="00E8142E" w:rsidP="00E6624F">
      <w:pPr>
        <w:pStyle w:val="SingleTxtG"/>
        <w:spacing w:before="120"/>
      </w:pPr>
      <w:r>
        <w:t>43</w:t>
      </w:r>
      <w:r w:rsidR="00E6624F">
        <w:t>.</w:t>
      </w:r>
      <w:r w:rsidR="00E6624F">
        <w:tab/>
        <w:t>Plusieurs délégations ont indiqué qu’elles considéraient le texte actuel comme étant clair et ne posant pas de problème d’interprétation ou de mise en œuvre.</w:t>
      </w:r>
    </w:p>
    <w:p w:rsidR="00E6624F" w:rsidRDefault="00E8142E" w:rsidP="00E6624F">
      <w:pPr>
        <w:pStyle w:val="SingleTxtG"/>
        <w:spacing w:before="120"/>
      </w:pPr>
      <w:r>
        <w:t>44</w:t>
      </w:r>
      <w:r w:rsidR="00E6624F">
        <w:t>.</w:t>
      </w:r>
      <w:r w:rsidR="00E6624F">
        <w:tab/>
        <w:t>D’autres délégations ont accueilli favorablement l’idée de clarifier le texte du 1.1.3.1 a) mais n’étaient pas favorables aux solutions proposées.</w:t>
      </w:r>
    </w:p>
    <w:p w:rsidR="00E6624F" w:rsidRDefault="00E8142E" w:rsidP="00E6624F">
      <w:pPr>
        <w:pStyle w:val="SingleTxtG"/>
        <w:spacing w:before="120"/>
      </w:pPr>
      <w:r>
        <w:t>45</w:t>
      </w:r>
      <w:r w:rsidR="00E6624F">
        <w:t>.</w:t>
      </w:r>
      <w:r w:rsidR="00E6624F">
        <w:tab/>
        <w:t>La proposition de la Suisse a été retirée.</w:t>
      </w:r>
    </w:p>
    <w:p w:rsidR="00614EFC" w:rsidRPr="004369FC" w:rsidRDefault="00614EFC" w:rsidP="00614EFC">
      <w:pPr>
        <w:pStyle w:val="H23G"/>
        <w:rPr>
          <w:lang w:val="fr-FR"/>
        </w:rPr>
      </w:pPr>
      <w:r w:rsidRPr="004369FC">
        <w:rPr>
          <w:lang w:val="fr-FR"/>
        </w:rPr>
        <w:tab/>
        <w:t>2.</w:t>
      </w:r>
      <w:r w:rsidRPr="004369FC">
        <w:rPr>
          <w:lang w:val="fr-FR"/>
        </w:rPr>
        <w:tab/>
        <w:t>Certificat d’empotage conformément au code IMDG</w:t>
      </w:r>
    </w:p>
    <w:p w:rsidR="00614EFC" w:rsidRPr="004369FC" w:rsidRDefault="00614EFC" w:rsidP="00614EFC">
      <w:pPr>
        <w:pStyle w:val="SingleTxtG"/>
        <w:spacing w:before="120"/>
        <w:jc w:val="left"/>
        <w:rPr>
          <w:lang w:val="fr-FR"/>
        </w:rPr>
      </w:pPr>
      <w:r w:rsidRPr="004369FC">
        <w:rPr>
          <w:i/>
          <w:lang w:val="fr-FR"/>
        </w:rPr>
        <w:t xml:space="preserve">Document: </w:t>
      </w:r>
      <w:r w:rsidRPr="004369FC">
        <w:rPr>
          <w:i/>
          <w:lang w:val="fr-FR"/>
        </w:rPr>
        <w:tab/>
      </w:r>
      <w:r w:rsidRPr="004369FC">
        <w:rPr>
          <w:lang w:val="fr-FR"/>
        </w:rPr>
        <w:t>ECE/TRANS/WP.15/2015/11 (Royaume-Uni)</w:t>
      </w:r>
    </w:p>
    <w:p w:rsidR="00614EFC" w:rsidRDefault="00614EFC" w:rsidP="00614EFC">
      <w:pPr>
        <w:pStyle w:val="SingleTxtG"/>
        <w:spacing w:before="120"/>
        <w:rPr>
          <w:lang w:val="fr-FR"/>
        </w:rPr>
      </w:pPr>
      <w:r w:rsidRPr="004369FC">
        <w:rPr>
          <w:lang w:val="fr-FR"/>
        </w:rPr>
        <w:t>46.</w:t>
      </w:r>
      <w:r w:rsidRPr="004369FC">
        <w:rPr>
          <w:lang w:val="fr-FR"/>
        </w:rPr>
        <w:tab/>
        <w:t>Le Groupe de travail a adopté la proposition d’amendement du 5.4.2 visant à aligner le texte sur celui du code IMDG avec quelques modifications (voir annexe I).</w:t>
      </w:r>
    </w:p>
    <w:p w:rsidR="00614EFC" w:rsidRPr="004369FC" w:rsidRDefault="00614EFC" w:rsidP="00614EFC">
      <w:pPr>
        <w:pStyle w:val="SingleTxtG"/>
        <w:spacing w:before="120"/>
        <w:rPr>
          <w:lang w:val="fr-FR"/>
        </w:rPr>
      </w:pPr>
      <w:r>
        <w:rPr>
          <w:lang w:val="fr-FR"/>
        </w:rPr>
        <w:t>47.</w:t>
      </w:r>
      <w:r>
        <w:rPr>
          <w:lang w:val="fr-FR"/>
        </w:rPr>
        <w:tab/>
        <w:t xml:space="preserve">Le Groupe de travail n’a pas adopté la proposition de l’Espagne, formulée en session, d’inclure les véhicules dans le champ d’application du premier paragraphe du 5.4.2. </w:t>
      </w:r>
    </w:p>
    <w:p w:rsidR="00614EFC" w:rsidRPr="004369FC" w:rsidRDefault="00614EFC" w:rsidP="00614EFC">
      <w:pPr>
        <w:pStyle w:val="H23G"/>
        <w:rPr>
          <w:lang w:val="fr-FR"/>
        </w:rPr>
      </w:pPr>
      <w:r w:rsidRPr="004369FC">
        <w:rPr>
          <w:lang w:val="fr-FR"/>
        </w:rPr>
        <w:tab/>
        <w:t>3.</w:t>
      </w:r>
      <w:r w:rsidRPr="004369FC">
        <w:rPr>
          <w:lang w:val="fr-FR"/>
        </w:rPr>
        <w:tab/>
        <w:t>Limitations relatives aux matières et objets explosibles</w:t>
      </w:r>
    </w:p>
    <w:p w:rsidR="00614EFC" w:rsidRPr="004369FC" w:rsidRDefault="00614EFC" w:rsidP="00614EFC">
      <w:pPr>
        <w:pStyle w:val="SingleTxtG"/>
        <w:spacing w:before="120"/>
        <w:jc w:val="left"/>
        <w:rPr>
          <w:lang w:val="fr-FR"/>
        </w:rPr>
      </w:pPr>
      <w:r w:rsidRPr="004369FC">
        <w:rPr>
          <w:i/>
          <w:lang w:val="fr-FR"/>
        </w:rPr>
        <w:t xml:space="preserve">Document: </w:t>
      </w:r>
      <w:r w:rsidRPr="004369FC">
        <w:rPr>
          <w:i/>
          <w:lang w:val="fr-FR"/>
        </w:rPr>
        <w:tab/>
      </w:r>
      <w:r w:rsidRPr="004369FC">
        <w:rPr>
          <w:lang w:val="fr-FR"/>
        </w:rPr>
        <w:t>ECE/TRANS/WP.15/2015/9 (France)</w:t>
      </w:r>
    </w:p>
    <w:p w:rsidR="00614EFC" w:rsidRPr="004369FC" w:rsidRDefault="00614EFC" w:rsidP="00614EFC">
      <w:pPr>
        <w:pStyle w:val="SingleTxtG"/>
        <w:spacing w:before="120"/>
        <w:rPr>
          <w:lang w:val="fr-FR"/>
        </w:rPr>
      </w:pPr>
      <w:r>
        <w:rPr>
          <w:lang w:val="fr-FR"/>
        </w:rPr>
        <w:lastRenderedPageBreak/>
        <w:t>48</w:t>
      </w:r>
      <w:r w:rsidRPr="004369FC">
        <w:rPr>
          <w:lang w:val="fr-FR"/>
        </w:rPr>
        <w:t>.</w:t>
      </w:r>
      <w:r w:rsidRPr="004369FC">
        <w:rPr>
          <w:lang w:val="fr-FR"/>
        </w:rPr>
        <w:tab/>
        <w:t>Le Groupe de travail a adopté la proposition alternative formulée en session par la représentante de la France et visant à ajouter une nouvelle phrase à la disposition spéciale V2 afin de couvrir le cas des unités de transport composées à la fois d’un véhicule EX/II et d’un véhicule EX/III (voir annexe I).</w:t>
      </w:r>
    </w:p>
    <w:p w:rsidR="00614EFC" w:rsidRPr="004369FC" w:rsidRDefault="00614EFC" w:rsidP="00614EFC">
      <w:pPr>
        <w:pStyle w:val="H23G"/>
        <w:rPr>
          <w:lang w:val="fr-FR"/>
        </w:rPr>
      </w:pPr>
      <w:r w:rsidRPr="004369FC">
        <w:rPr>
          <w:lang w:val="fr-FR"/>
        </w:rPr>
        <w:tab/>
        <w:t>4.</w:t>
      </w:r>
      <w:r w:rsidRPr="004369FC">
        <w:rPr>
          <w:lang w:val="fr-FR"/>
        </w:rPr>
        <w:tab/>
        <w:t>Simplification du texte du 1.9.5.2.2 pour la catégorie de tunnel E</w:t>
      </w:r>
    </w:p>
    <w:p w:rsidR="00614EFC" w:rsidRPr="004369FC" w:rsidRDefault="00614EFC" w:rsidP="00614EFC">
      <w:pPr>
        <w:pStyle w:val="SingleTxtG"/>
        <w:spacing w:before="120"/>
        <w:jc w:val="left"/>
        <w:rPr>
          <w:lang w:val="fr-FR"/>
        </w:rPr>
      </w:pPr>
      <w:r w:rsidRPr="004369FC">
        <w:rPr>
          <w:i/>
          <w:lang w:val="fr-FR"/>
        </w:rPr>
        <w:t xml:space="preserve">Document: </w:t>
      </w:r>
      <w:r w:rsidRPr="004369FC">
        <w:rPr>
          <w:i/>
          <w:lang w:val="fr-FR"/>
        </w:rPr>
        <w:tab/>
      </w:r>
      <w:r w:rsidRPr="004369FC">
        <w:rPr>
          <w:lang w:val="fr-FR"/>
        </w:rPr>
        <w:t>ECE/TRANS/WP.15/2015/12 (</w:t>
      </w:r>
      <w:proofErr w:type="spellStart"/>
      <w:r w:rsidRPr="004369FC">
        <w:rPr>
          <w:lang w:val="fr-FR"/>
        </w:rPr>
        <w:t>Royaume-uni</w:t>
      </w:r>
      <w:proofErr w:type="spellEnd"/>
      <w:r w:rsidRPr="004369FC">
        <w:rPr>
          <w:lang w:val="fr-FR"/>
        </w:rPr>
        <w:t>)</w:t>
      </w:r>
    </w:p>
    <w:p w:rsidR="00614EFC" w:rsidRPr="004369FC" w:rsidRDefault="00614EFC" w:rsidP="00614EFC">
      <w:pPr>
        <w:pStyle w:val="SingleTxtG"/>
        <w:spacing w:before="120"/>
        <w:rPr>
          <w:lang w:val="fr-FR"/>
        </w:rPr>
      </w:pPr>
      <w:r w:rsidRPr="004369FC">
        <w:rPr>
          <w:i/>
          <w:lang w:val="fr-FR"/>
        </w:rPr>
        <w:t xml:space="preserve">Document informel: </w:t>
      </w:r>
      <w:r w:rsidRPr="004369FC">
        <w:rPr>
          <w:lang w:val="fr-FR"/>
        </w:rPr>
        <w:t>INF.19 (Suisse)</w:t>
      </w:r>
    </w:p>
    <w:p w:rsidR="00614EFC" w:rsidRPr="004369FC" w:rsidRDefault="00614EFC" w:rsidP="00614EFC">
      <w:pPr>
        <w:pStyle w:val="SingleTxtG"/>
        <w:spacing w:before="120"/>
        <w:rPr>
          <w:lang w:val="fr-FR"/>
        </w:rPr>
      </w:pPr>
      <w:r w:rsidRPr="004369FC">
        <w:rPr>
          <w:lang w:val="fr-FR"/>
        </w:rPr>
        <w:t>4</w:t>
      </w:r>
      <w:r>
        <w:rPr>
          <w:lang w:val="fr-FR"/>
        </w:rPr>
        <w:t>9</w:t>
      </w:r>
      <w:r w:rsidRPr="004369FC">
        <w:rPr>
          <w:lang w:val="fr-FR"/>
        </w:rPr>
        <w:t>.</w:t>
      </w:r>
      <w:r w:rsidRPr="004369FC">
        <w:rPr>
          <w:lang w:val="fr-FR"/>
        </w:rPr>
        <w:tab/>
        <w:t>Le Groupe de travail a adopté la première partie du texte du 1.9.5.2.2 pour la catégorie de tunnel E telle que proposée par le représentant du Royaume-Uni et visant à faire référence aux matières pour lesquelles (-) figure en colonne (15) du tableau A du chapitre 3.2 plutôt qu’à des No ONU spécifiques  (voir annexe I).</w:t>
      </w:r>
    </w:p>
    <w:p w:rsidR="00614EFC" w:rsidRPr="004369FC" w:rsidRDefault="00614EFC" w:rsidP="00614EFC">
      <w:pPr>
        <w:pStyle w:val="SingleTxtG"/>
        <w:spacing w:before="120"/>
        <w:rPr>
          <w:lang w:val="fr-FR"/>
        </w:rPr>
      </w:pPr>
      <w:r>
        <w:rPr>
          <w:lang w:val="fr-FR"/>
        </w:rPr>
        <w:t>50</w:t>
      </w:r>
      <w:r w:rsidRPr="004369FC">
        <w:rPr>
          <w:lang w:val="fr-FR"/>
        </w:rPr>
        <w:t>.</w:t>
      </w:r>
      <w:r w:rsidRPr="004369FC">
        <w:rPr>
          <w:lang w:val="fr-FR"/>
        </w:rPr>
        <w:tab/>
        <w:t xml:space="preserve">Par vote, le Groupe de travail a rejeté la proposition du Royaume-Uni concernant la fin du texte du 1.9.5.2.2 </w:t>
      </w:r>
      <w:r>
        <w:rPr>
          <w:lang w:val="fr-FR"/>
        </w:rPr>
        <w:t xml:space="preserve">et le 8.6.4 </w:t>
      </w:r>
      <w:r w:rsidRPr="004369FC">
        <w:rPr>
          <w:lang w:val="fr-FR"/>
        </w:rPr>
        <w:t>ainsi que l’alternative proposée</w:t>
      </w:r>
      <w:r>
        <w:rPr>
          <w:lang w:val="fr-FR"/>
        </w:rPr>
        <w:t xml:space="preserve"> verbalement</w:t>
      </w:r>
      <w:r w:rsidRPr="004369FC">
        <w:rPr>
          <w:lang w:val="fr-FR"/>
        </w:rPr>
        <w:t xml:space="preserve"> par le secrétariat. </w:t>
      </w:r>
    </w:p>
    <w:p w:rsidR="00614EFC" w:rsidRPr="004369FC" w:rsidRDefault="00614EFC" w:rsidP="00614EFC">
      <w:pPr>
        <w:pStyle w:val="H23G"/>
        <w:rPr>
          <w:lang w:val="fr-FR"/>
        </w:rPr>
      </w:pPr>
      <w:r w:rsidRPr="004369FC">
        <w:rPr>
          <w:lang w:val="fr-FR"/>
        </w:rPr>
        <w:tab/>
        <w:t>5.</w:t>
      </w:r>
      <w:r w:rsidRPr="004369FC">
        <w:rPr>
          <w:lang w:val="fr-FR"/>
        </w:rPr>
        <w:tab/>
        <w:t>5.4.1.1.1 f)</w:t>
      </w:r>
    </w:p>
    <w:p w:rsidR="00614EFC" w:rsidRPr="004369FC" w:rsidRDefault="00614EFC" w:rsidP="00614EFC">
      <w:pPr>
        <w:pStyle w:val="SingleTxtG"/>
        <w:spacing w:before="120"/>
        <w:jc w:val="left"/>
        <w:rPr>
          <w:lang w:val="fr-FR"/>
        </w:rPr>
      </w:pPr>
      <w:r w:rsidRPr="004369FC">
        <w:rPr>
          <w:i/>
          <w:lang w:val="fr-FR"/>
        </w:rPr>
        <w:t xml:space="preserve">Document: </w:t>
      </w:r>
      <w:r w:rsidRPr="004369FC">
        <w:rPr>
          <w:i/>
          <w:lang w:val="fr-FR"/>
        </w:rPr>
        <w:tab/>
      </w:r>
      <w:r w:rsidRPr="004369FC">
        <w:rPr>
          <w:lang w:val="fr-FR"/>
        </w:rPr>
        <w:t>ECE/TRANS/WP.15/2015/14 (IRU)</w:t>
      </w:r>
    </w:p>
    <w:p w:rsidR="00614EFC" w:rsidRPr="004369FC" w:rsidRDefault="00614EFC" w:rsidP="00614EFC">
      <w:pPr>
        <w:pStyle w:val="SingleTxtG"/>
        <w:spacing w:before="120"/>
        <w:rPr>
          <w:lang w:val="fr-FR"/>
        </w:rPr>
      </w:pPr>
      <w:r w:rsidRPr="004369FC">
        <w:rPr>
          <w:i/>
          <w:lang w:val="fr-FR"/>
        </w:rPr>
        <w:t xml:space="preserve">Document informel: </w:t>
      </w:r>
      <w:r w:rsidRPr="004369FC">
        <w:rPr>
          <w:lang w:val="fr-FR"/>
        </w:rPr>
        <w:t>INF.10 (CEFIC)</w:t>
      </w:r>
    </w:p>
    <w:p w:rsidR="00614EFC" w:rsidRPr="004369FC" w:rsidRDefault="00614EFC" w:rsidP="00614EFC">
      <w:pPr>
        <w:pStyle w:val="SingleTxtG"/>
        <w:spacing w:before="120"/>
        <w:rPr>
          <w:lang w:val="fr-FR"/>
        </w:rPr>
      </w:pPr>
      <w:r>
        <w:rPr>
          <w:lang w:val="fr-FR"/>
        </w:rPr>
        <w:t>51</w:t>
      </w:r>
      <w:r w:rsidRPr="004369FC">
        <w:rPr>
          <w:lang w:val="fr-FR"/>
        </w:rPr>
        <w:t>.</w:t>
      </w:r>
      <w:r w:rsidRPr="004369FC">
        <w:rPr>
          <w:lang w:val="fr-FR"/>
        </w:rPr>
        <w:tab/>
        <w:t xml:space="preserve">Les avis étaient partagés quant à la nécessité de simplifier le 1.1.3.6.3 et les informations qui y sont relatives dans le document de transport. Le représentant de l’IRU </w:t>
      </w:r>
      <w:r>
        <w:rPr>
          <w:lang w:val="fr-FR"/>
        </w:rPr>
        <w:t>présentera</w:t>
      </w:r>
      <w:r w:rsidRPr="004369FC">
        <w:rPr>
          <w:lang w:val="fr-FR"/>
        </w:rPr>
        <w:t xml:space="preserve"> une proposition révisée pour une prochaine session.</w:t>
      </w:r>
    </w:p>
    <w:p w:rsidR="00614EFC" w:rsidRPr="004369FC" w:rsidRDefault="00614EFC" w:rsidP="00614EFC">
      <w:pPr>
        <w:pStyle w:val="H23G"/>
        <w:rPr>
          <w:lang w:val="fr-FR"/>
        </w:rPr>
      </w:pPr>
      <w:r w:rsidRPr="004369FC">
        <w:rPr>
          <w:lang w:val="fr-FR"/>
        </w:rPr>
        <w:tab/>
        <w:t>6.</w:t>
      </w:r>
      <w:r w:rsidRPr="004369FC">
        <w:rPr>
          <w:lang w:val="fr-FR"/>
        </w:rPr>
        <w:tab/>
        <w:t>Mise à jour de la norme EN 590</w:t>
      </w:r>
    </w:p>
    <w:p w:rsidR="00614EFC" w:rsidRPr="004369FC" w:rsidRDefault="00614EFC" w:rsidP="00614EFC">
      <w:pPr>
        <w:pStyle w:val="SingleTxtG"/>
        <w:spacing w:before="120"/>
        <w:rPr>
          <w:lang w:val="fr-FR"/>
        </w:rPr>
      </w:pPr>
      <w:r w:rsidRPr="004369FC">
        <w:rPr>
          <w:i/>
          <w:lang w:val="fr-FR"/>
        </w:rPr>
        <w:t xml:space="preserve">Document informel: </w:t>
      </w:r>
      <w:r w:rsidRPr="004369FC">
        <w:rPr>
          <w:lang w:val="fr-FR"/>
        </w:rPr>
        <w:t>INF.12 (Allemagne)</w:t>
      </w:r>
    </w:p>
    <w:p w:rsidR="00614EFC" w:rsidRPr="004369FC" w:rsidRDefault="00614EFC" w:rsidP="00614EFC">
      <w:pPr>
        <w:pStyle w:val="SingleTxtG"/>
        <w:spacing w:before="120"/>
        <w:rPr>
          <w:lang w:val="fr-FR"/>
        </w:rPr>
      </w:pPr>
      <w:r>
        <w:rPr>
          <w:lang w:val="fr-FR"/>
        </w:rPr>
        <w:t>52</w:t>
      </w:r>
      <w:r w:rsidRPr="004369FC">
        <w:rPr>
          <w:lang w:val="fr-FR"/>
        </w:rPr>
        <w:t>.</w:t>
      </w:r>
      <w:r w:rsidRPr="004369FC">
        <w:rPr>
          <w:lang w:val="fr-FR"/>
        </w:rPr>
        <w:tab/>
        <w:t>Le Groupe de travail a adopté la proposition de l’Allemagne (voir annexe I).</w:t>
      </w:r>
    </w:p>
    <w:p w:rsidR="00614EFC" w:rsidRPr="004369FC" w:rsidRDefault="00614EFC" w:rsidP="00614EFC">
      <w:pPr>
        <w:pStyle w:val="H23G"/>
        <w:rPr>
          <w:lang w:val="fr-FR"/>
        </w:rPr>
      </w:pPr>
      <w:r w:rsidRPr="004369FC">
        <w:rPr>
          <w:lang w:val="fr-FR"/>
        </w:rPr>
        <w:tab/>
        <w:t>7.</w:t>
      </w:r>
      <w:r w:rsidRPr="004369FC">
        <w:rPr>
          <w:lang w:val="fr-FR"/>
        </w:rPr>
        <w:tab/>
        <w:t>Possibilité d’utilisation de procédures électroniques pour l’examen des conducteurs de véhicules ADR</w:t>
      </w:r>
    </w:p>
    <w:p w:rsidR="00614EFC" w:rsidRPr="004369FC" w:rsidRDefault="00614EFC" w:rsidP="00614EFC">
      <w:pPr>
        <w:pStyle w:val="SingleTxtG"/>
        <w:spacing w:before="120"/>
        <w:rPr>
          <w:lang w:val="fr-FR"/>
        </w:rPr>
      </w:pPr>
      <w:r w:rsidRPr="004369FC">
        <w:rPr>
          <w:i/>
          <w:lang w:val="fr-FR"/>
        </w:rPr>
        <w:t xml:space="preserve">Document informel: </w:t>
      </w:r>
      <w:r w:rsidRPr="004369FC">
        <w:rPr>
          <w:lang w:val="fr-FR"/>
        </w:rPr>
        <w:t>INF.21 (Allemagne)</w:t>
      </w:r>
    </w:p>
    <w:p w:rsidR="00614EFC" w:rsidRPr="004369FC" w:rsidRDefault="00614EFC" w:rsidP="00614EFC">
      <w:pPr>
        <w:pStyle w:val="SingleTxtG"/>
        <w:spacing w:before="120"/>
        <w:rPr>
          <w:lang w:val="fr-FR"/>
        </w:rPr>
      </w:pPr>
      <w:r>
        <w:rPr>
          <w:lang w:val="fr-FR"/>
        </w:rPr>
        <w:t>53</w:t>
      </w:r>
      <w:r w:rsidRPr="004369FC">
        <w:rPr>
          <w:lang w:val="fr-FR"/>
        </w:rPr>
        <w:t>.</w:t>
      </w:r>
      <w:r w:rsidRPr="004369FC">
        <w:rPr>
          <w:lang w:val="fr-FR"/>
        </w:rPr>
        <w:tab/>
        <w:t>La proposition de l’Allemagne sera soumise en tant que document officiel pour la prochaine session.</w:t>
      </w:r>
    </w:p>
    <w:p w:rsidR="00566F74" w:rsidRPr="004369FC" w:rsidRDefault="00566F74" w:rsidP="00566F74">
      <w:pPr>
        <w:pStyle w:val="H23G"/>
        <w:rPr>
          <w:lang w:val="fr-FR"/>
        </w:rPr>
      </w:pPr>
      <w:r w:rsidRPr="004369FC">
        <w:rPr>
          <w:lang w:val="fr-FR"/>
        </w:rPr>
        <w:tab/>
      </w:r>
      <w:r>
        <w:rPr>
          <w:lang w:val="fr-FR"/>
        </w:rPr>
        <w:t>8</w:t>
      </w:r>
      <w:r w:rsidRPr="004369FC">
        <w:rPr>
          <w:lang w:val="fr-FR"/>
        </w:rPr>
        <w:t>.</w:t>
      </w:r>
      <w:r w:rsidRPr="004369FC">
        <w:rPr>
          <w:lang w:val="fr-FR"/>
        </w:rPr>
        <w:tab/>
      </w:r>
      <w:r>
        <w:rPr>
          <w:lang w:val="fr-FR"/>
        </w:rPr>
        <w:t>Disposition spéciale 664</w:t>
      </w:r>
    </w:p>
    <w:p w:rsidR="00566F74" w:rsidRPr="004369FC" w:rsidRDefault="00566F74" w:rsidP="00566F74">
      <w:pPr>
        <w:pStyle w:val="SingleTxtG"/>
        <w:spacing w:before="120"/>
        <w:jc w:val="left"/>
        <w:rPr>
          <w:lang w:val="fr-FR"/>
        </w:rPr>
      </w:pPr>
      <w:r w:rsidRPr="004369FC">
        <w:rPr>
          <w:i/>
          <w:lang w:val="fr-FR"/>
        </w:rPr>
        <w:t xml:space="preserve">Document: </w:t>
      </w:r>
      <w:r w:rsidRPr="004369FC">
        <w:rPr>
          <w:i/>
          <w:lang w:val="fr-FR"/>
        </w:rPr>
        <w:tab/>
      </w:r>
      <w:r w:rsidRPr="004369FC">
        <w:rPr>
          <w:lang w:val="fr-FR"/>
        </w:rPr>
        <w:t>ECE/TRANS/WP.15/2015/</w:t>
      </w:r>
      <w:r>
        <w:rPr>
          <w:lang w:val="fr-FR"/>
        </w:rPr>
        <w:t>8</w:t>
      </w:r>
      <w:r w:rsidRPr="004369FC">
        <w:rPr>
          <w:lang w:val="fr-FR"/>
        </w:rPr>
        <w:t xml:space="preserve"> (</w:t>
      </w:r>
      <w:r>
        <w:rPr>
          <w:lang w:val="fr-FR"/>
        </w:rPr>
        <w:t>Suisse</w:t>
      </w:r>
      <w:r w:rsidRPr="004369FC">
        <w:rPr>
          <w:lang w:val="fr-FR"/>
        </w:rPr>
        <w:t>)</w:t>
      </w:r>
    </w:p>
    <w:p w:rsidR="00566F74" w:rsidRPr="003F32BF" w:rsidRDefault="00566F74" w:rsidP="00566F74">
      <w:pPr>
        <w:pStyle w:val="SingleTxtG"/>
        <w:tabs>
          <w:tab w:val="left" w:pos="3000"/>
        </w:tabs>
        <w:ind w:left="2268" w:hanging="1134"/>
        <w:jc w:val="left"/>
        <w:rPr>
          <w:lang w:val="fr-FR"/>
        </w:rPr>
      </w:pPr>
      <w:r w:rsidRPr="003F32BF">
        <w:rPr>
          <w:i/>
          <w:lang w:val="fr-FR"/>
        </w:rPr>
        <w:t xml:space="preserve">Document informel: </w:t>
      </w:r>
      <w:r w:rsidRPr="003F32BF">
        <w:rPr>
          <w:lang w:val="fr-FR"/>
        </w:rPr>
        <w:t>INF.</w:t>
      </w:r>
      <w:r>
        <w:rPr>
          <w:lang w:val="fr-FR"/>
        </w:rPr>
        <w:t>25</w:t>
      </w:r>
      <w:r w:rsidRPr="003F32BF">
        <w:rPr>
          <w:lang w:val="fr-FR"/>
        </w:rPr>
        <w:t xml:space="preserve"> (</w:t>
      </w:r>
      <w:r>
        <w:rPr>
          <w:lang w:val="fr-FR"/>
        </w:rPr>
        <w:t>Suisse</w:t>
      </w:r>
      <w:r w:rsidRPr="003F32BF">
        <w:rPr>
          <w:lang w:val="fr-FR"/>
        </w:rPr>
        <w:t>)</w:t>
      </w:r>
    </w:p>
    <w:p w:rsidR="00566F74" w:rsidRDefault="00E8142E" w:rsidP="00566F74">
      <w:pPr>
        <w:pStyle w:val="SingleTxtG"/>
        <w:spacing w:before="120"/>
        <w:rPr>
          <w:lang w:val="fr-FR"/>
        </w:rPr>
      </w:pPr>
      <w:r>
        <w:rPr>
          <w:lang w:val="fr-FR"/>
        </w:rPr>
        <w:t>54</w:t>
      </w:r>
      <w:r w:rsidR="00566F74">
        <w:rPr>
          <w:lang w:val="fr-FR"/>
        </w:rPr>
        <w:t>.</w:t>
      </w:r>
      <w:r w:rsidR="00566F74">
        <w:rPr>
          <w:lang w:val="fr-FR"/>
        </w:rPr>
        <w:tab/>
      </w:r>
      <w:r w:rsidR="00566F74" w:rsidRPr="003F32BF">
        <w:rPr>
          <w:lang w:val="fr-FR"/>
        </w:rPr>
        <w:t>Le représentant de la Suisse a pris note des commentaires des délégations qui ont pris la pa</w:t>
      </w:r>
      <w:r w:rsidR="00566F74">
        <w:rPr>
          <w:lang w:val="fr-FR"/>
        </w:rPr>
        <w:t>role et a retiré sa proposition</w:t>
      </w:r>
      <w:r w:rsidR="00566F74" w:rsidRPr="003F32BF">
        <w:rPr>
          <w:lang w:val="fr-FR"/>
        </w:rPr>
        <w:t>. Il pourrait préparer une proposition révisée pour la prochaine session</w:t>
      </w:r>
      <w:r w:rsidR="00566F74">
        <w:rPr>
          <w:lang w:val="fr-FR"/>
        </w:rPr>
        <w:t>.</w:t>
      </w:r>
    </w:p>
    <w:p w:rsidR="00E6624F" w:rsidRPr="004369FC" w:rsidRDefault="00E6624F" w:rsidP="00E6624F">
      <w:pPr>
        <w:pStyle w:val="HChG"/>
        <w:rPr>
          <w:lang w:val="fr-FR"/>
        </w:rPr>
      </w:pPr>
      <w:r w:rsidRPr="004369FC">
        <w:rPr>
          <w:lang w:val="fr-FR"/>
        </w:rPr>
        <w:tab/>
        <w:t>VIII.</w:t>
      </w:r>
      <w:r w:rsidRPr="004369FC">
        <w:rPr>
          <w:lang w:val="fr-FR"/>
        </w:rPr>
        <w:tab/>
        <w:t>Programme de travail (point 7 de l’ordre du jour)</w:t>
      </w:r>
    </w:p>
    <w:p w:rsidR="00614EFC" w:rsidRPr="004369FC" w:rsidRDefault="00614EFC" w:rsidP="00614EFC">
      <w:pPr>
        <w:pStyle w:val="H1G"/>
        <w:rPr>
          <w:lang w:val="fr-FR"/>
        </w:rPr>
      </w:pPr>
      <w:r w:rsidRPr="004369FC">
        <w:rPr>
          <w:lang w:val="fr-FR"/>
        </w:rPr>
        <w:tab/>
        <w:t>A.</w:t>
      </w:r>
      <w:r w:rsidRPr="004369FC">
        <w:rPr>
          <w:lang w:val="fr-FR"/>
        </w:rPr>
        <w:tab/>
        <w:t>Projet de programme de travail pour la période 2016-2020</w:t>
      </w:r>
    </w:p>
    <w:p w:rsidR="00614EFC" w:rsidRPr="004369FC" w:rsidRDefault="00614EFC" w:rsidP="00614EFC">
      <w:pPr>
        <w:pStyle w:val="SingleTxtG"/>
        <w:tabs>
          <w:tab w:val="left" w:pos="3000"/>
        </w:tabs>
        <w:ind w:left="2268" w:hanging="1134"/>
        <w:jc w:val="left"/>
        <w:rPr>
          <w:lang w:val="fr-FR"/>
        </w:rPr>
      </w:pPr>
      <w:r w:rsidRPr="004369FC">
        <w:rPr>
          <w:i/>
          <w:lang w:val="fr-FR"/>
        </w:rPr>
        <w:t>Documents</w:t>
      </w:r>
      <w:r w:rsidRPr="004369FC">
        <w:rPr>
          <w:lang w:val="fr-FR"/>
        </w:rPr>
        <w:t xml:space="preserve">: </w:t>
      </w:r>
      <w:r w:rsidRPr="004369FC">
        <w:rPr>
          <w:lang w:val="fr-FR"/>
        </w:rPr>
        <w:tab/>
        <w:t>ECE/TRANS/WP.15/2015/13 et  ECE/TRANS/WP.15/2015/19 (Secrétariat)</w:t>
      </w:r>
    </w:p>
    <w:p w:rsidR="00614EFC" w:rsidRPr="004369FC" w:rsidRDefault="00614EFC" w:rsidP="00614EFC">
      <w:pPr>
        <w:pStyle w:val="SingleTxtG"/>
        <w:rPr>
          <w:lang w:val="fr-FR"/>
        </w:rPr>
      </w:pPr>
      <w:r>
        <w:rPr>
          <w:lang w:val="fr-FR"/>
        </w:rPr>
        <w:lastRenderedPageBreak/>
        <w:t>55</w:t>
      </w:r>
      <w:r w:rsidRPr="004369FC">
        <w:rPr>
          <w:lang w:val="fr-FR"/>
        </w:rPr>
        <w:t>.</w:t>
      </w:r>
      <w:r w:rsidRPr="004369FC">
        <w:rPr>
          <w:lang w:val="fr-FR"/>
        </w:rPr>
        <w:tab/>
        <w:t>Le Groupe de travail a adopté le programme de travail pour 2016-2020 et le projet de programme de travail pour 2016-2017 tel</w:t>
      </w:r>
      <w:r>
        <w:rPr>
          <w:lang w:val="fr-FR"/>
        </w:rPr>
        <w:t>s</w:t>
      </w:r>
      <w:r w:rsidRPr="004369FC">
        <w:rPr>
          <w:lang w:val="fr-FR"/>
        </w:rPr>
        <w:t xml:space="preserve"> que préparés par le secrétariat (voir annexes II et III).</w:t>
      </w:r>
    </w:p>
    <w:p w:rsidR="00E6624F" w:rsidRPr="004369FC" w:rsidRDefault="00E6624F" w:rsidP="00E6624F">
      <w:pPr>
        <w:pStyle w:val="H1G"/>
        <w:rPr>
          <w:lang w:val="fr-FR"/>
        </w:rPr>
      </w:pPr>
      <w:r w:rsidRPr="004369FC">
        <w:rPr>
          <w:lang w:val="fr-FR"/>
        </w:rPr>
        <w:tab/>
        <w:t>B.</w:t>
      </w:r>
      <w:r w:rsidRPr="004369FC">
        <w:rPr>
          <w:lang w:val="fr-FR"/>
        </w:rPr>
        <w:tab/>
        <w:t>Amendements de 2017</w:t>
      </w:r>
    </w:p>
    <w:p w:rsidR="00E6624F" w:rsidRPr="004369FC" w:rsidRDefault="00E6624F" w:rsidP="00E6624F">
      <w:pPr>
        <w:pStyle w:val="SingleTxtG"/>
        <w:rPr>
          <w:lang w:val="fr-FR"/>
        </w:rPr>
      </w:pPr>
      <w:r>
        <w:rPr>
          <w:lang w:val="fr-FR"/>
        </w:rPr>
        <w:t>56</w:t>
      </w:r>
      <w:r w:rsidRPr="004369FC">
        <w:rPr>
          <w:lang w:val="fr-FR"/>
        </w:rPr>
        <w:t>.</w:t>
      </w:r>
      <w:r w:rsidRPr="004369FC">
        <w:rPr>
          <w:lang w:val="fr-FR"/>
        </w:rPr>
        <w:tab/>
        <w:t xml:space="preserve">Le Groupe de travail a prié le secrétariat de préparer une liste récapitulative de tous les amendements qu'il a adoptés pour </w:t>
      </w:r>
      <w:proofErr w:type="spellStart"/>
      <w:r w:rsidRPr="004369FC">
        <w:rPr>
          <w:lang w:val="fr-FR"/>
        </w:rPr>
        <w:t>entrée</w:t>
      </w:r>
      <w:proofErr w:type="spellEnd"/>
      <w:r w:rsidRPr="004369FC">
        <w:rPr>
          <w:lang w:val="fr-FR"/>
        </w:rPr>
        <w:t xml:space="preserve"> en vigueur le 1er janvier 2017 afin qu'ils puissent faire l'objet d'une proposition officielle conformément à la procédure de l'article 14 de l'ADR que, selon l'usage, le Président se chargera de transmettre au dépositaire par l'entremise de son Gouvernement. La notification devra être diffusée au plus tard le 1er juillet 2016 en mentionnant la date prévue d'entrée en vigueur du 1er janvier 2017. Ce document sera distribué sous la cote ECE/TRANS/WP.15/231.</w:t>
      </w:r>
    </w:p>
    <w:p w:rsidR="00E6624F" w:rsidRPr="004369FC" w:rsidRDefault="00E6624F" w:rsidP="00E6624F">
      <w:pPr>
        <w:pStyle w:val="SingleTxtG"/>
        <w:rPr>
          <w:lang w:val="fr-FR"/>
        </w:rPr>
      </w:pPr>
      <w:r>
        <w:rPr>
          <w:lang w:val="fr-FR"/>
        </w:rPr>
        <w:t>57</w:t>
      </w:r>
      <w:r w:rsidRPr="004369FC">
        <w:rPr>
          <w:lang w:val="fr-FR"/>
        </w:rPr>
        <w:t>.</w:t>
      </w:r>
      <w:r w:rsidRPr="004369FC">
        <w:rPr>
          <w:lang w:val="fr-FR"/>
        </w:rPr>
        <w:tab/>
        <w:t>Le Groupe de travail a également prié le secrétariat de publier le texte récapitulatif de l'ADR tel qu'il sera modifié le 1er janvier 2017 suffisamment à l'avance pour préparer sa mise en œuvre effective avant l'entrée en vigueur desdits amendements.</w:t>
      </w:r>
    </w:p>
    <w:p w:rsidR="00E6624F" w:rsidRPr="004369FC" w:rsidRDefault="00E6624F" w:rsidP="00E6624F">
      <w:pPr>
        <w:pStyle w:val="H1G"/>
        <w:rPr>
          <w:lang w:val="fr-FR"/>
        </w:rPr>
      </w:pPr>
      <w:r w:rsidRPr="004369FC">
        <w:rPr>
          <w:lang w:val="fr-FR"/>
        </w:rPr>
        <w:tab/>
        <w:t>C.</w:t>
      </w:r>
      <w:r w:rsidRPr="004369FC">
        <w:rPr>
          <w:lang w:val="fr-FR"/>
        </w:rPr>
        <w:tab/>
        <w:t>Centième session</w:t>
      </w:r>
    </w:p>
    <w:p w:rsidR="00E6624F" w:rsidRPr="004369FC" w:rsidRDefault="00E6624F" w:rsidP="00E6624F">
      <w:pPr>
        <w:pStyle w:val="SingleTxtG"/>
        <w:rPr>
          <w:lang w:val="fr-FR"/>
        </w:rPr>
      </w:pPr>
      <w:r>
        <w:rPr>
          <w:lang w:val="fr-FR"/>
        </w:rPr>
        <w:t>58</w:t>
      </w:r>
      <w:r w:rsidRPr="004369FC">
        <w:rPr>
          <w:lang w:val="fr-FR"/>
        </w:rPr>
        <w:t>.</w:t>
      </w:r>
      <w:r w:rsidRPr="004369FC">
        <w:rPr>
          <w:lang w:val="fr-FR"/>
        </w:rPr>
        <w:tab/>
        <w:t xml:space="preserve">Les points à l'ordre du jour de la prochaine session seront: </w:t>
      </w:r>
    </w:p>
    <w:p w:rsidR="00E6624F" w:rsidRPr="004369FC" w:rsidRDefault="00E6624F" w:rsidP="00E6624F">
      <w:pPr>
        <w:pStyle w:val="SingleTxtG"/>
        <w:rPr>
          <w:lang w:val="fr-FR"/>
        </w:rPr>
      </w:pPr>
      <w:r w:rsidRPr="004369FC">
        <w:rPr>
          <w:lang w:val="fr-FR"/>
        </w:rPr>
        <w:t>-</w:t>
      </w:r>
      <w:r w:rsidRPr="004369FC">
        <w:rPr>
          <w:lang w:val="fr-FR"/>
        </w:rPr>
        <w:tab/>
        <w:t>Adoption de l’ordre du jour;</w:t>
      </w:r>
    </w:p>
    <w:p w:rsidR="00E6624F" w:rsidRPr="004369FC" w:rsidRDefault="00E6624F" w:rsidP="00E6624F">
      <w:pPr>
        <w:pStyle w:val="SingleTxtG"/>
        <w:rPr>
          <w:lang w:val="fr-FR"/>
        </w:rPr>
      </w:pPr>
      <w:r w:rsidRPr="004369FC">
        <w:rPr>
          <w:lang w:val="fr-FR"/>
        </w:rPr>
        <w:t>-</w:t>
      </w:r>
      <w:r w:rsidRPr="004369FC">
        <w:rPr>
          <w:lang w:val="fr-FR"/>
        </w:rPr>
        <w:tab/>
        <w:t>Soixante-dix-huitième session du Comité des transports intérieurs;</w:t>
      </w:r>
    </w:p>
    <w:p w:rsidR="00E6624F" w:rsidRPr="004369FC" w:rsidRDefault="00E6624F" w:rsidP="00E6624F">
      <w:pPr>
        <w:pStyle w:val="SingleTxtG"/>
        <w:rPr>
          <w:lang w:val="fr-FR"/>
        </w:rPr>
      </w:pPr>
      <w:r w:rsidRPr="004369FC">
        <w:rPr>
          <w:lang w:val="fr-FR"/>
        </w:rPr>
        <w:t>-</w:t>
      </w:r>
      <w:r w:rsidRPr="004369FC">
        <w:rPr>
          <w:lang w:val="fr-FR"/>
        </w:rPr>
        <w:tab/>
        <w:t>État de l’Accord européen relatif au transport international des marchandises dangereuses par route (ADR) et questions connexes;</w:t>
      </w:r>
    </w:p>
    <w:p w:rsidR="00E6624F" w:rsidRPr="004369FC" w:rsidRDefault="00E6624F" w:rsidP="00E6624F">
      <w:pPr>
        <w:pStyle w:val="SingleTxtG"/>
        <w:rPr>
          <w:lang w:val="fr-FR"/>
        </w:rPr>
      </w:pPr>
      <w:r w:rsidRPr="004369FC">
        <w:rPr>
          <w:lang w:val="fr-FR"/>
        </w:rPr>
        <w:t>-</w:t>
      </w:r>
      <w:r w:rsidRPr="004369FC">
        <w:rPr>
          <w:lang w:val="fr-FR"/>
        </w:rPr>
        <w:tab/>
        <w:t>Interprétation de l’ADR;</w:t>
      </w:r>
    </w:p>
    <w:p w:rsidR="00E6624F" w:rsidRPr="004369FC" w:rsidRDefault="00E6624F" w:rsidP="00E6624F">
      <w:pPr>
        <w:pStyle w:val="SingleTxtG"/>
        <w:rPr>
          <w:lang w:val="fr-FR"/>
        </w:rPr>
      </w:pPr>
      <w:r w:rsidRPr="004369FC">
        <w:rPr>
          <w:lang w:val="fr-FR"/>
        </w:rPr>
        <w:t>-</w:t>
      </w:r>
      <w:r w:rsidRPr="004369FC">
        <w:rPr>
          <w:lang w:val="fr-FR"/>
        </w:rPr>
        <w:tab/>
        <w:t>Travaux de la Réunion commune RID/ADR/ADN;</w:t>
      </w:r>
    </w:p>
    <w:p w:rsidR="00E6624F" w:rsidRPr="004369FC" w:rsidRDefault="00E6624F" w:rsidP="00E6624F">
      <w:pPr>
        <w:pStyle w:val="SingleTxtG"/>
        <w:keepNext/>
        <w:keepLines/>
        <w:rPr>
          <w:lang w:val="fr-FR"/>
        </w:rPr>
      </w:pPr>
      <w:r w:rsidRPr="004369FC">
        <w:rPr>
          <w:lang w:val="fr-FR"/>
        </w:rPr>
        <w:t>-</w:t>
      </w:r>
      <w:r w:rsidRPr="004369FC">
        <w:rPr>
          <w:lang w:val="fr-FR"/>
        </w:rPr>
        <w:tab/>
        <w:t>Propositions d'amendement aux annexes A et B de l'ADR;</w:t>
      </w:r>
    </w:p>
    <w:p w:rsidR="00E6624F" w:rsidRPr="004369FC" w:rsidRDefault="00E6624F" w:rsidP="00E6624F">
      <w:pPr>
        <w:pStyle w:val="SingleTxtG"/>
        <w:keepNext/>
        <w:keepLines/>
        <w:rPr>
          <w:lang w:val="fr-FR"/>
        </w:rPr>
      </w:pPr>
      <w:r w:rsidRPr="004369FC">
        <w:rPr>
          <w:lang w:val="fr-FR"/>
        </w:rPr>
        <w:t>-</w:t>
      </w:r>
      <w:r w:rsidRPr="004369FC">
        <w:rPr>
          <w:lang w:val="fr-FR"/>
        </w:rPr>
        <w:tab/>
        <w:t>Programme de travail;</w:t>
      </w:r>
    </w:p>
    <w:p w:rsidR="00E6624F" w:rsidRPr="004369FC" w:rsidRDefault="00E6624F" w:rsidP="00E6624F">
      <w:pPr>
        <w:pStyle w:val="SingleTxtG"/>
        <w:rPr>
          <w:lang w:val="fr-FR"/>
        </w:rPr>
      </w:pPr>
      <w:r w:rsidRPr="004369FC">
        <w:rPr>
          <w:lang w:val="fr-FR"/>
        </w:rPr>
        <w:t>-</w:t>
      </w:r>
      <w:r w:rsidRPr="004369FC">
        <w:rPr>
          <w:lang w:val="fr-FR"/>
        </w:rPr>
        <w:tab/>
        <w:t>Questions diverses;</w:t>
      </w:r>
    </w:p>
    <w:p w:rsidR="00E6624F" w:rsidRPr="004369FC" w:rsidRDefault="00E6624F" w:rsidP="00E6624F">
      <w:pPr>
        <w:pStyle w:val="SingleTxtG"/>
        <w:rPr>
          <w:lang w:val="fr-FR"/>
        </w:rPr>
      </w:pPr>
      <w:r w:rsidRPr="004369FC">
        <w:rPr>
          <w:lang w:val="fr-FR"/>
        </w:rPr>
        <w:t>-</w:t>
      </w:r>
      <w:r w:rsidRPr="004369FC">
        <w:rPr>
          <w:lang w:val="fr-FR"/>
        </w:rPr>
        <w:tab/>
        <w:t>Adoption du rapport.</w:t>
      </w:r>
    </w:p>
    <w:p w:rsidR="00475B53" w:rsidRPr="005915A5" w:rsidRDefault="00475B53" w:rsidP="00475B53">
      <w:pPr>
        <w:pStyle w:val="H1G"/>
        <w:rPr>
          <w:lang w:val="fr-FR"/>
        </w:rPr>
      </w:pPr>
      <w:r w:rsidRPr="005915A5">
        <w:rPr>
          <w:lang w:val="fr-FR"/>
        </w:rPr>
        <w:tab/>
      </w:r>
      <w:r w:rsidR="000C49C9">
        <w:rPr>
          <w:lang w:val="fr-FR"/>
        </w:rPr>
        <w:t>D</w:t>
      </w:r>
      <w:r w:rsidRPr="005915A5">
        <w:rPr>
          <w:lang w:val="fr-FR"/>
        </w:rPr>
        <w:t>.</w:t>
      </w:r>
      <w:r w:rsidRPr="005915A5">
        <w:rPr>
          <w:lang w:val="fr-FR"/>
        </w:rPr>
        <w:tab/>
        <w:t xml:space="preserve">Évaluations </w:t>
      </w:r>
      <w:r w:rsidRPr="00502885">
        <w:rPr>
          <w:lang w:val="fr-FR"/>
        </w:rPr>
        <w:t>bisannuelles</w:t>
      </w:r>
    </w:p>
    <w:p w:rsidR="00475B53" w:rsidRPr="003F32BF" w:rsidRDefault="00475B53" w:rsidP="00475B53">
      <w:pPr>
        <w:pStyle w:val="SingleTxtG"/>
        <w:tabs>
          <w:tab w:val="left" w:pos="3000"/>
        </w:tabs>
        <w:ind w:left="2268" w:hanging="1134"/>
        <w:jc w:val="left"/>
        <w:rPr>
          <w:lang w:val="fr-FR"/>
        </w:rPr>
      </w:pPr>
      <w:r w:rsidRPr="003F32BF">
        <w:rPr>
          <w:i/>
          <w:lang w:val="fr-FR"/>
        </w:rPr>
        <w:t xml:space="preserve">Document: </w:t>
      </w:r>
      <w:r w:rsidRPr="003F32BF">
        <w:rPr>
          <w:i/>
          <w:lang w:val="fr-FR"/>
        </w:rPr>
        <w:tab/>
      </w:r>
      <w:r w:rsidRPr="003F32BF">
        <w:rPr>
          <w:lang w:val="fr-FR"/>
        </w:rPr>
        <w:t xml:space="preserve">ECE/TRANS/WP.15/2013/10 (Secrétariat) </w:t>
      </w:r>
    </w:p>
    <w:p w:rsidR="00475B53" w:rsidRPr="003F32BF" w:rsidRDefault="00475B53" w:rsidP="00475B53">
      <w:pPr>
        <w:pStyle w:val="SingleTxtG"/>
        <w:tabs>
          <w:tab w:val="left" w:pos="3000"/>
        </w:tabs>
        <w:ind w:left="2268" w:hanging="1134"/>
        <w:jc w:val="left"/>
        <w:rPr>
          <w:lang w:val="fr-FR"/>
        </w:rPr>
      </w:pPr>
      <w:r w:rsidRPr="003F32BF">
        <w:rPr>
          <w:i/>
          <w:lang w:val="fr-FR"/>
        </w:rPr>
        <w:t xml:space="preserve">Document informel: </w:t>
      </w:r>
      <w:r w:rsidRPr="003F32BF">
        <w:rPr>
          <w:lang w:val="fr-FR"/>
        </w:rPr>
        <w:t>INF.22 (Secrétariat)</w:t>
      </w:r>
    </w:p>
    <w:p w:rsidR="00475B53" w:rsidRDefault="00E8142E" w:rsidP="00475B53">
      <w:pPr>
        <w:pStyle w:val="SingleTxtG"/>
        <w:rPr>
          <w:lang w:val="fr-FR"/>
        </w:rPr>
      </w:pPr>
      <w:r>
        <w:rPr>
          <w:lang w:val="fr-FR"/>
        </w:rPr>
        <w:t>59</w:t>
      </w:r>
      <w:r w:rsidR="00475B53" w:rsidRPr="003F32BF">
        <w:rPr>
          <w:lang w:val="fr-FR"/>
        </w:rPr>
        <w:t>.</w:t>
      </w:r>
      <w:r w:rsidR="00475B53" w:rsidRPr="003F32BF">
        <w:rPr>
          <w:lang w:val="fr-FR"/>
        </w:rPr>
        <w:tab/>
        <w:t>Le Groupe de travail a noté la présentation du secrétariat sur la disponibilité de l'information sur le sit</w:t>
      </w:r>
      <w:r w:rsidR="00475B53">
        <w:rPr>
          <w:lang w:val="fr-FR"/>
        </w:rPr>
        <w:t>e internet de la CEE</w:t>
      </w:r>
      <w:r w:rsidR="00475B53" w:rsidRPr="003F32BF">
        <w:rPr>
          <w:lang w:val="fr-FR"/>
        </w:rPr>
        <w:t xml:space="preserve">. Le Groupe de </w:t>
      </w:r>
      <w:r w:rsidR="00475B53">
        <w:rPr>
          <w:lang w:val="fr-FR"/>
        </w:rPr>
        <w:t>travail a conclu que plus de 75</w:t>
      </w:r>
      <w:r w:rsidR="00475B53" w:rsidRPr="003F32BF">
        <w:rPr>
          <w:lang w:val="fr-FR"/>
        </w:rPr>
        <w:t>% de l'information était disponible.</w:t>
      </w:r>
    </w:p>
    <w:p w:rsidR="00475B53" w:rsidRPr="003F32BF" w:rsidRDefault="00E8142E" w:rsidP="00475B53">
      <w:pPr>
        <w:pStyle w:val="SingleTxtG"/>
        <w:rPr>
          <w:lang w:val="fr-FR"/>
        </w:rPr>
      </w:pPr>
      <w:r>
        <w:rPr>
          <w:lang w:val="fr-FR"/>
        </w:rPr>
        <w:t>60</w:t>
      </w:r>
      <w:r w:rsidR="00475B53">
        <w:rPr>
          <w:lang w:val="fr-FR"/>
        </w:rPr>
        <w:t>.</w:t>
      </w:r>
      <w:r w:rsidR="00475B53">
        <w:rPr>
          <w:lang w:val="fr-FR"/>
        </w:rPr>
        <w:tab/>
        <w:t>Les informations sur les pays</w:t>
      </w:r>
      <w:r w:rsidR="00475B53" w:rsidRPr="003F32BF">
        <w:rPr>
          <w:lang w:val="fr-FR"/>
        </w:rPr>
        <w:t xml:space="preserve"> pourrai</w:t>
      </w:r>
      <w:r w:rsidR="00475B53">
        <w:rPr>
          <w:lang w:val="fr-FR"/>
        </w:rPr>
        <w:t>en</w:t>
      </w:r>
      <w:r w:rsidR="00475B53" w:rsidRPr="003F32BF">
        <w:rPr>
          <w:lang w:val="fr-FR"/>
        </w:rPr>
        <w:t>t être amélioré</w:t>
      </w:r>
      <w:r w:rsidR="00475B53">
        <w:rPr>
          <w:lang w:val="fr-FR"/>
        </w:rPr>
        <w:t>es</w:t>
      </w:r>
      <w:r w:rsidR="00475B53" w:rsidRPr="003F32BF">
        <w:rPr>
          <w:lang w:val="fr-FR"/>
        </w:rPr>
        <w:t xml:space="preserve"> pour les pays pour lesquels seul</w:t>
      </w:r>
      <w:r w:rsidR="00475B53">
        <w:rPr>
          <w:lang w:val="fr-FR"/>
        </w:rPr>
        <w:t>e</w:t>
      </w:r>
      <w:r w:rsidR="00475B53" w:rsidRPr="003F32BF">
        <w:rPr>
          <w:lang w:val="fr-FR"/>
        </w:rPr>
        <w:t xml:space="preserve">s les </w:t>
      </w:r>
      <w:r w:rsidR="00475B53">
        <w:rPr>
          <w:lang w:val="fr-FR"/>
        </w:rPr>
        <w:t>coordonnées de l’</w:t>
      </w:r>
      <w:r w:rsidR="00475B53" w:rsidRPr="003F32BF">
        <w:rPr>
          <w:lang w:val="fr-FR"/>
        </w:rPr>
        <w:t xml:space="preserve">autorité compétente principale </w:t>
      </w:r>
      <w:r w:rsidR="00475B53">
        <w:rPr>
          <w:lang w:val="fr-FR"/>
        </w:rPr>
        <w:t>sont disponibles</w:t>
      </w:r>
      <w:r w:rsidR="00475B53" w:rsidRPr="003F32BF">
        <w:rPr>
          <w:lang w:val="fr-FR"/>
        </w:rPr>
        <w:t xml:space="preserve">. Le Groupe de travail a indiqué qu'au moins une adresse e-mail serait utile pour faciliter les communications </w:t>
      </w:r>
      <w:r w:rsidR="00475B53">
        <w:rPr>
          <w:lang w:val="fr-FR"/>
        </w:rPr>
        <w:t>entre les parties contractantes</w:t>
      </w:r>
      <w:r w:rsidR="00475B53" w:rsidRPr="003F32BF">
        <w:rPr>
          <w:lang w:val="fr-FR"/>
        </w:rPr>
        <w:t>. Les pays pour lesquels ces informations ne sont pas disponibles sont invités à communiquer au secrétariat de la CEE les adresses des autorités et organismes désignés par elles qui sont compétents conformément à la législation n</w:t>
      </w:r>
      <w:r w:rsidR="00475B53">
        <w:rPr>
          <w:lang w:val="fr-FR"/>
        </w:rPr>
        <w:t>ationale d'application de l'ADR</w:t>
      </w:r>
      <w:r w:rsidR="00475B53" w:rsidRPr="003F32BF">
        <w:rPr>
          <w:lang w:val="fr-FR"/>
        </w:rPr>
        <w:t xml:space="preserve">, en mentionnant pour chaque cas la disposition </w:t>
      </w:r>
      <w:r w:rsidR="00475B53" w:rsidRPr="003F32BF">
        <w:rPr>
          <w:lang w:val="fr-FR"/>
        </w:rPr>
        <w:lastRenderedPageBreak/>
        <w:t>pertinente de l'ADR</w:t>
      </w:r>
      <w:r w:rsidR="00475B53">
        <w:rPr>
          <w:lang w:val="fr-FR"/>
        </w:rPr>
        <w:t>,</w:t>
      </w:r>
      <w:r w:rsidR="00475B53" w:rsidRPr="003F32BF">
        <w:rPr>
          <w:lang w:val="fr-FR"/>
        </w:rPr>
        <w:t xml:space="preserve"> ainsi que les adresses auxquelles il y a lieu de soumettre les</w:t>
      </w:r>
      <w:r w:rsidR="00475B53">
        <w:rPr>
          <w:lang w:val="fr-FR"/>
        </w:rPr>
        <w:t xml:space="preserve"> </w:t>
      </w:r>
      <w:r w:rsidR="00475B53" w:rsidRPr="003F32BF">
        <w:rPr>
          <w:lang w:val="fr-FR"/>
        </w:rPr>
        <w:t>demandes y relatives</w:t>
      </w:r>
      <w:r w:rsidR="00475B53">
        <w:rPr>
          <w:lang w:val="fr-FR"/>
        </w:rPr>
        <w:t>. Le cas échéant</w:t>
      </w:r>
      <w:r w:rsidR="00475B53" w:rsidRPr="003F32BF">
        <w:rPr>
          <w:lang w:val="fr-FR"/>
        </w:rPr>
        <w:t xml:space="preserve">, les pays sont invités à confirmer que seule </w:t>
      </w:r>
      <w:r w:rsidR="00475B53">
        <w:rPr>
          <w:lang w:val="fr-FR"/>
        </w:rPr>
        <w:t>l’</w:t>
      </w:r>
      <w:r w:rsidR="00475B53" w:rsidRPr="003F32BF">
        <w:rPr>
          <w:lang w:val="fr-FR"/>
        </w:rPr>
        <w:t xml:space="preserve">autorité compétente </w:t>
      </w:r>
      <w:r w:rsidR="00475B53">
        <w:rPr>
          <w:lang w:val="fr-FR"/>
        </w:rPr>
        <w:t xml:space="preserve">principale </w:t>
      </w:r>
      <w:r w:rsidR="00475B53" w:rsidRPr="003F32BF">
        <w:rPr>
          <w:lang w:val="fr-FR"/>
        </w:rPr>
        <w:t>est compétente pour to</w:t>
      </w:r>
      <w:r w:rsidR="00475B53">
        <w:rPr>
          <w:lang w:val="fr-FR"/>
        </w:rPr>
        <w:t>utes les prescriptions de l'ADR</w:t>
      </w:r>
      <w:r w:rsidR="00475B53" w:rsidRPr="003F32BF">
        <w:rPr>
          <w:lang w:val="fr-FR"/>
        </w:rPr>
        <w:t>.</w:t>
      </w:r>
    </w:p>
    <w:p w:rsidR="00475B53" w:rsidRDefault="00E8142E" w:rsidP="00475B53">
      <w:pPr>
        <w:pStyle w:val="SingleTxtG"/>
        <w:spacing w:line="240" w:lineRule="auto"/>
      </w:pPr>
      <w:r>
        <w:t>61</w:t>
      </w:r>
      <w:r w:rsidR="00475B53">
        <w:t>.</w:t>
      </w:r>
      <w:r w:rsidR="00475B53">
        <w:tab/>
      </w:r>
      <w:r w:rsidR="00475B53" w:rsidRPr="003F32BF">
        <w:t xml:space="preserve">Le Groupe de travail a également invité les pays qui ne l'ont pas encore fait </w:t>
      </w:r>
      <w:r w:rsidR="00475B53">
        <w:t xml:space="preserve">à </w:t>
      </w:r>
      <w:r w:rsidR="00475B53" w:rsidRPr="003F32BF">
        <w:t xml:space="preserve">envoyer les modèles de </w:t>
      </w:r>
      <w:r w:rsidR="00475B53">
        <w:t>certificats de formation ADR</w:t>
      </w:r>
      <w:r w:rsidR="00475B53" w:rsidRPr="003F32BF">
        <w:t xml:space="preserve"> </w:t>
      </w:r>
      <w:r w:rsidR="00475B53">
        <w:t>qu’ils délivrent</w:t>
      </w:r>
      <w:r w:rsidR="00475B53" w:rsidRPr="003F32BF">
        <w:t xml:space="preserve"> ou </w:t>
      </w:r>
      <w:r w:rsidR="00475B53">
        <w:t>à</w:t>
      </w:r>
      <w:r w:rsidR="00475B53" w:rsidRPr="003F32BF">
        <w:t xml:space="preserve"> confirmer qu'aucun certificat </w:t>
      </w:r>
      <w:r w:rsidR="00475B53">
        <w:t>n’était délivré dans leur pays le cas échéant</w:t>
      </w:r>
      <w:r w:rsidR="00475B53" w:rsidRPr="003F32BF">
        <w:t>.</w:t>
      </w:r>
    </w:p>
    <w:p w:rsidR="00475B53" w:rsidRPr="005915A5" w:rsidRDefault="00E8142E" w:rsidP="00475B53">
      <w:pPr>
        <w:pStyle w:val="SingleTxtG"/>
        <w:rPr>
          <w:lang w:val="fr-FR"/>
        </w:rPr>
      </w:pPr>
      <w:r>
        <w:rPr>
          <w:lang w:val="fr-FR"/>
        </w:rPr>
        <w:t>62</w:t>
      </w:r>
      <w:r w:rsidR="00475B53" w:rsidRPr="00E65E52">
        <w:rPr>
          <w:lang w:val="fr-FR"/>
        </w:rPr>
        <w:t>.</w:t>
      </w:r>
      <w:r w:rsidR="00475B53" w:rsidRPr="00E65E52">
        <w:rPr>
          <w:lang w:val="fr-FR"/>
        </w:rPr>
        <w:tab/>
        <w:t>Le Groupe de travail a mis à jour les objectifs et indicateurs de succès pour 2016-2017 tels que préparés par le secrétariat (voir annexe IV).</w:t>
      </w:r>
    </w:p>
    <w:p w:rsidR="005970B3" w:rsidRPr="005915A5" w:rsidRDefault="005970B3" w:rsidP="005970B3">
      <w:pPr>
        <w:pStyle w:val="HChG"/>
        <w:rPr>
          <w:lang w:val="fr-FR"/>
        </w:rPr>
      </w:pPr>
      <w:r w:rsidRPr="005915A5">
        <w:rPr>
          <w:lang w:val="fr-FR"/>
        </w:rPr>
        <w:tab/>
      </w:r>
      <w:r>
        <w:rPr>
          <w:lang w:val="fr-FR"/>
        </w:rPr>
        <w:t>I</w:t>
      </w:r>
      <w:r w:rsidRPr="005915A5">
        <w:rPr>
          <w:lang w:val="fr-FR"/>
        </w:rPr>
        <w:t>X.</w:t>
      </w:r>
      <w:r w:rsidRPr="005915A5">
        <w:rPr>
          <w:lang w:val="fr-FR"/>
        </w:rPr>
        <w:tab/>
      </w:r>
      <w:r w:rsidRPr="00F928CE">
        <w:t>É</w:t>
      </w:r>
      <w:r w:rsidRPr="00E92B2E">
        <w:t xml:space="preserve">lection </w:t>
      </w:r>
      <w:r>
        <w:t>du bureau pour</w:t>
      </w:r>
      <w:r w:rsidRPr="00E92B2E">
        <w:t xml:space="preserve"> 20</w:t>
      </w:r>
      <w:r>
        <w:t>16</w:t>
      </w:r>
      <w:r w:rsidRPr="005915A5">
        <w:rPr>
          <w:lang w:val="fr-FR"/>
        </w:rPr>
        <w:t xml:space="preserve"> (point 9 de l’ordre du jour)</w:t>
      </w:r>
    </w:p>
    <w:p w:rsidR="005970B3" w:rsidRPr="005915A5" w:rsidRDefault="00E8142E" w:rsidP="005970B3">
      <w:pPr>
        <w:pStyle w:val="SingleTxtG"/>
        <w:rPr>
          <w:lang w:val="fr-FR"/>
        </w:rPr>
      </w:pPr>
      <w:r>
        <w:rPr>
          <w:lang w:val="fr-FR"/>
        </w:rPr>
        <w:t>63</w:t>
      </w:r>
      <w:r w:rsidR="005970B3" w:rsidRPr="00F10772">
        <w:rPr>
          <w:lang w:val="fr-FR"/>
        </w:rPr>
        <w:t>.</w:t>
      </w:r>
      <w:r w:rsidR="005970B3" w:rsidRPr="00F10772">
        <w:rPr>
          <w:lang w:val="fr-FR"/>
        </w:rPr>
        <w:tab/>
        <w:t xml:space="preserve">Sur proposition du représentant de l’Allemagne appuyé par le représentant du Luxembourg, le Groupe de travail a réélu M. J. A. Franco (Portugal) et Mme A. </w:t>
      </w:r>
      <w:proofErr w:type="spellStart"/>
      <w:r w:rsidR="005970B3" w:rsidRPr="00F10772">
        <w:rPr>
          <w:lang w:val="fr-FR"/>
        </w:rPr>
        <w:t>Roumier</w:t>
      </w:r>
      <w:proofErr w:type="spellEnd"/>
      <w:r w:rsidR="005970B3" w:rsidRPr="00F10772">
        <w:rPr>
          <w:lang w:val="fr-FR"/>
        </w:rPr>
        <w:t xml:space="preserve"> (France) respectivement Président et Vice-Préside</w:t>
      </w:r>
      <w:r w:rsidR="005970B3" w:rsidRPr="005915A5">
        <w:rPr>
          <w:lang w:val="fr-FR"/>
        </w:rPr>
        <w:t xml:space="preserve">nte pour l’année </w:t>
      </w:r>
      <w:r w:rsidR="005970B3">
        <w:rPr>
          <w:lang w:val="fr-FR"/>
        </w:rPr>
        <w:t>2016</w:t>
      </w:r>
      <w:r w:rsidR="005970B3" w:rsidRPr="005915A5">
        <w:rPr>
          <w:lang w:val="fr-FR"/>
        </w:rPr>
        <w:t>.</w:t>
      </w:r>
    </w:p>
    <w:p w:rsidR="005970B3" w:rsidRPr="005915A5" w:rsidRDefault="005970B3" w:rsidP="005970B3">
      <w:pPr>
        <w:pStyle w:val="HChG"/>
        <w:rPr>
          <w:lang w:val="fr-FR"/>
        </w:rPr>
      </w:pPr>
      <w:r>
        <w:rPr>
          <w:lang w:val="fr-FR"/>
        </w:rPr>
        <w:tab/>
        <w:t>X</w:t>
      </w:r>
      <w:r w:rsidRPr="005915A5">
        <w:rPr>
          <w:lang w:val="fr-FR"/>
        </w:rPr>
        <w:t>.</w:t>
      </w:r>
      <w:r w:rsidRPr="005915A5">
        <w:rPr>
          <w:lang w:val="fr-FR"/>
        </w:rPr>
        <w:tab/>
        <w:t xml:space="preserve">Questions diverses (point </w:t>
      </w:r>
      <w:r>
        <w:rPr>
          <w:lang w:val="fr-FR"/>
        </w:rPr>
        <w:t>9</w:t>
      </w:r>
      <w:r w:rsidRPr="005915A5">
        <w:rPr>
          <w:lang w:val="fr-FR"/>
        </w:rPr>
        <w:t xml:space="preserve"> de l’ordre du jour)</w:t>
      </w:r>
    </w:p>
    <w:p w:rsidR="005970B3" w:rsidRDefault="00E8142E" w:rsidP="005970B3">
      <w:pPr>
        <w:pStyle w:val="SingleTxtG"/>
      </w:pPr>
      <w:r>
        <w:t>64</w:t>
      </w:r>
      <w:r w:rsidR="005970B3" w:rsidRPr="005D6F01">
        <w:t>.</w:t>
      </w:r>
      <w:r w:rsidR="005970B3" w:rsidRPr="005D6F01">
        <w:tab/>
      </w:r>
      <w:r w:rsidR="005970B3" w:rsidRPr="00E65E52">
        <w:t>Le Groupe de travail a noté avec intérêt la proposition du Royaume-Uni de confier l'examen des questions de rédact</w:t>
      </w:r>
      <w:r w:rsidR="005970B3">
        <w:t xml:space="preserve">ion relatives à la langue à </w:t>
      </w:r>
      <w:r w:rsidR="005970B3" w:rsidRPr="00E65E52">
        <w:t xml:space="preserve">un groupe de travail informel pour éviter de longues discussions en séance plénière sur les questions </w:t>
      </w:r>
      <w:r w:rsidR="005970B3">
        <w:t>non-substantielles</w:t>
      </w:r>
      <w:r w:rsidR="005970B3" w:rsidRPr="00E65E52">
        <w:t>.</w:t>
      </w:r>
    </w:p>
    <w:p w:rsidR="005970B3" w:rsidRDefault="00E8142E" w:rsidP="005970B3">
      <w:pPr>
        <w:pStyle w:val="SingleTxtG"/>
        <w:rPr>
          <w:lang w:val="fr-FR"/>
        </w:rPr>
      </w:pPr>
      <w:r>
        <w:t>65</w:t>
      </w:r>
      <w:r w:rsidR="005970B3" w:rsidRPr="003A75CF">
        <w:t>.</w:t>
      </w:r>
      <w:r w:rsidR="005970B3" w:rsidRPr="003A75CF">
        <w:tab/>
      </w:r>
      <w:r w:rsidR="005970B3" w:rsidRPr="00E65E52">
        <w:t>Il a</w:t>
      </w:r>
      <w:r w:rsidR="005970B3">
        <w:t xml:space="preserve"> été dit que cela serait susceptible d’intéresser également la Réunion commune</w:t>
      </w:r>
      <w:r w:rsidR="005970B3" w:rsidRPr="00E65E52">
        <w:t xml:space="preserve"> où les dispos</w:t>
      </w:r>
      <w:r w:rsidR="005970B3">
        <w:t>itions qui sont communes au RID</w:t>
      </w:r>
      <w:r w:rsidR="005970B3" w:rsidRPr="00E65E52">
        <w:t xml:space="preserve">, </w:t>
      </w:r>
      <w:r w:rsidR="005970B3">
        <w:t>à l’</w:t>
      </w:r>
      <w:r w:rsidR="005970B3" w:rsidRPr="00E65E52">
        <w:t xml:space="preserve">ADR et </w:t>
      </w:r>
      <w:r w:rsidR="005970B3">
        <w:t xml:space="preserve">à </w:t>
      </w:r>
      <w:r w:rsidR="005970B3" w:rsidRPr="00E65E52">
        <w:t xml:space="preserve">l'ADN sont discutées et élaborées en premier. Le Groupe de travail a invité le représentant du Royaume-Uni à présenter une proposition formelle à cet égard lors des prochaines sessions de la Réunion </w:t>
      </w:r>
      <w:r w:rsidR="005970B3">
        <w:t>commune et du Groupe de travail</w:t>
      </w:r>
      <w:r w:rsidR="005970B3" w:rsidRPr="00E65E52">
        <w:t>.</w:t>
      </w:r>
      <w:r w:rsidR="005970B3">
        <w:rPr>
          <w:lang w:val="fr-FR"/>
        </w:rPr>
        <w:tab/>
      </w:r>
    </w:p>
    <w:p w:rsidR="005970B3" w:rsidRPr="005915A5" w:rsidRDefault="005970B3" w:rsidP="005970B3">
      <w:pPr>
        <w:pStyle w:val="HChG"/>
        <w:rPr>
          <w:lang w:val="fr-FR"/>
        </w:rPr>
      </w:pPr>
      <w:r>
        <w:rPr>
          <w:lang w:val="fr-FR"/>
        </w:rPr>
        <w:tab/>
        <w:t>XI</w:t>
      </w:r>
      <w:r w:rsidRPr="005915A5">
        <w:rPr>
          <w:lang w:val="fr-FR"/>
        </w:rPr>
        <w:t>.</w:t>
      </w:r>
      <w:r w:rsidRPr="005915A5">
        <w:rPr>
          <w:lang w:val="fr-FR"/>
        </w:rPr>
        <w:tab/>
        <w:t xml:space="preserve">Adoption du rapport (point </w:t>
      </w:r>
      <w:r>
        <w:rPr>
          <w:lang w:val="fr-FR"/>
        </w:rPr>
        <w:t>10</w:t>
      </w:r>
      <w:r w:rsidRPr="005915A5">
        <w:rPr>
          <w:lang w:val="fr-FR"/>
        </w:rPr>
        <w:t xml:space="preserve"> de l’ordre du jour)</w:t>
      </w:r>
    </w:p>
    <w:p w:rsidR="005970B3" w:rsidRPr="005915A5" w:rsidRDefault="00E8142E" w:rsidP="005970B3">
      <w:pPr>
        <w:pStyle w:val="SingleTxtG"/>
        <w:rPr>
          <w:lang w:val="fr-FR"/>
        </w:rPr>
      </w:pPr>
      <w:r>
        <w:rPr>
          <w:lang w:val="fr-FR"/>
        </w:rPr>
        <w:t>66</w:t>
      </w:r>
      <w:r w:rsidR="005970B3" w:rsidRPr="005915A5">
        <w:rPr>
          <w:lang w:val="fr-FR"/>
        </w:rPr>
        <w:t>.</w:t>
      </w:r>
      <w:r w:rsidR="005970B3" w:rsidRPr="005915A5">
        <w:rPr>
          <w:lang w:val="fr-FR"/>
        </w:rPr>
        <w:tab/>
        <w:t>Le Groupe de travail a adopté le rapport sur sa quatre-vingt-</w:t>
      </w:r>
      <w:r w:rsidR="005970B3">
        <w:rPr>
          <w:lang w:val="fr-FR"/>
        </w:rPr>
        <w:t>dix-neuvième</w:t>
      </w:r>
      <w:r w:rsidR="005970B3" w:rsidRPr="005915A5">
        <w:rPr>
          <w:lang w:val="fr-FR"/>
        </w:rPr>
        <w:t xml:space="preserve"> session et ses annexes sur la base d'un projet établi par le secrétariat.</w:t>
      </w:r>
    </w:p>
    <w:p w:rsidR="00107469" w:rsidRDefault="00107469">
      <w:pPr>
        <w:suppressAutoHyphens w:val="0"/>
        <w:spacing w:line="240" w:lineRule="auto"/>
      </w:pPr>
      <w:r>
        <w:br w:type="page"/>
      </w:r>
    </w:p>
    <w:p w:rsidR="00107469" w:rsidRPr="005915A5" w:rsidRDefault="00107469" w:rsidP="00107469">
      <w:pPr>
        <w:pStyle w:val="HChG"/>
        <w:rPr>
          <w:lang w:val="fr-FR"/>
        </w:rPr>
      </w:pPr>
      <w:r w:rsidRPr="005915A5">
        <w:rPr>
          <w:lang w:val="fr-FR"/>
        </w:rPr>
        <w:lastRenderedPageBreak/>
        <w:t>Annexe I</w:t>
      </w:r>
    </w:p>
    <w:p w:rsidR="00107469" w:rsidRPr="005915A5" w:rsidRDefault="00107469" w:rsidP="00107469">
      <w:pPr>
        <w:pStyle w:val="HChG"/>
        <w:rPr>
          <w:lang w:val="fr-FR"/>
        </w:rPr>
      </w:pPr>
      <w:r w:rsidRPr="005915A5">
        <w:rPr>
          <w:lang w:val="fr-FR"/>
        </w:rPr>
        <w:tab/>
      </w:r>
      <w:r w:rsidRPr="005915A5">
        <w:rPr>
          <w:lang w:val="fr-FR"/>
        </w:rPr>
        <w:tab/>
        <w:t xml:space="preserve">Projet d’amendements </w:t>
      </w:r>
      <w:r>
        <w:rPr>
          <w:lang w:val="fr-FR"/>
        </w:rPr>
        <w:t xml:space="preserve">aux annexes A et B de l’ADR </w:t>
      </w:r>
      <w:r w:rsidRPr="005915A5">
        <w:rPr>
          <w:lang w:val="fr-FR"/>
        </w:rPr>
        <w:t xml:space="preserve">pour </w:t>
      </w:r>
      <w:proofErr w:type="spellStart"/>
      <w:r w:rsidRPr="005915A5">
        <w:rPr>
          <w:lang w:val="fr-FR"/>
        </w:rPr>
        <w:t>entrée</w:t>
      </w:r>
      <w:proofErr w:type="spellEnd"/>
      <w:r w:rsidRPr="005915A5">
        <w:rPr>
          <w:lang w:val="fr-FR"/>
        </w:rPr>
        <w:t xml:space="preserve"> en vigueur le 1 janvier </w:t>
      </w:r>
      <w:r>
        <w:rPr>
          <w:lang w:val="fr-FR"/>
        </w:rPr>
        <w:t>2017</w:t>
      </w:r>
    </w:p>
    <w:p w:rsidR="0009473E" w:rsidRDefault="0009473E" w:rsidP="0009473E">
      <w:pPr>
        <w:pStyle w:val="H1G"/>
        <w:rPr>
          <w:lang w:val="fr-FR"/>
        </w:rPr>
      </w:pPr>
      <w:r>
        <w:rPr>
          <w:lang w:val="fr-FR"/>
        </w:rPr>
        <w:tab/>
      </w:r>
      <w:r>
        <w:rPr>
          <w:lang w:val="fr-FR"/>
        </w:rPr>
        <w:tab/>
        <w:t>Chapitre 1.1</w:t>
      </w:r>
    </w:p>
    <w:p w:rsidR="0009473E" w:rsidRDefault="0009473E" w:rsidP="0009473E">
      <w:pPr>
        <w:tabs>
          <w:tab w:val="left" w:pos="1985"/>
        </w:tabs>
        <w:spacing w:after="120"/>
        <w:ind w:left="1134" w:right="1134"/>
        <w:jc w:val="both"/>
        <w:rPr>
          <w:lang w:val="fr-FR"/>
        </w:rPr>
      </w:pPr>
      <w:r>
        <w:rPr>
          <w:lang w:val="fr-FR"/>
        </w:rPr>
        <w:t xml:space="preserve">1.1.3.2 a) </w:t>
      </w:r>
      <w:r>
        <w:rPr>
          <w:lang w:val="fr-FR"/>
        </w:rPr>
        <w:tab/>
        <w:t>Modifier pour lire comme suit:</w:t>
      </w:r>
    </w:p>
    <w:p w:rsidR="0009473E" w:rsidRDefault="0009473E" w:rsidP="0009473E">
      <w:pPr>
        <w:pStyle w:val="SingleTxtG"/>
        <w:rPr>
          <w:lang w:val="fr-FR"/>
        </w:rPr>
      </w:pPr>
      <w:r>
        <w:rPr>
          <w:lang w:val="fr-FR"/>
        </w:rPr>
        <w:t>«</w:t>
      </w:r>
      <w:proofErr w:type="gramStart"/>
      <w:r>
        <w:rPr>
          <w:lang w:val="fr-FR"/>
        </w:rPr>
        <w:t>a</w:t>
      </w:r>
      <w:proofErr w:type="gramEnd"/>
      <w:r>
        <w:rPr>
          <w:lang w:val="fr-FR"/>
        </w:rPr>
        <w:t>)</w:t>
      </w:r>
      <w:r>
        <w:rPr>
          <w:lang w:val="fr-FR"/>
        </w:rPr>
        <w:tab/>
        <w:t xml:space="preserve">des gaz contenus dans les réservoirs ou bouteilles d’un véhicule effectuant une opération de transport et qui sont destinés à sa propulsion ou au fonctionnement d’un de ses équipements (frigorifiques par exemple) </w:t>
      </w:r>
      <w:r w:rsidRPr="002A1244">
        <w:rPr>
          <w:lang w:val="fr-FR"/>
        </w:rPr>
        <w:t>utilisé ou destiné à une utilisation durant le transport</w:t>
      </w:r>
      <w:r>
        <w:rPr>
          <w:lang w:val="fr-FR"/>
        </w:rPr>
        <w:t>.</w:t>
      </w:r>
    </w:p>
    <w:p w:rsidR="0009473E" w:rsidRDefault="0009473E" w:rsidP="0009473E">
      <w:pPr>
        <w:pStyle w:val="SingleTxtG"/>
        <w:rPr>
          <w:i/>
          <w:snapToGrid w:val="0"/>
          <w:lang w:val="fr-FR"/>
        </w:rPr>
      </w:pPr>
      <w:r>
        <w:rPr>
          <w:lang w:val="fr-FR"/>
        </w:rPr>
        <w:tab/>
        <w:t xml:space="preserve">Les gaz peuvent être transportés dans des réservoirs ou des bouteilles fixes, directement reliés au moteur ou à l’équipement auxiliaire ou dans des récipients à pression transportables qui sont conformes aux dispositions réglementaires appropriées.». </w:t>
      </w:r>
    </w:p>
    <w:p w:rsidR="0009473E" w:rsidRDefault="0009473E" w:rsidP="0009473E">
      <w:pPr>
        <w:tabs>
          <w:tab w:val="left" w:pos="2410"/>
        </w:tabs>
        <w:spacing w:after="120"/>
        <w:ind w:left="1170" w:right="1134"/>
        <w:jc w:val="both"/>
        <w:rPr>
          <w:i/>
          <w:iCs/>
          <w:snapToGrid w:val="0"/>
          <w:lang w:val="fr-FR"/>
        </w:rPr>
      </w:pPr>
      <w:r>
        <w:rPr>
          <w:i/>
          <w:iCs/>
          <w:snapToGrid w:val="0"/>
          <w:lang w:val="fr-FR"/>
        </w:rPr>
        <w:t>(Documents de référence: ECE/TRANS/WP.15/2015/17 et document informel INF.15)</w:t>
      </w:r>
    </w:p>
    <w:p w:rsidR="0009473E" w:rsidRDefault="0009473E" w:rsidP="0009473E">
      <w:pPr>
        <w:pStyle w:val="H1G"/>
        <w:rPr>
          <w:lang w:val="fr-FR"/>
        </w:rPr>
      </w:pPr>
      <w:r>
        <w:rPr>
          <w:lang w:val="fr-FR"/>
        </w:rPr>
        <w:tab/>
      </w:r>
      <w:r>
        <w:rPr>
          <w:lang w:val="fr-FR"/>
        </w:rPr>
        <w:tab/>
        <w:t>Chapitre 1.2</w:t>
      </w:r>
    </w:p>
    <w:p w:rsidR="0009473E" w:rsidRDefault="0009473E" w:rsidP="0009473E">
      <w:pPr>
        <w:tabs>
          <w:tab w:val="left" w:pos="2410"/>
        </w:tabs>
        <w:spacing w:after="120"/>
        <w:ind w:left="1170" w:right="1134"/>
        <w:jc w:val="both"/>
        <w:rPr>
          <w:snapToGrid w:val="0"/>
          <w:lang w:val="fr-FR"/>
        </w:rPr>
      </w:pPr>
      <w:r>
        <w:rPr>
          <w:snapToGrid w:val="0"/>
          <w:lang w:val="fr-FR"/>
        </w:rPr>
        <w:t>1.2.1</w:t>
      </w:r>
      <w:r>
        <w:rPr>
          <w:snapToGrid w:val="0"/>
          <w:lang w:val="fr-FR"/>
        </w:rPr>
        <w:tab/>
        <w:t>Ajouter les nouvelles définitions suivantes:</w:t>
      </w:r>
    </w:p>
    <w:p w:rsidR="0009473E" w:rsidRDefault="0009473E" w:rsidP="0009473E">
      <w:pPr>
        <w:pStyle w:val="SingleTxt"/>
        <w:tabs>
          <w:tab w:val="clear" w:pos="1267"/>
        </w:tabs>
        <w:ind w:left="1170"/>
        <w:rPr>
          <w:lang w:val="fr-FR"/>
        </w:rPr>
      </w:pPr>
      <w:r>
        <w:rPr>
          <w:lang w:val="fr-FR"/>
        </w:rPr>
        <w:t>«</w:t>
      </w:r>
      <w:r>
        <w:rPr>
          <w:i/>
          <w:lang w:val="fr-FR"/>
        </w:rPr>
        <w:t>Gaz naturel comprimé (GNC)</w:t>
      </w:r>
      <w:r>
        <w:rPr>
          <w:lang w:val="fr-FR"/>
        </w:rPr>
        <w:t xml:space="preserve">», un gaz comprimé composé de gaz naturel à forte teneur en méthane </w:t>
      </w:r>
      <w:r w:rsidR="00EA6DEC" w:rsidRPr="0060753A">
        <w:rPr>
          <w:lang w:val="fr-FR"/>
        </w:rPr>
        <w:t>affecté</w:t>
      </w:r>
      <w:r>
        <w:rPr>
          <w:lang w:val="fr-FR"/>
        </w:rPr>
        <w:t xml:space="preserve"> </w:t>
      </w:r>
      <w:r w:rsidR="001473EA">
        <w:rPr>
          <w:lang w:val="fr-FR"/>
        </w:rPr>
        <w:t xml:space="preserve">au </w:t>
      </w:r>
      <w:r>
        <w:rPr>
          <w:lang w:val="fr-FR"/>
        </w:rPr>
        <w:t>No ONU 1971.</w:t>
      </w:r>
    </w:p>
    <w:p w:rsidR="0009473E" w:rsidRDefault="0009473E" w:rsidP="0009473E">
      <w:pPr>
        <w:pStyle w:val="SingleTxt"/>
        <w:tabs>
          <w:tab w:val="clear" w:pos="1267"/>
        </w:tabs>
        <w:ind w:left="1170"/>
        <w:rPr>
          <w:lang w:val="fr-FR"/>
        </w:rPr>
      </w:pPr>
      <w:r>
        <w:rPr>
          <w:lang w:val="fr-FR"/>
        </w:rPr>
        <w:t>«</w:t>
      </w:r>
      <w:r>
        <w:rPr>
          <w:i/>
          <w:lang w:val="fr-FR"/>
        </w:rPr>
        <w:t>Gaz naturel liquéfié (GNL)</w:t>
      </w:r>
      <w:r>
        <w:rPr>
          <w:lang w:val="fr-FR"/>
        </w:rPr>
        <w:t xml:space="preserve">», un gaz mis sous forme liquide par réfrigération composé de gaz naturel à forte teneur en méthane </w:t>
      </w:r>
      <w:r w:rsidR="00EA6DEC" w:rsidRPr="0060753A">
        <w:rPr>
          <w:lang w:val="fr-FR"/>
        </w:rPr>
        <w:t>affecté</w:t>
      </w:r>
      <w:r>
        <w:rPr>
          <w:lang w:val="fr-FR"/>
        </w:rPr>
        <w:t xml:space="preserve"> </w:t>
      </w:r>
      <w:r w:rsidR="001473EA">
        <w:rPr>
          <w:lang w:val="fr-FR"/>
        </w:rPr>
        <w:t xml:space="preserve">au </w:t>
      </w:r>
      <w:r>
        <w:rPr>
          <w:lang w:val="fr-FR"/>
        </w:rPr>
        <w:t>No ONU 1972.</w:t>
      </w:r>
    </w:p>
    <w:p w:rsidR="0009473E" w:rsidRDefault="0009473E" w:rsidP="0009473E">
      <w:pPr>
        <w:tabs>
          <w:tab w:val="left" w:pos="2410"/>
        </w:tabs>
        <w:spacing w:after="120"/>
        <w:ind w:left="1170" w:right="1134"/>
        <w:jc w:val="both"/>
        <w:rPr>
          <w:i/>
          <w:iCs/>
          <w:snapToGrid w:val="0"/>
          <w:lang w:val="fr-FR"/>
        </w:rPr>
      </w:pPr>
      <w:r>
        <w:rPr>
          <w:i/>
          <w:iCs/>
          <w:snapToGrid w:val="0"/>
          <w:lang w:val="fr-FR"/>
        </w:rPr>
        <w:t>(Document de référence: ECE/TRANS/WP.15/2015/16)</w:t>
      </w:r>
    </w:p>
    <w:p w:rsidR="0009473E" w:rsidRDefault="0009473E" w:rsidP="0009473E">
      <w:pPr>
        <w:pStyle w:val="H1G"/>
        <w:rPr>
          <w:lang w:val="fr-FR"/>
        </w:rPr>
      </w:pPr>
      <w:r>
        <w:rPr>
          <w:lang w:val="fr-FR"/>
        </w:rPr>
        <w:tab/>
      </w:r>
      <w:r>
        <w:rPr>
          <w:lang w:val="fr-FR"/>
        </w:rPr>
        <w:tab/>
        <w:t>Chapitre 1.6</w:t>
      </w:r>
    </w:p>
    <w:p w:rsidR="0009473E" w:rsidRDefault="0009473E" w:rsidP="0009473E">
      <w:pPr>
        <w:pStyle w:val="SingleTxtG"/>
        <w:rPr>
          <w:lang w:val="fr-FR"/>
        </w:rPr>
      </w:pPr>
      <w:r>
        <w:rPr>
          <w:lang w:val="fr-FR"/>
        </w:rPr>
        <w:t>Ajouter les nouvelles mesures transitoires suivantes:</w:t>
      </w:r>
    </w:p>
    <w:p w:rsidR="001E6D5E" w:rsidRPr="000850F9" w:rsidRDefault="001E6D5E" w:rsidP="00052613">
      <w:pPr>
        <w:spacing w:after="120"/>
        <w:ind w:left="1134" w:right="1134"/>
        <w:jc w:val="both"/>
        <w:rPr>
          <w:lang w:val="fr-FR"/>
        </w:rPr>
      </w:pPr>
      <w:r>
        <w:rPr>
          <w:lang w:val="fr-FR"/>
        </w:rPr>
        <w:t>«</w:t>
      </w:r>
      <w:r w:rsidRPr="000850F9">
        <w:rPr>
          <w:lang w:val="fr-FR"/>
        </w:rPr>
        <w:t>1.6.5.17</w:t>
      </w:r>
      <w:r w:rsidRPr="000850F9">
        <w:rPr>
          <w:lang w:val="fr-FR"/>
        </w:rPr>
        <w:tab/>
        <w:t>Les véhicules immatriculés pour la première fois ou mis en service avant le 1er avril 2018, qui ne répondent pas aux prescriptions du 9.2.2.8.5 ou des normes ISO 6722-1:2011 + Cor 1:2012 ou ISO 6722-2:2013 pour les câbles du 9.2.2.2.1 mais qui répondent aux prescriptions applicables jusqu’au 31 décembre 2016, pourront encore être utilisés.</w:t>
      </w:r>
      <w:r>
        <w:rPr>
          <w:lang w:val="fr-FR"/>
        </w:rPr>
        <w:t>»</w:t>
      </w:r>
    </w:p>
    <w:p w:rsidR="00925B3F" w:rsidRPr="007336BD" w:rsidRDefault="00925B3F" w:rsidP="00925B3F">
      <w:pPr>
        <w:pStyle w:val="SingleTxtG"/>
        <w:rPr>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1E6D5E" w:rsidRPr="000850F9" w:rsidRDefault="001E6D5E" w:rsidP="00994F5B">
      <w:pPr>
        <w:spacing w:after="120"/>
        <w:ind w:left="1134" w:right="1134"/>
        <w:jc w:val="both"/>
        <w:rPr>
          <w:rFonts w:eastAsiaTheme="minorHAnsi"/>
          <w:spacing w:val="4"/>
          <w:w w:val="103"/>
          <w:kern w:val="14"/>
          <w:szCs w:val="22"/>
          <w:lang w:val="fr-FR"/>
        </w:rPr>
      </w:pPr>
      <w:r>
        <w:rPr>
          <w:lang w:val="fr-FR"/>
        </w:rPr>
        <w:t>«</w:t>
      </w:r>
      <w:r w:rsidRPr="000850F9">
        <w:rPr>
          <w:lang w:val="fr-FR"/>
        </w:rPr>
        <w:t>1.6.5.</w:t>
      </w:r>
      <w:r>
        <w:rPr>
          <w:lang w:val="fr-FR"/>
        </w:rPr>
        <w:t>18</w:t>
      </w:r>
      <w:r w:rsidRPr="000850F9">
        <w:rPr>
          <w:lang w:val="fr-FR"/>
        </w:rPr>
        <w:tab/>
        <w:t xml:space="preserve">Les véhicules immatriculés pour la première fois ou mis en service avant le 1er avril 2018 qui ont été </w:t>
      </w:r>
      <w:r w:rsidR="00994F5B">
        <w:rPr>
          <w:lang w:val="fr-FR"/>
        </w:rPr>
        <w:t>agréés</w:t>
      </w:r>
      <w:r w:rsidR="00994F5B" w:rsidRPr="000850F9">
        <w:rPr>
          <w:lang w:val="fr-FR"/>
        </w:rPr>
        <w:t xml:space="preserve"> </w:t>
      </w:r>
      <w:r>
        <w:rPr>
          <w:lang w:val="fr-FR"/>
        </w:rPr>
        <w:t>en tant que véhicule</w:t>
      </w:r>
      <w:r w:rsidR="00994F5B">
        <w:rPr>
          <w:lang w:val="fr-FR"/>
        </w:rPr>
        <w:t>s</w:t>
      </w:r>
      <w:r w:rsidRPr="000850F9">
        <w:rPr>
          <w:lang w:val="fr-FR"/>
        </w:rPr>
        <w:t xml:space="preserve"> OX </w:t>
      </w:r>
      <w:r w:rsidR="00994F5B">
        <w:rPr>
          <w:lang w:val="fr-FR"/>
        </w:rPr>
        <w:t>pourront</w:t>
      </w:r>
      <w:r w:rsidR="00994F5B" w:rsidRPr="000850F9">
        <w:rPr>
          <w:lang w:val="fr-FR"/>
        </w:rPr>
        <w:t xml:space="preserve"> </w:t>
      </w:r>
      <w:r w:rsidRPr="000850F9">
        <w:rPr>
          <w:lang w:val="fr-FR"/>
        </w:rPr>
        <w:t xml:space="preserve">encore être utilisés pour le transport des matières </w:t>
      </w:r>
      <w:r w:rsidR="00994F5B">
        <w:rPr>
          <w:lang w:val="fr-FR"/>
        </w:rPr>
        <w:t xml:space="preserve">du No </w:t>
      </w:r>
      <w:r w:rsidRPr="000850F9">
        <w:rPr>
          <w:lang w:val="fr-FR"/>
        </w:rPr>
        <w:t>ONU 2015</w:t>
      </w:r>
      <w:r>
        <w:rPr>
          <w:lang w:val="fr-FR"/>
        </w:rPr>
        <w:t>.».</w:t>
      </w:r>
    </w:p>
    <w:p w:rsidR="00F62B2F" w:rsidRPr="007336BD" w:rsidRDefault="00F62B2F" w:rsidP="00F62B2F">
      <w:pPr>
        <w:pStyle w:val="SingleTxtG"/>
        <w:rPr>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09473E" w:rsidRDefault="0009473E" w:rsidP="00F62B2F">
      <w:pPr>
        <w:pStyle w:val="SingleTxtG"/>
        <w:rPr>
          <w:lang w:val="fr-FR"/>
        </w:rPr>
      </w:pPr>
      <w:r>
        <w:rPr>
          <w:lang w:val="fr-FR"/>
        </w:rPr>
        <w:t>«1.6.5.</w:t>
      </w:r>
      <w:r w:rsidR="00333EBE">
        <w:rPr>
          <w:lang w:val="fr-FR"/>
        </w:rPr>
        <w:t>19</w:t>
      </w:r>
      <w:r>
        <w:rPr>
          <w:lang w:val="fr-FR"/>
        </w:rPr>
        <w:tab/>
        <w:t xml:space="preserve">En ce qui concerne la visite technique annuelle des véhicules </w:t>
      </w:r>
      <w:r w:rsidRPr="00CC5E74">
        <w:rPr>
          <w:lang w:val="fr-FR"/>
        </w:rPr>
        <w:t>immatriculés pour la première fois ou mis en service avant le 1er avril 2018</w:t>
      </w:r>
      <w:r>
        <w:rPr>
          <w:lang w:val="fr-FR"/>
        </w:rPr>
        <w:t xml:space="preserve"> et agréés spécifiquement en tant que véhicules OX, les prescriptions de la partie 9 </w:t>
      </w:r>
      <w:r w:rsidR="00333EBE">
        <w:rPr>
          <w:lang w:val="fr-FR"/>
        </w:rPr>
        <w:t xml:space="preserve">en vigueur </w:t>
      </w:r>
      <w:r>
        <w:rPr>
          <w:lang w:val="fr-FR"/>
        </w:rPr>
        <w:t>jusqu’au 31 décembre 2016 pourront encore être appliquées.».</w:t>
      </w:r>
    </w:p>
    <w:p w:rsidR="0009473E" w:rsidRDefault="0009473E" w:rsidP="0009473E">
      <w:pPr>
        <w:pStyle w:val="SingleTxtG"/>
        <w:rPr>
          <w:lang w:val="fr-FR"/>
        </w:rPr>
      </w:pPr>
      <w:r>
        <w:rPr>
          <w:lang w:val="fr-FR"/>
        </w:rPr>
        <w:lastRenderedPageBreak/>
        <w:t>«1.6.5.</w:t>
      </w:r>
      <w:r w:rsidR="00333EBE">
        <w:rPr>
          <w:lang w:val="fr-FR"/>
        </w:rPr>
        <w:t>20</w:t>
      </w:r>
      <w:r>
        <w:rPr>
          <w:lang w:val="fr-FR"/>
        </w:rPr>
        <w:tab/>
        <w:t xml:space="preserve">Les certificats d’agrément de véhicules OX </w:t>
      </w:r>
      <w:r w:rsidRPr="00431B4F">
        <w:rPr>
          <w:lang w:val="fr-FR"/>
        </w:rPr>
        <w:t xml:space="preserve">conformes au modèle du 9.1.3.5 applicable jusqu'au 31 décembre </w:t>
      </w:r>
      <w:r>
        <w:rPr>
          <w:lang w:val="fr-FR"/>
        </w:rPr>
        <w:t xml:space="preserve">2016 </w:t>
      </w:r>
      <w:r w:rsidRPr="00431B4F">
        <w:rPr>
          <w:lang w:val="fr-FR"/>
        </w:rPr>
        <w:t>pourront encore être utilisés.</w:t>
      </w:r>
      <w:r>
        <w:rPr>
          <w:lang w:val="fr-FR"/>
        </w:rPr>
        <w:t>».</w:t>
      </w:r>
    </w:p>
    <w:p w:rsidR="0009473E" w:rsidRPr="004E7359" w:rsidRDefault="0009473E" w:rsidP="0009473E">
      <w:pPr>
        <w:pStyle w:val="SingleTxtG"/>
        <w:rPr>
          <w:rFonts w:cs="Arial"/>
          <w:i/>
          <w:szCs w:val="22"/>
          <w:lang w:val="fr-FR"/>
        </w:rPr>
      </w:pPr>
      <w:r w:rsidRPr="004E7359">
        <w:rPr>
          <w:rFonts w:cs="Arial"/>
          <w:i/>
          <w:szCs w:val="22"/>
          <w:lang w:val="fr-FR"/>
        </w:rPr>
        <w:t>(</w:t>
      </w:r>
      <w:r w:rsidRPr="004E7359">
        <w:rPr>
          <w:i/>
        </w:rPr>
        <w:t>Document de référence</w:t>
      </w:r>
      <w:r w:rsidRPr="004E7359">
        <w:rPr>
          <w:rFonts w:cs="Arial"/>
          <w:i/>
          <w:szCs w:val="22"/>
          <w:lang w:val="fr-FR"/>
        </w:rPr>
        <w:t>: document informel INF.</w:t>
      </w:r>
      <w:r>
        <w:rPr>
          <w:rFonts w:cs="Arial"/>
          <w:i/>
          <w:szCs w:val="22"/>
          <w:lang w:val="fr-FR"/>
        </w:rPr>
        <w:t>8 tel que modifié</w:t>
      </w:r>
      <w:r w:rsidRPr="004E7359">
        <w:rPr>
          <w:rFonts w:cs="Arial"/>
          <w:i/>
          <w:szCs w:val="22"/>
          <w:lang w:val="fr-FR"/>
        </w:rPr>
        <w:t>)</w:t>
      </w:r>
    </w:p>
    <w:p w:rsidR="000A7986" w:rsidRPr="007336BD" w:rsidRDefault="000A7986" w:rsidP="000A7986">
      <w:pPr>
        <w:pStyle w:val="H1G"/>
        <w:rPr>
          <w:lang w:val="fr-FR"/>
        </w:rPr>
      </w:pPr>
      <w:r w:rsidRPr="007336BD">
        <w:rPr>
          <w:lang w:val="fr-FR"/>
        </w:rPr>
        <w:tab/>
      </w:r>
      <w:r w:rsidRPr="007336BD">
        <w:rPr>
          <w:lang w:val="fr-FR"/>
        </w:rPr>
        <w:tab/>
        <w:t xml:space="preserve">Chapitre </w:t>
      </w:r>
      <w:r>
        <w:rPr>
          <w:lang w:val="fr-FR"/>
        </w:rPr>
        <w:t>3.2, tableau A</w:t>
      </w:r>
    </w:p>
    <w:p w:rsidR="00013D7C" w:rsidRPr="001965D7" w:rsidRDefault="00013D7C" w:rsidP="00013D7C">
      <w:pPr>
        <w:pStyle w:val="SingleTxtG"/>
        <w:rPr>
          <w:lang w:val="fr-FR" w:eastAsia="de-DE"/>
        </w:rPr>
      </w:pPr>
      <w:r>
        <w:rPr>
          <w:iCs/>
          <w:snapToGrid w:val="0"/>
          <w:lang w:val="fr-FR"/>
        </w:rPr>
        <w:t xml:space="preserve">Pour le </w:t>
      </w:r>
      <w:r w:rsidRPr="001965D7">
        <w:rPr>
          <w:iCs/>
          <w:snapToGrid w:val="0"/>
          <w:lang w:val="fr-FR"/>
        </w:rPr>
        <w:t>No.</w:t>
      </w:r>
      <w:r>
        <w:rPr>
          <w:iCs/>
          <w:snapToGrid w:val="0"/>
          <w:lang w:val="fr-FR"/>
        </w:rPr>
        <w:t xml:space="preserve"> ONU</w:t>
      </w:r>
      <w:r w:rsidRPr="001965D7">
        <w:rPr>
          <w:iCs/>
          <w:snapToGrid w:val="0"/>
          <w:lang w:val="fr-FR"/>
        </w:rPr>
        <w:t xml:space="preserve"> 1202, </w:t>
      </w:r>
      <w:r>
        <w:rPr>
          <w:iCs/>
          <w:snapToGrid w:val="0"/>
          <w:lang w:val="fr-FR"/>
        </w:rPr>
        <w:t>dans la colonne</w:t>
      </w:r>
      <w:r w:rsidRPr="001965D7">
        <w:rPr>
          <w:iCs/>
          <w:snapToGrid w:val="0"/>
          <w:lang w:val="fr-FR"/>
        </w:rPr>
        <w:t xml:space="preserve"> (2), re</w:t>
      </w:r>
      <w:r>
        <w:rPr>
          <w:iCs/>
          <w:snapToGrid w:val="0"/>
          <w:lang w:val="fr-FR"/>
        </w:rPr>
        <w:t>m</w:t>
      </w:r>
      <w:r w:rsidRPr="001965D7">
        <w:rPr>
          <w:iCs/>
          <w:snapToGrid w:val="0"/>
          <w:lang w:val="fr-FR"/>
        </w:rPr>
        <w:t>place</w:t>
      </w:r>
      <w:r>
        <w:rPr>
          <w:iCs/>
          <w:snapToGrid w:val="0"/>
          <w:lang w:val="fr-FR"/>
        </w:rPr>
        <w:t>r</w:t>
      </w:r>
      <w:r w:rsidRPr="001965D7">
        <w:rPr>
          <w:iCs/>
          <w:snapToGrid w:val="0"/>
          <w:lang w:val="fr-FR"/>
        </w:rPr>
        <w:t xml:space="preserve"> </w:t>
      </w:r>
      <w:r>
        <w:rPr>
          <w:lang w:val="fr-FR"/>
        </w:rPr>
        <w:t>«</w:t>
      </w:r>
      <w:r w:rsidRPr="001965D7">
        <w:rPr>
          <w:lang w:val="fr-FR" w:eastAsia="de-DE"/>
        </w:rPr>
        <w:t>EN 590:2009 + A1:2010</w:t>
      </w:r>
      <w:r>
        <w:rPr>
          <w:lang w:val="fr-FR"/>
        </w:rPr>
        <w:t>»</w:t>
      </w:r>
      <w:r w:rsidRPr="001965D7">
        <w:rPr>
          <w:iCs/>
          <w:snapToGrid w:val="0"/>
          <w:lang w:val="fr-FR"/>
        </w:rPr>
        <w:t xml:space="preserve"> </w:t>
      </w:r>
      <w:r>
        <w:rPr>
          <w:iCs/>
          <w:snapToGrid w:val="0"/>
          <w:lang w:val="fr-FR"/>
        </w:rPr>
        <w:t>par</w:t>
      </w:r>
      <w:r w:rsidRPr="001965D7">
        <w:rPr>
          <w:iCs/>
          <w:snapToGrid w:val="0"/>
          <w:lang w:val="fr-FR"/>
        </w:rPr>
        <w:t xml:space="preserve"> </w:t>
      </w:r>
      <w:r>
        <w:rPr>
          <w:lang w:val="fr-FR"/>
        </w:rPr>
        <w:t>«</w:t>
      </w:r>
      <w:r w:rsidRPr="001965D7">
        <w:rPr>
          <w:lang w:val="fr-FR" w:eastAsia="de-DE"/>
        </w:rPr>
        <w:t>EN 590:2013 + AC:2014</w:t>
      </w:r>
      <w:r>
        <w:rPr>
          <w:lang w:val="fr-FR"/>
        </w:rPr>
        <w:t>»</w:t>
      </w:r>
      <w:r w:rsidRPr="001965D7">
        <w:rPr>
          <w:lang w:val="fr-FR" w:eastAsia="de-DE"/>
        </w:rPr>
        <w:t xml:space="preserve"> (</w:t>
      </w:r>
      <w:r>
        <w:rPr>
          <w:lang w:val="fr-FR" w:eastAsia="de-DE"/>
        </w:rPr>
        <w:t>deux fois</w:t>
      </w:r>
      <w:r w:rsidRPr="001965D7">
        <w:rPr>
          <w:lang w:val="fr-FR" w:eastAsia="de-DE"/>
        </w:rPr>
        <w:t>).</w:t>
      </w:r>
    </w:p>
    <w:p w:rsidR="00013D7C" w:rsidRPr="001965D7" w:rsidRDefault="00013D7C" w:rsidP="00013D7C">
      <w:pPr>
        <w:pStyle w:val="SingleTxtG"/>
        <w:rPr>
          <w:rFonts w:cs="Arial"/>
          <w:i/>
          <w:szCs w:val="22"/>
          <w:lang w:val="fr-FR"/>
        </w:rPr>
      </w:pPr>
      <w:r w:rsidRPr="001965D7">
        <w:rPr>
          <w:rFonts w:cs="Arial"/>
          <w:i/>
          <w:szCs w:val="22"/>
          <w:lang w:val="fr-FR"/>
        </w:rPr>
        <w:t>(</w:t>
      </w:r>
      <w:r w:rsidRPr="001965D7">
        <w:rPr>
          <w:i/>
          <w:lang w:val="fr-FR"/>
        </w:rPr>
        <w:t>Document de référence</w:t>
      </w:r>
      <w:r w:rsidRPr="001965D7">
        <w:rPr>
          <w:rFonts w:cs="Arial"/>
          <w:i/>
          <w:szCs w:val="22"/>
          <w:lang w:val="fr-FR"/>
        </w:rPr>
        <w:t>: document informel INF.</w:t>
      </w:r>
      <w:r>
        <w:rPr>
          <w:rFonts w:cs="Arial"/>
          <w:i/>
          <w:szCs w:val="22"/>
          <w:lang w:val="fr-FR"/>
        </w:rPr>
        <w:t>12</w:t>
      </w:r>
      <w:r w:rsidRPr="001965D7">
        <w:rPr>
          <w:rFonts w:cs="Arial"/>
          <w:i/>
          <w:szCs w:val="22"/>
          <w:lang w:val="fr-FR"/>
        </w:rPr>
        <w:t>)</w:t>
      </w:r>
    </w:p>
    <w:p w:rsidR="000A7986" w:rsidRDefault="000A7986" w:rsidP="000A7986">
      <w:pPr>
        <w:pStyle w:val="SingleTxtG"/>
        <w:rPr>
          <w:lang w:val="fr-FR"/>
        </w:rPr>
      </w:pPr>
      <w:r w:rsidRPr="001F3341">
        <w:rPr>
          <w:lang w:val="fr-FR"/>
        </w:rPr>
        <w:t xml:space="preserve">Dans la colonne </w:t>
      </w:r>
      <w:r>
        <w:rPr>
          <w:lang w:val="fr-FR"/>
        </w:rPr>
        <w:t>(</w:t>
      </w:r>
      <w:r w:rsidRPr="001F3341">
        <w:rPr>
          <w:lang w:val="fr-FR"/>
        </w:rPr>
        <w:t>14</w:t>
      </w:r>
      <w:r>
        <w:rPr>
          <w:lang w:val="fr-FR"/>
        </w:rPr>
        <w:t>)</w:t>
      </w:r>
      <w:r w:rsidRPr="001F3341">
        <w:rPr>
          <w:lang w:val="fr-FR"/>
        </w:rPr>
        <w:t xml:space="preserve">, remplacer </w:t>
      </w:r>
      <w:r>
        <w:rPr>
          <w:lang w:val="fr-FR"/>
        </w:rPr>
        <w:t>«</w:t>
      </w:r>
      <w:r w:rsidRPr="001F3341">
        <w:rPr>
          <w:lang w:val="fr-FR"/>
        </w:rPr>
        <w:t>OX</w:t>
      </w:r>
      <w:r>
        <w:rPr>
          <w:lang w:val="fr-FR"/>
        </w:rPr>
        <w:t>»</w:t>
      </w:r>
      <w:r w:rsidRPr="001F3341">
        <w:rPr>
          <w:lang w:val="fr-FR"/>
        </w:rPr>
        <w:t xml:space="preserve"> par </w:t>
      </w:r>
      <w:r>
        <w:rPr>
          <w:lang w:val="fr-FR"/>
        </w:rPr>
        <w:t>«</w:t>
      </w:r>
      <w:r w:rsidRPr="001F3341">
        <w:rPr>
          <w:lang w:val="fr-FR"/>
        </w:rPr>
        <w:t>FL</w:t>
      </w:r>
      <w:r>
        <w:rPr>
          <w:lang w:val="fr-FR"/>
        </w:rPr>
        <w:t>»</w:t>
      </w:r>
      <w:r w:rsidRPr="001F3341">
        <w:rPr>
          <w:lang w:val="fr-FR"/>
        </w:rPr>
        <w:t xml:space="preserve"> deux fois de suite pour le numéro ONU 2015.</w:t>
      </w:r>
    </w:p>
    <w:p w:rsidR="00B16896" w:rsidRPr="007336BD" w:rsidRDefault="00B16896" w:rsidP="00B16896">
      <w:pPr>
        <w:pStyle w:val="SingleTxtG"/>
        <w:rPr>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013D7C" w:rsidRPr="001965D7" w:rsidRDefault="00013D7C" w:rsidP="00013D7C">
      <w:pPr>
        <w:pStyle w:val="H1G"/>
        <w:rPr>
          <w:lang w:val="fr-FR"/>
        </w:rPr>
      </w:pPr>
      <w:r w:rsidRPr="001965D7">
        <w:rPr>
          <w:lang w:val="fr-FR"/>
        </w:rPr>
        <w:tab/>
      </w:r>
      <w:r w:rsidRPr="001965D7">
        <w:rPr>
          <w:lang w:val="fr-FR"/>
        </w:rPr>
        <w:tab/>
        <w:t>Chapitre 4.1</w:t>
      </w:r>
    </w:p>
    <w:p w:rsidR="00013D7C" w:rsidRPr="001965D7" w:rsidRDefault="00013D7C" w:rsidP="00013D7C">
      <w:pPr>
        <w:pStyle w:val="SingleTxtG"/>
        <w:rPr>
          <w:iCs/>
          <w:snapToGrid w:val="0"/>
          <w:lang w:val="fr-FR"/>
        </w:rPr>
      </w:pPr>
      <w:r w:rsidRPr="001965D7">
        <w:rPr>
          <w:iCs/>
          <w:snapToGrid w:val="0"/>
          <w:lang w:val="fr-FR"/>
        </w:rPr>
        <w:t xml:space="preserve">4.1.1.21.6, </w:t>
      </w:r>
      <w:r>
        <w:rPr>
          <w:iCs/>
          <w:snapToGrid w:val="0"/>
          <w:lang w:val="fr-FR"/>
        </w:rPr>
        <w:t>dans le tableau</w:t>
      </w:r>
      <w:r w:rsidRPr="001965D7">
        <w:rPr>
          <w:iCs/>
          <w:snapToGrid w:val="0"/>
          <w:lang w:val="fr-FR"/>
        </w:rPr>
        <w:tab/>
      </w:r>
      <w:r>
        <w:rPr>
          <w:iCs/>
          <w:snapToGrid w:val="0"/>
          <w:lang w:val="fr-FR"/>
        </w:rPr>
        <w:t xml:space="preserve">Pour «1202 </w:t>
      </w:r>
      <w:r w:rsidRPr="00042973">
        <w:rPr>
          <w:iCs/>
          <w:snapToGrid w:val="0"/>
          <w:lang w:val="fr-FR"/>
        </w:rPr>
        <w:t xml:space="preserve">Carburant diesel ou </w:t>
      </w:r>
      <w:r>
        <w:rPr>
          <w:iCs/>
          <w:snapToGrid w:val="0"/>
          <w:lang w:val="fr-FR"/>
        </w:rPr>
        <w:t>Gazole»</w:t>
      </w:r>
      <w:r w:rsidRPr="001965D7">
        <w:rPr>
          <w:iCs/>
          <w:snapToGrid w:val="0"/>
          <w:lang w:val="fr-FR"/>
        </w:rPr>
        <w:t xml:space="preserve"> </w:t>
      </w:r>
      <w:r>
        <w:rPr>
          <w:iCs/>
          <w:snapToGrid w:val="0"/>
          <w:lang w:val="fr-FR"/>
        </w:rPr>
        <w:t>et «</w:t>
      </w:r>
      <w:r w:rsidRPr="001965D7">
        <w:rPr>
          <w:iCs/>
          <w:snapToGrid w:val="0"/>
          <w:lang w:val="fr-FR"/>
        </w:rPr>
        <w:t xml:space="preserve">1202 </w:t>
      </w:r>
      <w:r w:rsidRPr="00042973">
        <w:rPr>
          <w:iCs/>
          <w:snapToGrid w:val="0"/>
          <w:lang w:val="fr-FR"/>
        </w:rPr>
        <w:t>Huile de chauffe légère</w:t>
      </w:r>
      <w:r>
        <w:rPr>
          <w:iCs/>
          <w:snapToGrid w:val="0"/>
          <w:lang w:val="fr-FR"/>
        </w:rPr>
        <w:t>»</w:t>
      </w:r>
      <w:r w:rsidRPr="001965D7">
        <w:rPr>
          <w:iCs/>
          <w:snapToGrid w:val="0"/>
          <w:lang w:val="fr-FR"/>
        </w:rPr>
        <w:t xml:space="preserve">, </w:t>
      </w:r>
      <w:r>
        <w:rPr>
          <w:iCs/>
          <w:snapToGrid w:val="0"/>
          <w:lang w:val="fr-FR"/>
        </w:rPr>
        <w:t xml:space="preserve">dans la colonne (2b) </w:t>
      </w:r>
      <w:r w:rsidRPr="001965D7">
        <w:rPr>
          <w:iCs/>
          <w:snapToGrid w:val="0"/>
          <w:lang w:val="fr-FR"/>
        </w:rPr>
        <w:t>re</w:t>
      </w:r>
      <w:r>
        <w:rPr>
          <w:iCs/>
          <w:snapToGrid w:val="0"/>
          <w:lang w:val="fr-FR"/>
        </w:rPr>
        <w:t>m</w:t>
      </w:r>
      <w:r w:rsidRPr="001965D7">
        <w:rPr>
          <w:iCs/>
          <w:snapToGrid w:val="0"/>
          <w:lang w:val="fr-FR"/>
        </w:rPr>
        <w:t>place</w:t>
      </w:r>
      <w:r>
        <w:rPr>
          <w:iCs/>
          <w:snapToGrid w:val="0"/>
          <w:lang w:val="fr-FR"/>
        </w:rPr>
        <w:t>r</w:t>
      </w:r>
      <w:r w:rsidRPr="001965D7">
        <w:rPr>
          <w:iCs/>
          <w:snapToGrid w:val="0"/>
          <w:lang w:val="fr-FR"/>
        </w:rPr>
        <w:t xml:space="preserve"> “</w:t>
      </w:r>
      <w:r w:rsidRPr="00042973">
        <w:rPr>
          <w:iCs/>
          <w:snapToGrid w:val="0"/>
          <w:lang w:val="fr-FR"/>
        </w:rPr>
        <w:t>EN 590:2009 + A1:2010</w:t>
      </w:r>
      <w:r w:rsidRPr="001965D7">
        <w:rPr>
          <w:iCs/>
          <w:snapToGrid w:val="0"/>
          <w:lang w:val="fr-FR"/>
        </w:rPr>
        <w:t xml:space="preserve">” </w:t>
      </w:r>
      <w:r>
        <w:rPr>
          <w:iCs/>
          <w:snapToGrid w:val="0"/>
          <w:lang w:val="fr-FR"/>
        </w:rPr>
        <w:t>par</w:t>
      </w:r>
      <w:r w:rsidRPr="001965D7">
        <w:rPr>
          <w:iCs/>
          <w:snapToGrid w:val="0"/>
          <w:lang w:val="fr-FR"/>
        </w:rPr>
        <w:t xml:space="preserve"> “</w:t>
      </w:r>
      <w:r w:rsidRPr="00042973">
        <w:rPr>
          <w:iCs/>
          <w:snapToGrid w:val="0"/>
          <w:lang w:val="fr-FR"/>
        </w:rPr>
        <w:t>EN 590:2013 + AC:2014”.</w:t>
      </w:r>
    </w:p>
    <w:p w:rsidR="00013D7C" w:rsidRPr="001965D7" w:rsidRDefault="00013D7C" w:rsidP="00013D7C">
      <w:pPr>
        <w:pStyle w:val="SingleTxtG"/>
        <w:rPr>
          <w:rFonts w:cs="Arial"/>
          <w:i/>
          <w:szCs w:val="22"/>
          <w:lang w:val="fr-FR"/>
        </w:rPr>
      </w:pPr>
      <w:r w:rsidRPr="001965D7">
        <w:rPr>
          <w:rFonts w:cs="Arial"/>
          <w:i/>
          <w:szCs w:val="22"/>
          <w:lang w:val="fr-FR"/>
        </w:rPr>
        <w:t>(</w:t>
      </w:r>
      <w:r w:rsidRPr="001965D7">
        <w:rPr>
          <w:i/>
          <w:lang w:val="fr-FR"/>
        </w:rPr>
        <w:t>Document de référence</w:t>
      </w:r>
      <w:r w:rsidRPr="001965D7">
        <w:rPr>
          <w:rFonts w:cs="Arial"/>
          <w:i/>
          <w:szCs w:val="22"/>
          <w:lang w:val="fr-FR"/>
        </w:rPr>
        <w:t>: document informel INF.</w:t>
      </w:r>
      <w:r>
        <w:rPr>
          <w:rFonts w:cs="Arial"/>
          <w:i/>
          <w:szCs w:val="22"/>
          <w:lang w:val="fr-FR"/>
        </w:rPr>
        <w:t>12</w:t>
      </w:r>
      <w:r w:rsidRPr="001965D7">
        <w:rPr>
          <w:rFonts w:cs="Arial"/>
          <w:i/>
          <w:szCs w:val="22"/>
          <w:lang w:val="fr-FR"/>
        </w:rPr>
        <w:t>)</w:t>
      </w:r>
    </w:p>
    <w:p w:rsidR="00D70209" w:rsidRPr="007336BD" w:rsidRDefault="00D70209" w:rsidP="00D70209">
      <w:pPr>
        <w:pStyle w:val="H1G"/>
        <w:rPr>
          <w:lang w:val="fr-FR"/>
        </w:rPr>
      </w:pPr>
      <w:r w:rsidRPr="007336BD">
        <w:rPr>
          <w:lang w:val="fr-FR"/>
        </w:rPr>
        <w:tab/>
      </w:r>
      <w:r w:rsidRPr="007336BD">
        <w:rPr>
          <w:lang w:val="fr-FR"/>
        </w:rPr>
        <w:tab/>
        <w:t>Chapitre 5.4</w:t>
      </w:r>
    </w:p>
    <w:p w:rsidR="00013D7C" w:rsidRPr="001965D7" w:rsidRDefault="00013D7C" w:rsidP="00013D7C">
      <w:pPr>
        <w:pStyle w:val="SingleTxtG"/>
        <w:rPr>
          <w:iCs/>
          <w:snapToGrid w:val="0"/>
          <w:lang w:val="fr-FR"/>
        </w:rPr>
      </w:pPr>
      <w:r w:rsidRPr="001965D7">
        <w:rPr>
          <w:iCs/>
          <w:snapToGrid w:val="0"/>
          <w:lang w:val="fr-FR"/>
        </w:rPr>
        <w:t>5.4.2</w:t>
      </w:r>
      <w:r w:rsidRPr="001965D7">
        <w:rPr>
          <w:iCs/>
          <w:snapToGrid w:val="0"/>
          <w:lang w:val="fr-FR"/>
        </w:rPr>
        <w:tab/>
      </w:r>
      <w:r>
        <w:rPr>
          <w:iCs/>
          <w:snapToGrid w:val="0"/>
          <w:lang w:val="fr-FR"/>
        </w:rPr>
        <w:t>Modifier comme suit</w:t>
      </w:r>
      <w:r w:rsidRPr="001965D7">
        <w:rPr>
          <w:iCs/>
          <w:snapToGrid w:val="0"/>
          <w:lang w:val="fr-FR"/>
        </w:rPr>
        <w:t>:</w:t>
      </w:r>
    </w:p>
    <w:p w:rsidR="00013D7C" w:rsidRPr="001965D7" w:rsidRDefault="00013D7C" w:rsidP="00013D7C">
      <w:pPr>
        <w:pStyle w:val="SingleTxtG"/>
        <w:rPr>
          <w:iCs/>
          <w:snapToGrid w:val="0"/>
          <w:lang w:val="fr-FR"/>
        </w:rPr>
      </w:pPr>
      <w:r>
        <w:rPr>
          <w:iCs/>
          <w:snapToGrid w:val="0"/>
          <w:lang w:val="fr-FR"/>
        </w:rPr>
        <w:t>Dans le titre</w:t>
      </w:r>
      <w:r w:rsidRPr="001965D7">
        <w:rPr>
          <w:iCs/>
          <w:snapToGrid w:val="0"/>
          <w:lang w:val="fr-FR"/>
        </w:rPr>
        <w:t>, re</w:t>
      </w:r>
      <w:r>
        <w:rPr>
          <w:iCs/>
          <w:snapToGrid w:val="0"/>
          <w:lang w:val="fr-FR"/>
        </w:rPr>
        <w:t>m</w:t>
      </w:r>
      <w:r w:rsidRPr="001965D7">
        <w:rPr>
          <w:iCs/>
          <w:snapToGrid w:val="0"/>
          <w:lang w:val="fr-FR"/>
        </w:rPr>
        <w:t>place</w:t>
      </w:r>
      <w:r>
        <w:rPr>
          <w:iCs/>
          <w:snapToGrid w:val="0"/>
          <w:lang w:val="fr-FR"/>
        </w:rPr>
        <w:t>r «</w:t>
      </w:r>
      <w:r>
        <w:t>grand conteneur</w:t>
      </w:r>
      <w:r>
        <w:rPr>
          <w:iCs/>
          <w:snapToGrid w:val="0"/>
          <w:lang w:val="fr-FR"/>
        </w:rPr>
        <w:t>» par «</w:t>
      </w:r>
      <w:r>
        <w:t>conteneur</w:t>
      </w:r>
      <w:r>
        <w:rPr>
          <w:iCs/>
          <w:snapToGrid w:val="0"/>
          <w:lang w:val="fr-FR"/>
        </w:rPr>
        <w:t>»</w:t>
      </w:r>
      <w:r w:rsidRPr="001965D7">
        <w:rPr>
          <w:iCs/>
          <w:snapToGrid w:val="0"/>
          <w:lang w:val="fr-FR"/>
        </w:rPr>
        <w:t>.</w:t>
      </w:r>
    </w:p>
    <w:p w:rsidR="00013D7C" w:rsidRPr="001965D7" w:rsidRDefault="00013D7C" w:rsidP="00013D7C">
      <w:pPr>
        <w:pStyle w:val="SingleTxtG"/>
        <w:rPr>
          <w:iCs/>
          <w:snapToGrid w:val="0"/>
          <w:lang w:val="fr-FR"/>
        </w:rPr>
      </w:pPr>
      <w:r>
        <w:rPr>
          <w:iCs/>
          <w:snapToGrid w:val="0"/>
          <w:lang w:val="fr-FR"/>
        </w:rPr>
        <w:t>Dans le premier</w:t>
      </w:r>
      <w:r w:rsidRPr="001965D7">
        <w:rPr>
          <w:iCs/>
          <w:snapToGrid w:val="0"/>
          <w:lang w:val="fr-FR"/>
        </w:rPr>
        <w:t xml:space="preserve"> paragraph</w:t>
      </w:r>
      <w:r>
        <w:rPr>
          <w:iCs/>
          <w:snapToGrid w:val="0"/>
          <w:lang w:val="fr-FR"/>
        </w:rPr>
        <w:t>e</w:t>
      </w:r>
      <w:r w:rsidRPr="001965D7">
        <w:rPr>
          <w:iCs/>
          <w:snapToGrid w:val="0"/>
          <w:lang w:val="fr-FR"/>
        </w:rPr>
        <w:t>, re</w:t>
      </w:r>
      <w:r>
        <w:rPr>
          <w:iCs/>
          <w:snapToGrid w:val="0"/>
          <w:lang w:val="fr-FR"/>
        </w:rPr>
        <w:t>m</w:t>
      </w:r>
      <w:r w:rsidRPr="001965D7">
        <w:rPr>
          <w:iCs/>
          <w:snapToGrid w:val="0"/>
          <w:lang w:val="fr-FR"/>
        </w:rPr>
        <w:t>place</w:t>
      </w:r>
      <w:r>
        <w:rPr>
          <w:iCs/>
          <w:snapToGrid w:val="0"/>
          <w:lang w:val="fr-FR"/>
        </w:rPr>
        <w:t>r «grand conteneur»</w:t>
      </w:r>
      <w:r w:rsidRPr="001965D7">
        <w:rPr>
          <w:iCs/>
          <w:snapToGrid w:val="0"/>
          <w:lang w:val="fr-FR"/>
        </w:rPr>
        <w:t xml:space="preserve"> </w:t>
      </w:r>
      <w:r>
        <w:rPr>
          <w:iCs/>
          <w:snapToGrid w:val="0"/>
          <w:lang w:val="fr-FR"/>
        </w:rPr>
        <w:t>par «</w:t>
      </w:r>
      <w:r w:rsidRPr="00626A61">
        <w:rPr>
          <w:iCs/>
          <w:snapToGrid w:val="0"/>
          <w:lang w:val="fr-FR"/>
        </w:rPr>
        <w:t>conteneur</w:t>
      </w:r>
      <w:r>
        <w:rPr>
          <w:iCs/>
          <w:snapToGrid w:val="0"/>
          <w:lang w:val="fr-FR"/>
        </w:rPr>
        <w:t>»</w:t>
      </w:r>
      <w:r w:rsidRPr="001965D7">
        <w:rPr>
          <w:iCs/>
          <w:snapToGrid w:val="0"/>
          <w:lang w:val="fr-FR"/>
        </w:rPr>
        <w:t xml:space="preserve"> </w:t>
      </w:r>
      <w:r>
        <w:rPr>
          <w:iCs/>
          <w:snapToGrid w:val="0"/>
          <w:lang w:val="fr-FR"/>
        </w:rPr>
        <w:t>et «</w:t>
      </w:r>
      <w:r>
        <w:t>certificat d'empotage de conteneur</w:t>
      </w:r>
      <w:r>
        <w:rPr>
          <w:iCs/>
          <w:snapToGrid w:val="0"/>
          <w:lang w:val="fr-FR"/>
        </w:rPr>
        <w:t>»</w:t>
      </w:r>
      <w:r w:rsidRPr="001965D7">
        <w:rPr>
          <w:iCs/>
          <w:snapToGrid w:val="0"/>
          <w:lang w:val="fr-FR"/>
        </w:rPr>
        <w:t xml:space="preserve"> </w:t>
      </w:r>
      <w:r>
        <w:rPr>
          <w:iCs/>
          <w:snapToGrid w:val="0"/>
          <w:lang w:val="fr-FR"/>
        </w:rPr>
        <w:t>par «</w:t>
      </w:r>
      <w:r>
        <w:t>certificat d'empotage de conteneur</w:t>
      </w:r>
      <w:r>
        <w:rPr>
          <w:iCs/>
          <w:snapToGrid w:val="0"/>
          <w:lang w:val="fr-FR"/>
        </w:rPr>
        <w:t>/véhicule»</w:t>
      </w:r>
      <w:r w:rsidRPr="001965D7">
        <w:rPr>
          <w:iCs/>
          <w:snapToGrid w:val="0"/>
          <w:lang w:val="fr-FR"/>
        </w:rPr>
        <w:t>.</w:t>
      </w:r>
    </w:p>
    <w:p w:rsidR="00013D7C" w:rsidRPr="001965D7" w:rsidRDefault="00013D7C" w:rsidP="00013D7C">
      <w:pPr>
        <w:pStyle w:val="SingleTxtG"/>
        <w:rPr>
          <w:iCs/>
          <w:snapToGrid w:val="0"/>
          <w:lang w:val="fr-FR"/>
        </w:rPr>
      </w:pPr>
      <w:r>
        <w:rPr>
          <w:iCs/>
          <w:snapToGrid w:val="0"/>
          <w:lang w:val="fr-FR"/>
        </w:rPr>
        <w:t>Dans le deuxième</w:t>
      </w:r>
      <w:r w:rsidRPr="001965D7">
        <w:rPr>
          <w:iCs/>
          <w:snapToGrid w:val="0"/>
          <w:lang w:val="fr-FR"/>
        </w:rPr>
        <w:t xml:space="preserve"> paragraph</w:t>
      </w:r>
      <w:r>
        <w:rPr>
          <w:iCs/>
          <w:snapToGrid w:val="0"/>
          <w:lang w:val="fr-FR"/>
        </w:rPr>
        <w:t>e</w:t>
      </w:r>
      <w:r w:rsidRPr="001965D7">
        <w:rPr>
          <w:iCs/>
          <w:snapToGrid w:val="0"/>
          <w:lang w:val="fr-FR"/>
        </w:rPr>
        <w:t xml:space="preserve"> </w:t>
      </w:r>
      <w:r>
        <w:rPr>
          <w:iCs/>
          <w:snapToGrid w:val="0"/>
          <w:lang w:val="fr-FR"/>
        </w:rPr>
        <w:t>et</w:t>
      </w:r>
      <w:r w:rsidRPr="001965D7">
        <w:rPr>
          <w:iCs/>
          <w:snapToGrid w:val="0"/>
          <w:lang w:val="fr-FR"/>
        </w:rPr>
        <w:t xml:space="preserve"> Note, re</w:t>
      </w:r>
      <w:r>
        <w:rPr>
          <w:iCs/>
          <w:snapToGrid w:val="0"/>
          <w:lang w:val="fr-FR"/>
        </w:rPr>
        <w:t>m</w:t>
      </w:r>
      <w:r w:rsidRPr="001965D7">
        <w:rPr>
          <w:iCs/>
          <w:snapToGrid w:val="0"/>
          <w:lang w:val="fr-FR"/>
        </w:rPr>
        <w:t>place</w:t>
      </w:r>
      <w:r>
        <w:rPr>
          <w:iCs/>
          <w:snapToGrid w:val="0"/>
          <w:lang w:val="fr-FR"/>
        </w:rPr>
        <w:t>r</w:t>
      </w:r>
      <w:r w:rsidRPr="001965D7">
        <w:rPr>
          <w:iCs/>
          <w:snapToGrid w:val="0"/>
          <w:lang w:val="fr-FR"/>
        </w:rPr>
        <w:t xml:space="preserve"> </w:t>
      </w:r>
      <w:r>
        <w:rPr>
          <w:iCs/>
          <w:snapToGrid w:val="0"/>
          <w:lang w:val="fr-FR"/>
        </w:rPr>
        <w:t>«</w:t>
      </w:r>
      <w:r>
        <w:t>conteneur</w:t>
      </w:r>
      <w:r>
        <w:rPr>
          <w:iCs/>
          <w:snapToGrid w:val="0"/>
          <w:lang w:val="fr-FR"/>
        </w:rPr>
        <w:t>» par «</w:t>
      </w:r>
      <w:r>
        <w:t>conteneur</w:t>
      </w:r>
      <w:r>
        <w:rPr>
          <w:iCs/>
          <w:snapToGrid w:val="0"/>
          <w:lang w:val="fr-FR"/>
        </w:rPr>
        <w:t>/véhicule»</w:t>
      </w:r>
      <w:r w:rsidRPr="001965D7">
        <w:rPr>
          <w:iCs/>
          <w:snapToGrid w:val="0"/>
          <w:lang w:val="fr-FR"/>
        </w:rPr>
        <w:t xml:space="preserve"> (</w:t>
      </w:r>
      <w:r>
        <w:rPr>
          <w:iCs/>
          <w:snapToGrid w:val="0"/>
          <w:lang w:val="fr-FR"/>
        </w:rPr>
        <w:t>trois fois</w:t>
      </w:r>
      <w:r w:rsidRPr="001965D7">
        <w:rPr>
          <w:iCs/>
          <w:snapToGrid w:val="0"/>
          <w:lang w:val="fr-FR"/>
        </w:rPr>
        <w:t>).</w:t>
      </w:r>
    </w:p>
    <w:p w:rsidR="00013D7C" w:rsidRPr="001965D7" w:rsidRDefault="00013D7C" w:rsidP="00013D7C">
      <w:pPr>
        <w:pStyle w:val="SingleTxtG"/>
        <w:rPr>
          <w:rFonts w:cs="Arial"/>
          <w:i/>
          <w:szCs w:val="22"/>
          <w:lang w:val="fr-FR"/>
        </w:rPr>
      </w:pPr>
      <w:r w:rsidRPr="001965D7">
        <w:rPr>
          <w:i/>
          <w:iCs/>
          <w:snapToGrid w:val="0"/>
          <w:lang w:val="fr-FR"/>
        </w:rPr>
        <w:t>(Document de référence: ECE/TRANS/WP.15/2015/1</w:t>
      </w:r>
      <w:r>
        <w:rPr>
          <w:i/>
          <w:iCs/>
          <w:snapToGrid w:val="0"/>
          <w:lang w:val="fr-FR"/>
        </w:rPr>
        <w:t>1</w:t>
      </w:r>
      <w:r w:rsidRPr="001965D7">
        <w:rPr>
          <w:i/>
          <w:iCs/>
          <w:snapToGrid w:val="0"/>
          <w:lang w:val="fr-FR"/>
        </w:rPr>
        <w:t xml:space="preserve"> tel que modifié)</w:t>
      </w:r>
    </w:p>
    <w:p w:rsidR="00D70209" w:rsidRPr="004E7359" w:rsidRDefault="00D70209" w:rsidP="00D70209">
      <w:pPr>
        <w:pStyle w:val="SingleTxtG"/>
        <w:rPr>
          <w:rFonts w:cs="Arial"/>
          <w:szCs w:val="22"/>
          <w:lang w:val="fr-FR"/>
        </w:rPr>
      </w:pPr>
      <w:r w:rsidRPr="004E7359">
        <w:rPr>
          <w:lang w:val="fr-FR"/>
        </w:rPr>
        <w:t>5.4.3.4</w:t>
      </w:r>
      <w:r w:rsidRPr="004E7359">
        <w:rPr>
          <w:lang w:val="fr-FR"/>
        </w:rPr>
        <w:tab/>
      </w:r>
      <w:r w:rsidRPr="004E7359">
        <w:rPr>
          <w:lang w:val="fr-FR"/>
        </w:rPr>
        <w:tab/>
        <w:t>À la quatrième page du modèle de consignes écrites, premier tiret après le titre</w:t>
      </w:r>
      <w:r>
        <w:rPr>
          <w:lang w:val="fr-FR"/>
        </w:rPr>
        <w:t xml:space="preserve"> </w:t>
      </w:r>
      <w:r w:rsidRPr="004E7359">
        <w:rPr>
          <w:lang w:val="fr-FR"/>
        </w:rPr>
        <w:t>«Équipement supplémentaire pres</w:t>
      </w:r>
      <w:r>
        <w:rPr>
          <w:lang w:val="fr-FR"/>
        </w:rPr>
        <w:t>crit pour certaines classes</w:t>
      </w:r>
      <w:r w:rsidRPr="004E7359">
        <w:rPr>
          <w:lang w:val="fr-FR"/>
        </w:rPr>
        <w:t xml:space="preserve">», </w:t>
      </w:r>
      <w:proofErr w:type="gramStart"/>
      <w:r w:rsidRPr="004E7359">
        <w:rPr>
          <w:lang w:val="fr-FR"/>
        </w:rPr>
        <w:t>remplacer</w:t>
      </w:r>
      <w:proofErr w:type="gramEnd"/>
      <w:r w:rsidRPr="004E7359">
        <w:rPr>
          <w:lang w:val="fr-FR"/>
        </w:rPr>
        <w:t xml:space="preserve"> «</w:t>
      </w:r>
      <w:r>
        <w:rPr>
          <w:lang w:val="fr-FR"/>
        </w:rPr>
        <w:t xml:space="preserve">à bord </w:t>
      </w:r>
      <w:r w:rsidRPr="004E7359">
        <w:rPr>
          <w:lang w:val="fr-FR"/>
        </w:rPr>
        <w:t>du véhicule» par «</w:t>
      </w:r>
      <w:r>
        <w:rPr>
          <w:lang w:val="fr-FR"/>
        </w:rPr>
        <w:t xml:space="preserve">à bord </w:t>
      </w:r>
      <w:r w:rsidRPr="004E7359">
        <w:rPr>
          <w:lang w:val="fr-FR"/>
        </w:rPr>
        <w:t>de l’unité de transport».</w:t>
      </w:r>
    </w:p>
    <w:p w:rsidR="00D70209" w:rsidRDefault="00D70209" w:rsidP="00D70209">
      <w:pPr>
        <w:pStyle w:val="SingleTxtG"/>
        <w:rPr>
          <w:rFonts w:cs="Arial"/>
          <w:i/>
          <w:szCs w:val="22"/>
          <w:lang w:val="fr-FR"/>
        </w:rPr>
      </w:pPr>
      <w:r w:rsidRPr="004E7359">
        <w:rPr>
          <w:rFonts w:cs="Arial"/>
          <w:i/>
          <w:szCs w:val="22"/>
          <w:lang w:val="fr-FR"/>
        </w:rPr>
        <w:t>(</w:t>
      </w:r>
      <w:r w:rsidRPr="004E7359">
        <w:rPr>
          <w:i/>
        </w:rPr>
        <w:t>Document de référence</w:t>
      </w:r>
      <w:r w:rsidRPr="004E7359">
        <w:rPr>
          <w:rFonts w:cs="Arial"/>
          <w:i/>
          <w:szCs w:val="22"/>
          <w:lang w:val="fr-FR"/>
        </w:rPr>
        <w:t>: document informel INF.13)</w:t>
      </w:r>
    </w:p>
    <w:p w:rsidR="00B931D6" w:rsidRPr="001965D7" w:rsidRDefault="00B931D6" w:rsidP="00B931D6">
      <w:pPr>
        <w:pStyle w:val="H1G"/>
        <w:rPr>
          <w:lang w:val="fr-FR"/>
        </w:rPr>
      </w:pPr>
      <w:r w:rsidRPr="001965D7">
        <w:rPr>
          <w:lang w:val="fr-FR"/>
        </w:rPr>
        <w:tab/>
      </w:r>
      <w:r w:rsidRPr="001965D7">
        <w:rPr>
          <w:lang w:val="fr-FR"/>
        </w:rPr>
        <w:tab/>
        <w:t>Chapitre 7.2</w:t>
      </w:r>
    </w:p>
    <w:p w:rsidR="00B931D6" w:rsidRPr="001965D7" w:rsidRDefault="00B931D6" w:rsidP="00B931D6">
      <w:pPr>
        <w:pStyle w:val="SingleTxtG"/>
        <w:rPr>
          <w:iCs/>
          <w:snapToGrid w:val="0"/>
          <w:lang w:val="fr-FR"/>
        </w:rPr>
      </w:pPr>
      <w:r w:rsidRPr="001965D7">
        <w:rPr>
          <w:iCs/>
          <w:snapToGrid w:val="0"/>
          <w:lang w:val="fr-FR"/>
        </w:rPr>
        <w:t>7.2.4, V2</w:t>
      </w:r>
      <w:r>
        <w:rPr>
          <w:iCs/>
          <w:snapToGrid w:val="0"/>
          <w:lang w:val="fr-FR"/>
        </w:rPr>
        <w:t xml:space="preserve"> 1)</w:t>
      </w:r>
      <w:r w:rsidRPr="001965D7">
        <w:rPr>
          <w:iCs/>
          <w:snapToGrid w:val="0"/>
          <w:lang w:val="fr-FR"/>
        </w:rPr>
        <w:tab/>
      </w:r>
      <w:r>
        <w:rPr>
          <w:iCs/>
          <w:snapToGrid w:val="0"/>
          <w:lang w:val="fr-FR"/>
        </w:rPr>
        <w:t>Ajouter la nouvelle phrase suivante à la fin</w:t>
      </w:r>
      <w:r w:rsidRPr="001965D7">
        <w:rPr>
          <w:iCs/>
          <w:snapToGrid w:val="0"/>
          <w:lang w:val="fr-FR"/>
        </w:rPr>
        <w:t>:</w:t>
      </w:r>
    </w:p>
    <w:p w:rsidR="00B931D6" w:rsidRPr="001965D7" w:rsidRDefault="00B931D6" w:rsidP="00B931D6">
      <w:pPr>
        <w:pStyle w:val="SingleTxtG"/>
        <w:rPr>
          <w:iCs/>
          <w:snapToGrid w:val="0"/>
          <w:lang w:val="fr-FR"/>
        </w:rPr>
      </w:pPr>
      <w:r>
        <w:rPr>
          <w:lang w:val="fr-FR"/>
        </w:rPr>
        <w:t>«</w:t>
      </w:r>
      <w:r>
        <w:rPr>
          <w:iCs/>
          <w:snapToGrid w:val="0"/>
          <w:lang w:val="fr-FR"/>
        </w:rPr>
        <w:t>Lorsqu’une unité de transport est composée d’un véhicule EX/II et d’un véhicule EX/III, tous deux chargés de matières et objets explosibles, la limite du 7.5.5.2.1 applicable pour les unités de transport EX/II s’applique pour cette unité de transport dans son ensemble.»</w:t>
      </w:r>
      <w:r w:rsidRPr="001965D7">
        <w:rPr>
          <w:iCs/>
          <w:snapToGrid w:val="0"/>
          <w:lang w:val="fr-FR"/>
        </w:rPr>
        <w:t>.</w:t>
      </w:r>
    </w:p>
    <w:p w:rsidR="00B931D6" w:rsidRPr="001965D7" w:rsidRDefault="00B931D6" w:rsidP="00B931D6">
      <w:pPr>
        <w:pStyle w:val="SingleTxtG"/>
        <w:rPr>
          <w:rFonts w:cs="Arial"/>
          <w:i/>
          <w:szCs w:val="22"/>
          <w:lang w:val="fr-FR"/>
        </w:rPr>
      </w:pPr>
      <w:r w:rsidRPr="001965D7">
        <w:rPr>
          <w:i/>
          <w:iCs/>
          <w:snapToGrid w:val="0"/>
          <w:lang w:val="fr-FR"/>
        </w:rPr>
        <w:t>(Document de référence: ECE/TRANS/WP.15/2015/</w:t>
      </w:r>
      <w:r>
        <w:rPr>
          <w:i/>
          <w:iCs/>
          <w:snapToGrid w:val="0"/>
          <w:lang w:val="fr-FR"/>
        </w:rPr>
        <w:t>9</w:t>
      </w:r>
      <w:r w:rsidRPr="001965D7">
        <w:rPr>
          <w:i/>
          <w:iCs/>
          <w:snapToGrid w:val="0"/>
          <w:lang w:val="fr-FR"/>
        </w:rPr>
        <w:t xml:space="preserve"> tel que modifié)</w:t>
      </w:r>
    </w:p>
    <w:p w:rsidR="00BC15C3" w:rsidRPr="007336BD" w:rsidRDefault="00BC15C3" w:rsidP="00BC15C3">
      <w:pPr>
        <w:pStyle w:val="H1G"/>
        <w:rPr>
          <w:lang w:val="fr-FR"/>
        </w:rPr>
      </w:pPr>
      <w:r w:rsidRPr="007336BD">
        <w:rPr>
          <w:lang w:val="fr-FR"/>
        </w:rPr>
        <w:lastRenderedPageBreak/>
        <w:tab/>
      </w:r>
      <w:r w:rsidRPr="007336BD">
        <w:rPr>
          <w:lang w:val="fr-FR"/>
        </w:rPr>
        <w:tab/>
        <w:t xml:space="preserve">Chapitre </w:t>
      </w:r>
      <w:r>
        <w:rPr>
          <w:lang w:val="fr-FR"/>
        </w:rPr>
        <w:t>7.4</w:t>
      </w:r>
    </w:p>
    <w:p w:rsidR="00C9178E" w:rsidRDefault="00C9178E" w:rsidP="00C9178E">
      <w:pPr>
        <w:pStyle w:val="SingleTxtG"/>
        <w:rPr>
          <w:rFonts w:cs="Arial"/>
          <w:szCs w:val="22"/>
          <w:lang w:val="fr-FR"/>
        </w:rPr>
      </w:pPr>
      <w:r>
        <w:rPr>
          <w:rFonts w:cs="Arial"/>
          <w:szCs w:val="22"/>
          <w:lang w:val="fr-FR"/>
        </w:rPr>
        <w:t>«7.4.1</w:t>
      </w:r>
      <w:r>
        <w:rPr>
          <w:rFonts w:cs="Arial"/>
          <w:szCs w:val="22"/>
          <w:lang w:val="fr-FR"/>
        </w:rPr>
        <w:tab/>
        <w:t>Dans la troisième phrase, remplacer «9.7.2» par «9.7».».</w:t>
      </w:r>
    </w:p>
    <w:p w:rsidR="00925B3F" w:rsidRDefault="00B16896" w:rsidP="00C9178E">
      <w:pPr>
        <w:pStyle w:val="SingleTxtG"/>
        <w:rPr>
          <w:rFonts w:cs="Arial"/>
          <w:i/>
          <w:szCs w:val="22"/>
          <w:lang w:val="fr-FR"/>
        </w:rPr>
      </w:pPr>
      <w:r w:rsidRPr="004E7359">
        <w:rPr>
          <w:rFonts w:cs="Arial"/>
          <w:i/>
          <w:szCs w:val="22"/>
          <w:lang w:val="fr-FR"/>
        </w:rPr>
        <w:t xml:space="preserve"> </w:t>
      </w:r>
      <w:r w:rsidR="00925B3F" w:rsidRPr="004E7359">
        <w:rPr>
          <w:rFonts w:cs="Arial"/>
          <w:i/>
          <w:szCs w:val="22"/>
          <w:lang w:val="fr-FR"/>
        </w:rPr>
        <w:t>(</w:t>
      </w:r>
      <w:r w:rsidR="00925B3F" w:rsidRPr="004E7359">
        <w:rPr>
          <w:i/>
        </w:rPr>
        <w:t>Document de référence</w:t>
      </w:r>
      <w:r w:rsidR="00925B3F" w:rsidRPr="004E7359">
        <w:rPr>
          <w:rFonts w:cs="Arial"/>
          <w:i/>
          <w:szCs w:val="22"/>
          <w:lang w:val="fr-FR"/>
        </w:rPr>
        <w:t xml:space="preserve">: </w:t>
      </w:r>
      <w:r w:rsidR="00925B3F" w:rsidRPr="00BC15C3">
        <w:rPr>
          <w:rFonts w:cs="Arial"/>
          <w:i/>
          <w:szCs w:val="22"/>
          <w:lang w:val="fr-FR"/>
        </w:rPr>
        <w:t>ECE/TRANS/WP.15/2015/15</w:t>
      </w:r>
      <w:r w:rsidR="00925B3F" w:rsidRPr="004E7359">
        <w:rPr>
          <w:rFonts w:cs="Arial"/>
          <w:i/>
          <w:szCs w:val="22"/>
          <w:lang w:val="fr-FR"/>
        </w:rPr>
        <w:t>)</w:t>
      </w:r>
    </w:p>
    <w:p w:rsidR="007B5E84" w:rsidRDefault="007B5E84" w:rsidP="00925B3F">
      <w:pPr>
        <w:pStyle w:val="SingleTxtG"/>
        <w:rPr>
          <w:rFonts w:cs="Arial"/>
          <w:szCs w:val="22"/>
          <w:lang w:val="fr-FR"/>
        </w:rPr>
      </w:pPr>
      <w:r>
        <w:rPr>
          <w:rFonts w:cs="Arial"/>
          <w:szCs w:val="22"/>
          <w:lang w:val="fr-FR"/>
        </w:rPr>
        <w:t>7.4.2</w:t>
      </w:r>
      <w:r>
        <w:rPr>
          <w:rFonts w:cs="Arial"/>
          <w:szCs w:val="22"/>
          <w:lang w:val="fr-FR"/>
        </w:rPr>
        <w:tab/>
        <w:t xml:space="preserve">Dans la phrase introductive, supprimer «, OX». Supprimer le troisième tiret. Au dernier tiret, </w:t>
      </w:r>
      <w:r w:rsidR="001473EA">
        <w:rPr>
          <w:rFonts w:cs="Arial"/>
          <w:szCs w:val="22"/>
          <w:lang w:val="fr-FR"/>
        </w:rPr>
        <w:t>remplacer «, FL et OX» par «et FL»</w:t>
      </w:r>
      <w:r>
        <w:rPr>
          <w:rFonts w:cs="Arial"/>
          <w:szCs w:val="22"/>
          <w:lang w:val="fr-FR"/>
        </w:rPr>
        <w:t>.</w:t>
      </w:r>
    </w:p>
    <w:p w:rsidR="007B5E84" w:rsidRPr="007B5E84" w:rsidRDefault="007B5E84" w:rsidP="00925B3F">
      <w:pPr>
        <w:pStyle w:val="SingleTxtG"/>
        <w:rPr>
          <w:rFonts w:cs="Arial"/>
          <w:i/>
          <w:szCs w:val="22"/>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D70209" w:rsidRPr="007336BD" w:rsidRDefault="00D70209" w:rsidP="00D70209">
      <w:pPr>
        <w:pStyle w:val="H1G"/>
        <w:rPr>
          <w:lang w:val="fr-FR"/>
        </w:rPr>
      </w:pPr>
      <w:r w:rsidRPr="007336BD">
        <w:rPr>
          <w:lang w:val="fr-FR"/>
        </w:rPr>
        <w:tab/>
      </w:r>
      <w:r w:rsidRPr="007336BD">
        <w:rPr>
          <w:lang w:val="fr-FR"/>
        </w:rPr>
        <w:tab/>
        <w:t>Chapitre 8.1</w:t>
      </w:r>
    </w:p>
    <w:p w:rsidR="00D70209" w:rsidRDefault="00D70209" w:rsidP="00D70209">
      <w:pPr>
        <w:pStyle w:val="SingleTxtG"/>
        <w:rPr>
          <w:lang w:val="fr-FR"/>
        </w:rPr>
      </w:pPr>
      <w:r w:rsidRPr="007336BD">
        <w:rPr>
          <w:rFonts w:cs="Arial"/>
          <w:szCs w:val="22"/>
          <w:lang w:val="fr-FR"/>
        </w:rPr>
        <w:t>8.1.5.3</w:t>
      </w:r>
      <w:r w:rsidRPr="007336BD">
        <w:rPr>
          <w:rFonts w:cs="Arial"/>
          <w:szCs w:val="22"/>
          <w:lang w:val="fr-FR"/>
        </w:rPr>
        <w:tab/>
      </w:r>
      <w:r w:rsidRPr="007336BD">
        <w:rPr>
          <w:rFonts w:cs="Arial"/>
          <w:szCs w:val="22"/>
          <w:lang w:val="fr-FR"/>
        </w:rPr>
        <w:tab/>
      </w:r>
      <w:r>
        <w:rPr>
          <w:rFonts w:cs="Arial"/>
          <w:szCs w:val="22"/>
          <w:lang w:val="fr-FR"/>
        </w:rPr>
        <w:t xml:space="preserve">Dans le </w:t>
      </w:r>
      <w:r w:rsidRPr="007336BD">
        <w:rPr>
          <w:rFonts w:cs="Arial"/>
          <w:szCs w:val="22"/>
          <w:lang w:val="fr-FR"/>
        </w:rPr>
        <w:t xml:space="preserve">premier tiret, </w:t>
      </w:r>
      <w:r w:rsidRPr="004E7359">
        <w:rPr>
          <w:lang w:val="fr-FR"/>
        </w:rPr>
        <w:t>remplacer «</w:t>
      </w:r>
      <w:r>
        <w:rPr>
          <w:lang w:val="fr-FR"/>
        </w:rPr>
        <w:t xml:space="preserve">à bord </w:t>
      </w:r>
      <w:r w:rsidRPr="004E7359">
        <w:rPr>
          <w:lang w:val="fr-FR"/>
        </w:rPr>
        <w:t>du véhicule» par «</w:t>
      </w:r>
      <w:r>
        <w:rPr>
          <w:lang w:val="fr-FR"/>
        </w:rPr>
        <w:t xml:space="preserve">à bord </w:t>
      </w:r>
      <w:r w:rsidRPr="004E7359">
        <w:rPr>
          <w:lang w:val="fr-FR"/>
        </w:rPr>
        <w:t>de l’unité de transport».</w:t>
      </w:r>
    </w:p>
    <w:p w:rsidR="00D70209" w:rsidRPr="007336BD" w:rsidRDefault="00D70209" w:rsidP="00D70209">
      <w:pPr>
        <w:pStyle w:val="SingleTxtG"/>
        <w:rPr>
          <w:lang w:val="fr-FR"/>
        </w:rPr>
      </w:pPr>
      <w:r w:rsidRPr="004E7359">
        <w:rPr>
          <w:rFonts w:cs="Arial"/>
          <w:i/>
          <w:szCs w:val="22"/>
          <w:lang w:val="fr-FR"/>
        </w:rPr>
        <w:t>(</w:t>
      </w:r>
      <w:r w:rsidRPr="004E7359">
        <w:rPr>
          <w:i/>
        </w:rPr>
        <w:t>Document de référence</w:t>
      </w:r>
      <w:r w:rsidRPr="004E7359">
        <w:rPr>
          <w:rFonts w:cs="Arial"/>
          <w:i/>
          <w:szCs w:val="22"/>
          <w:lang w:val="fr-FR"/>
        </w:rPr>
        <w:t>: document informel INF.13)</w:t>
      </w:r>
    </w:p>
    <w:p w:rsidR="0009473E" w:rsidRDefault="0009473E" w:rsidP="0009473E">
      <w:pPr>
        <w:pStyle w:val="H1G"/>
        <w:rPr>
          <w:lang w:val="fr-FR"/>
        </w:rPr>
      </w:pPr>
      <w:r>
        <w:rPr>
          <w:lang w:val="fr-FR"/>
        </w:rPr>
        <w:tab/>
      </w:r>
      <w:r>
        <w:rPr>
          <w:lang w:val="fr-FR"/>
        </w:rPr>
        <w:tab/>
        <w:t>Chapitre 8.3</w:t>
      </w:r>
    </w:p>
    <w:p w:rsidR="0009473E" w:rsidRDefault="0009473E" w:rsidP="0009473E">
      <w:pPr>
        <w:pStyle w:val="SingleTxtG"/>
        <w:rPr>
          <w:lang w:val="fr-FR"/>
        </w:rPr>
      </w:pPr>
      <w:r>
        <w:rPr>
          <w:lang w:val="fr-FR"/>
        </w:rPr>
        <w:t>8.3.8</w:t>
      </w:r>
      <w:r>
        <w:rPr>
          <w:lang w:val="fr-FR"/>
        </w:rPr>
        <w:tab/>
        <w:t>Remplacer «</w:t>
      </w:r>
      <w:r>
        <w:rPr>
          <w:rFonts w:ascii="TimesNewRomanPSMT" w:hAnsi="TimesNewRomanPSMT" w:cs="TimesNewRomanPSMT"/>
          <w:lang w:val="fr-FR" w:eastAsia="fr-FR"/>
        </w:rPr>
        <w:t>au paragraphe 9.2.2.6.3</w:t>
      </w:r>
      <w:r>
        <w:rPr>
          <w:lang w:val="fr-FR"/>
        </w:rPr>
        <w:t>» par «à la sous-section 9.2.2.6».</w:t>
      </w:r>
    </w:p>
    <w:p w:rsidR="0009473E" w:rsidRPr="004E7359" w:rsidRDefault="0009473E" w:rsidP="0009473E">
      <w:pPr>
        <w:pStyle w:val="SingleTxtG"/>
        <w:rPr>
          <w:rFonts w:cs="Arial"/>
          <w:i/>
          <w:szCs w:val="22"/>
          <w:lang w:val="fr-FR"/>
        </w:rPr>
      </w:pPr>
      <w:r>
        <w:rPr>
          <w:i/>
        </w:rPr>
        <w:t>(</w:t>
      </w:r>
      <w:r w:rsidRPr="004E7359">
        <w:rPr>
          <w:i/>
        </w:rPr>
        <w:t>Document de référence</w:t>
      </w:r>
      <w:r w:rsidRPr="004E7359">
        <w:rPr>
          <w:rFonts w:cs="Arial"/>
          <w:i/>
          <w:szCs w:val="22"/>
          <w:lang w:val="fr-FR"/>
        </w:rPr>
        <w:t>: document informel INF.</w:t>
      </w:r>
      <w:r>
        <w:rPr>
          <w:rFonts w:cs="Arial"/>
          <w:i/>
          <w:szCs w:val="22"/>
          <w:lang w:val="fr-FR"/>
        </w:rPr>
        <w:t>7</w:t>
      </w:r>
      <w:r w:rsidRPr="004E7359">
        <w:rPr>
          <w:rFonts w:cs="Arial"/>
          <w:i/>
          <w:szCs w:val="22"/>
          <w:lang w:val="fr-FR"/>
        </w:rPr>
        <w:t>)</w:t>
      </w:r>
    </w:p>
    <w:p w:rsidR="00B931D6" w:rsidRPr="001965D7" w:rsidRDefault="00B931D6" w:rsidP="00B931D6">
      <w:pPr>
        <w:pStyle w:val="H1G"/>
        <w:rPr>
          <w:lang w:val="fr-FR"/>
        </w:rPr>
      </w:pPr>
      <w:r w:rsidRPr="001965D7">
        <w:rPr>
          <w:lang w:val="fr-FR"/>
        </w:rPr>
        <w:tab/>
      </w:r>
      <w:r w:rsidRPr="001965D7">
        <w:rPr>
          <w:lang w:val="fr-FR"/>
        </w:rPr>
        <w:tab/>
        <w:t>Chapitre 9.1</w:t>
      </w:r>
    </w:p>
    <w:p w:rsidR="00B931D6" w:rsidRPr="001965D7" w:rsidRDefault="00B931D6" w:rsidP="00B931D6">
      <w:pPr>
        <w:pStyle w:val="SingleTxtG"/>
        <w:rPr>
          <w:iCs/>
          <w:snapToGrid w:val="0"/>
          <w:lang w:val="fr-FR"/>
        </w:rPr>
      </w:pPr>
      <w:r w:rsidRPr="001965D7">
        <w:rPr>
          <w:iCs/>
          <w:snapToGrid w:val="0"/>
          <w:lang w:val="fr-FR"/>
        </w:rPr>
        <w:t>9.1.1.2</w:t>
      </w:r>
      <w:r w:rsidRPr="001965D7">
        <w:rPr>
          <w:iCs/>
          <w:snapToGrid w:val="0"/>
          <w:lang w:val="fr-FR"/>
        </w:rPr>
        <w:tab/>
      </w:r>
      <w:r w:rsidR="00B16896">
        <w:rPr>
          <w:iCs/>
          <w:snapToGrid w:val="0"/>
          <w:lang w:val="fr-FR"/>
        </w:rPr>
        <w:tab/>
      </w:r>
      <w:r>
        <w:rPr>
          <w:lang w:val="fr-FR"/>
        </w:rPr>
        <w:t>P</w:t>
      </w:r>
      <w:r w:rsidRPr="001F3341">
        <w:rPr>
          <w:lang w:val="fr-FR"/>
        </w:rPr>
        <w:t xml:space="preserve">our la catégorie </w:t>
      </w:r>
      <w:r>
        <w:rPr>
          <w:lang w:val="fr-FR"/>
        </w:rPr>
        <w:t>«</w:t>
      </w:r>
      <w:r w:rsidRPr="001F3341">
        <w:rPr>
          <w:lang w:val="fr-FR"/>
        </w:rPr>
        <w:t>Véhicule FL</w:t>
      </w:r>
      <w:r>
        <w:rPr>
          <w:lang w:val="fr-FR"/>
        </w:rPr>
        <w:t>»</w:t>
      </w:r>
      <w:r w:rsidRPr="001F3341">
        <w:rPr>
          <w:lang w:val="fr-FR"/>
        </w:rPr>
        <w:t>,</w:t>
      </w:r>
      <w:r>
        <w:rPr>
          <w:lang w:val="fr-FR"/>
        </w:rPr>
        <w:t xml:space="preserve"> </w:t>
      </w:r>
      <w:r>
        <w:rPr>
          <w:iCs/>
          <w:snapToGrid w:val="0"/>
          <w:lang w:val="fr-FR"/>
        </w:rPr>
        <w:t>r</w:t>
      </w:r>
      <w:r w:rsidRPr="001965D7">
        <w:rPr>
          <w:iCs/>
          <w:snapToGrid w:val="0"/>
          <w:lang w:val="fr-FR"/>
        </w:rPr>
        <w:t>e</w:t>
      </w:r>
      <w:r>
        <w:rPr>
          <w:iCs/>
          <w:snapToGrid w:val="0"/>
          <w:lang w:val="fr-FR"/>
        </w:rPr>
        <w:t>m</w:t>
      </w:r>
      <w:r w:rsidRPr="001965D7">
        <w:rPr>
          <w:iCs/>
          <w:snapToGrid w:val="0"/>
          <w:lang w:val="fr-FR"/>
        </w:rPr>
        <w:t>place</w:t>
      </w:r>
      <w:r>
        <w:rPr>
          <w:iCs/>
          <w:snapToGrid w:val="0"/>
          <w:lang w:val="fr-FR"/>
        </w:rPr>
        <w:t>r</w:t>
      </w:r>
      <w:r w:rsidRPr="001965D7">
        <w:rPr>
          <w:iCs/>
          <w:snapToGrid w:val="0"/>
          <w:lang w:val="fr-FR"/>
        </w:rPr>
        <w:t xml:space="preserve"> </w:t>
      </w:r>
      <w:r>
        <w:rPr>
          <w:lang w:val="fr-FR"/>
        </w:rPr>
        <w:t>«</w:t>
      </w:r>
      <w:r w:rsidRPr="001965D7">
        <w:rPr>
          <w:lang w:val="fr-FR" w:eastAsia="de-DE"/>
        </w:rPr>
        <w:t>EN 590:2009 + A1:2010</w:t>
      </w:r>
      <w:r>
        <w:rPr>
          <w:iCs/>
          <w:snapToGrid w:val="0"/>
          <w:lang w:val="fr-FR"/>
        </w:rPr>
        <w:t>»</w:t>
      </w:r>
      <w:r w:rsidRPr="001965D7">
        <w:rPr>
          <w:iCs/>
          <w:snapToGrid w:val="0"/>
          <w:lang w:val="fr-FR"/>
        </w:rPr>
        <w:t xml:space="preserve"> </w:t>
      </w:r>
      <w:r>
        <w:rPr>
          <w:iCs/>
          <w:snapToGrid w:val="0"/>
          <w:lang w:val="fr-FR"/>
        </w:rPr>
        <w:t>par</w:t>
      </w:r>
      <w:r w:rsidRPr="001965D7">
        <w:rPr>
          <w:iCs/>
          <w:snapToGrid w:val="0"/>
          <w:lang w:val="fr-FR"/>
        </w:rPr>
        <w:t xml:space="preserve"> </w:t>
      </w:r>
      <w:r>
        <w:rPr>
          <w:lang w:val="fr-FR"/>
        </w:rPr>
        <w:t>«</w:t>
      </w:r>
      <w:r w:rsidRPr="001965D7">
        <w:rPr>
          <w:lang w:val="fr-FR" w:eastAsia="de-DE"/>
        </w:rPr>
        <w:t>EN 590:2013 + AC:2014</w:t>
      </w:r>
      <w:r>
        <w:rPr>
          <w:iCs/>
          <w:snapToGrid w:val="0"/>
          <w:lang w:val="fr-FR"/>
        </w:rPr>
        <w:t>»</w:t>
      </w:r>
      <w:r w:rsidRPr="001965D7">
        <w:rPr>
          <w:lang w:val="fr-FR" w:eastAsia="de-DE"/>
        </w:rPr>
        <w:t xml:space="preserve"> (</w:t>
      </w:r>
      <w:r>
        <w:rPr>
          <w:lang w:val="fr-FR" w:eastAsia="de-DE"/>
        </w:rPr>
        <w:t>deux fois</w:t>
      </w:r>
      <w:r w:rsidRPr="001965D7">
        <w:rPr>
          <w:lang w:val="fr-FR" w:eastAsia="de-DE"/>
        </w:rPr>
        <w:t>).</w:t>
      </w:r>
    </w:p>
    <w:p w:rsidR="00B931D6" w:rsidRPr="001965D7" w:rsidRDefault="00B931D6" w:rsidP="00B931D6">
      <w:pPr>
        <w:pStyle w:val="SingleTxtG"/>
        <w:rPr>
          <w:rFonts w:cs="Arial"/>
          <w:i/>
          <w:szCs w:val="22"/>
          <w:lang w:val="fr-FR"/>
        </w:rPr>
      </w:pPr>
      <w:r w:rsidRPr="001965D7">
        <w:rPr>
          <w:rFonts w:cs="Arial"/>
          <w:i/>
          <w:szCs w:val="22"/>
          <w:lang w:val="fr-FR"/>
        </w:rPr>
        <w:t>(</w:t>
      </w:r>
      <w:r w:rsidRPr="001965D7">
        <w:rPr>
          <w:i/>
          <w:lang w:val="fr-FR"/>
        </w:rPr>
        <w:t>Document de référence</w:t>
      </w:r>
      <w:r w:rsidRPr="001965D7">
        <w:rPr>
          <w:rFonts w:cs="Arial"/>
          <w:i/>
          <w:szCs w:val="22"/>
          <w:lang w:val="fr-FR"/>
        </w:rPr>
        <w:t>: document informel INF.</w:t>
      </w:r>
      <w:r>
        <w:rPr>
          <w:rFonts w:cs="Arial"/>
          <w:i/>
          <w:szCs w:val="22"/>
          <w:lang w:val="fr-FR"/>
        </w:rPr>
        <w:t>12</w:t>
      </w:r>
      <w:r w:rsidRPr="001965D7">
        <w:rPr>
          <w:rFonts w:cs="Arial"/>
          <w:i/>
          <w:szCs w:val="22"/>
          <w:lang w:val="fr-FR"/>
        </w:rPr>
        <w:t>)</w:t>
      </w:r>
    </w:p>
    <w:p w:rsidR="00C9178E" w:rsidRPr="001F3341" w:rsidRDefault="00C9178E" w:rsidP="00C9178E">
      <w:pPr>
        <w:pStyle w:val="SingleTxtG"/>
        <w:rPr>
          <w:lang w:val="fr-FR"/>
        </w:rPr>
      </w:pPr>
      <w:r w:rsidRPr="001F3341">
        <w:rPr>
          <w:lang w:val="fr-FR"/>
        </w:rPr>
        <w:t>9.1.1.2</w:t>
      </w:r>
      <w:r w:rsidR="00B16896">
        <w:rPr>
          <w:lang w:val="fr-FR"/>
        </w:rPr>
        <w:tab/>
      </w:r>
      <w:r>
        <w:rPr>
          <w:lang w:val="fr-FR"/>
        </w:rPr>
        <w:tab/>
        <w:t>P</w:t>
      </w:r>
      <w:r w:rsidRPr="001F3341">
        <w:rPr>
          <w:lang w:val="fr-FR"/>
        </w:rPr>
        <w:t xml:space="preserve">our la catégorie </w:t>
      </w:r>
      <w:r>
        <w:rPr>
          <w:lang w:val="fr-FR"/>
        </w:rPr>
        <w:t>«</w:t>
      </w:r>
      <w:r w:rsidRPr="001F3341">
        <w:rPr>
          <w:lang w:val="fr-FR"/>
        </w:rPr>
        <w:t>Véhicule FL</w:t>
      </w:r>
      <w:r>
        <w:rPr>
          <w:lang w:val="fr-FR"/>
        </w:rPr>
        <w:t>»</w:t>
      </w:r>
      <w:r w:rsidRPr="001F3341">
        <w:rPr>
          <w:lang w:val="fr-FR"/>
        </w:rPr>
        <w:t xml:space="preserve">, </w:t>
      </w:r>
      <w:r>
        <w:rPr>
          <w:lang w:val="fr-FR"/>
        </w:rPr>
        <w:t>transférer «ou» de la fin de l’alinéa b) à la fin de l’alinéa c). A</w:t>
      </w:r>
      <w:r w:rsidRPr="001F3341">
        <w:rPr>
          <w:lang w:val="fr-FR"/>
        </w:rPr>
        <w:t>jouter un nouvel alinéa d), libellé comme suit</w:t>
      </w:r>
      <w:r>
        <w:rPr>
          <w:lang w:val="fr-FR"/>
        </w:rPr>
        <w:t>:</w:t>
      </w:r>
      <w:r w:rsidRPr="001F3341">
        <w:rPr>
          <w:lang w:val="fr-FR"/>
        </w:rPr>
        <w:t xml:space="preserve"> </w:t>
      </w:r>
    </w:p>
    <w:p w:rsidR="00C9178E" w:rsidRDefault="00C9178E" w:rsidP="00C9178E">
      <w:pPr>
        <w:pStyle w:val="SingleTxtG"/>
        <w:rPr>
          <w:lang w:val="fr-FR"/>
        </w:rPr>
      </w:pPr>
      <w:r>
        <w:rPr>
          <w:lang w:val="fr-FR"/>
        </w:rPr>
        <w:t>«</w:t>
      </w:r>
      <w:r w:rsidRPr="00C9178E">
        <w:rPr>
          <w:lang w:val="fr-FR"/>
        </w:rPr>
        <w:t xml:space="preserve">d) </w:t>
      </w:r>
      <w:r w:rsidRPr="00C9178E">
        <w:rPr>
          <w:lang w:val="fr-FR"/>
        </w:rPr>
        <w:tab/>
      </w:r>
      <w:r>
        <w:rPr>
          <w:lang w:val="fr-FR"/>
        </w:rPr>
        <w:t>u</w:t>
      </w:r>
      <w:r w:rsidRPr="00C9178E">
        <w:rPr>
          <w:lang w:val="fr-FR"/>
        </w:rPr>
        <w:t xml:space="preserve">n véhicule destiné au transport de peroxyde d’hydrogène stabilisé ou en solution aqueuse stabilisée contenant plus de 60 % de peroxyde d’hydrogène (classe 5.1, </w:t>
      </w:r>
      <w:r>
        <w:rPr>
          <w:lang w:val="fr-FR"/>
        </w:rPr>
        <w:t>No</w:t>
      </w:r>
      <w:r w:rsidRPr="00C9178E">
        <w:rPr>
          <w:lang w:val="fr-FR"/>
        </w:rPr>
        <w:t> ONU 2015) dans des citernes fixes ou démontables d’une capacité supérieure à 1 m</w:t>
      </w:r>
      <w:r w:rsidRPr="00C9178E">
        <w:rPr>
          <w:vertAlign w:val="superscript"/>
          <w:lang w:val="fr-FR"/>
        </w:rPr>
        <w:t>3</w:t>
      </w:r>
      <w:r w:rsidRPr="00C9178E">
        <w:rPr>
          <w:lang w:val="fr-FR"/>
        </w:rPr>
        <w:t xml:space="preserve"> ou dans des conteneurs-citernes ou citernes mobiles d’une capacité individuelle supérieure à 3 m</w:t>
      </w:r>
      <w:r w:rsidRPr="00C9178E">
        <w:rPr>
          <w:vertAlign w:val="superscript"/>
          <w:lang w:val="fr-FR"/>
        </w:rPr>
        <w:t>3</w:t>
      </w:r>
      <w:r w:rsidRPr="00C9178E">
        <w:rPr>
          <w:lang w:val="fr-FR"/>
        </w:rPr>
        <w:t>;</w:t>
      </w:r>
      <w:r>
        <w:rPr>
          <w:lang w:val="fr-FR"/>
        </w:rPr>
        <w:t>».</w:t>
      </w:r>
    </w:p>
    <w:p w:rsidR="00F74A1C" w:rsidRDefault="00F74A1C" w:rsidP="00C9178E">
      <w:pPr>
        <w:pStyle w:val="SingleTxtG"/>
        <w:rPr>
          <w:rFonts w:cs="Arial"/>
          <w:i/>
          <w:szCs w:val="22"/>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F47547" w:rsidRDefault="00F47547" w:rsidP="00F47547">
      <w:pPr>
        <w:pStyle w:val="SingleTxtG"/>
        <w:rPr>
          <w:lang w:val="fr-FR"/>
        </w:rPr>
      </w:pPr>
      <w:r w:rsidRPr="001F3341">
        <w:rPr>
          <w:lang w:val="fr-FR"/>
        </w:rPr>
        <w:t>9.1.1.2</w:t>
      </w:r>
      <w:r w:rsidR="00B16896">
        <w:rPr>
          <w:lang w:val="fr-FR"/>
        </w:rPr>
        <w:tab/>
      </w:r>
      <w:r>
        <w:rPr>
          <w:lang w:val="fr-FR"/>
        </w:rPr>
        <w:tab/>
        <w:t>S</w:t>
      </w:r>
      <w:r w:rsidRPr="001F3341">
        <w:rPr>
          <w:lang w:val="fr-FR"/>
        </w:rPr>
        <w:t xml:space="preserve">upprimer la catégorie </w:t>
      </w:r>
      <w:r>
        <w:rPr>
          <w:lang w:val="fr-FR"/>
        </w:rPr>
        <w:t>«</w:t>
      </w:r>
      <w:r w:rsidRPr="001F3341">
        <w:rPr>
          <w:lang w:val="fr-FR"/>
        </w:rPr>
        <w:t>Véhicule OX</w:t>
      </w:r>
      <w:r>
        <w:rPr>
          <w:lang w:val="fr-FR"/>
        </w:rPr>
        <w:t>»</w:t>
      </w:r>
      <w:r w:rsidRPr="001F3341">
        <w:rPr>
          <w:lang w:val="fr-FR"/>
        </w:rPr>
        <w:t>.</w:t>
      </w:r>
    </w:p>
    <w:p w:rsidR="00F47547" w:rsidRDefault="00F47547" w:rsidP="00F47547">
      <w:pPr>
        <w:pStyle w:val="SingleTxtG"/>
        <w:rPr>
          <w:rFonts w:cs="Arial"/>
          <w:i/>
          <w:szCs w:val="22"/>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F47547" w:rsidRDefault="00F47547" w:rsidP="00C9178E">
      <w:pPr>
        <w:pStyle w:val="SingleTxtG"/>
        <w:rPr>
          <w:rFonts w:cs="Arial"/>
          <w:szCs w:val="22"/>
          <w:lang w:val="fr-FR"/>
        </w:rPr>
      </w:pPr>
      <w:r w:rsidRPr="00B16896">
        <w:rPr>
          <w:rFonts w:cs="Arial"/>
          <w:szCs w:val="22"/>
          <w:lang w:val="fr-FR"/>
        </w:rPr>
        <w:t>9.1.1.2</w:t>
      </w:r>
      <w:r>
        <w:rPr>
          <w:rFonts w:cs="Arial"/>
          <w:szCs w:val="22"/>
          <w:lang w:val="fr-FR"/>
        </w:rPr>
        <w:tab/>
      </w:r>
      <w:r>
        <w:rPr>
          <w:rFonts w:cs="Arial"/>
          <w:szCs w:val="22"/>
          <w:lang w:val="fr-FR"/>
        </w:rPr>
        <w:tab/>
        <w:t>Pour la catégorie «Véhicule AT», à l’alinéa a), remplacer «, FL ou OX» par «ou FL».</w:t>
      </w:r>
    </w:p>
    <w:p w:rsidR="00F47547" w:rsidRPr="00B16896" w:rsidRDefault="00F47547" w:rsidP="00C9178E">
      <w:pPr>
        <w:pStyle w:val="SingleTxtG"/>
        <w:rPr>
          <w:rFonts w:cs="Arial"/>
          <w:szCs w:val="22"/>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E05FE2" w:rsidRDefault="00E05FE2" w:rsidP="00E05FE2">
      <w:pPr>
        <w:pStyle w:val="SingleTxtG"/>
        <w:rPr>
          <w:rFonts w:cs="Arial"/>
          <w:szCs w:val="22"/>
          <w:lang w:val="fr-FR"/>
        </w:rPr>
      </w:pPr>
      <w:r w:rsidRPr="00B16896">
        <w:rPr>
          <w:rFonts w:cs="Arial"/>
          <w:szCs w:val="22"/>
          <w:lang w:val="fr-FR"/>
        </w:rPr>
        <w:t>9.1.1.2</w:t>
      </w:r>
      <w:r>
        <w:rPr>
          <w:rFonts w:cs="Arial"/>
          <w:szCs w:val="22"/>
          <w:lang w:val="fr-FR"/>
        </w:rPr>
        <w:tab/>
      </w:r>
      <w:r>
        <w:rPr>
          <w:rFonts w:cs="Arial"/>
          <w:szCs w:val="22"/>
          <w:lang w:val="fr-FR"/>
        </w:rPr>
        <w:tab/>
        <w:t>Dans la définition de «Agrément ADR», supprimer «, OX».</w:t>
      </w:r>
    </w:p>
    <w:p w:rsidR="00E05FE2" w:rsidRDefault="00E05FE2" w:rsidP="00E05FE2">
      <w:pPr>
        <w:pStyle w:val="SingleTxtG"/>
        <w:rPr>
          <w:rFonts w:cs="Arial"/>
          <w:i/>
          <w:szCs w:val="22"/>
          <w:lang w:val="fr-FR"/>
        </w:rPr>
      </w:pPr>
      <w:r w:rsidRPr="004E7359">
        <w:rPr>
          <w:rFonts w:cs="Arial"/>
          <w:i/>
          <w:szCs w:val="22"/>
          <w:lang w:val="fr-FR"/>
        </w:rPr>
        <w:t>(</w:t>
      </w:r>
      <w:r w:rsidRPr="004E7359">
        <w:rPr>
          <w:i/>
        </w:rPr>
        <w:t>Document de référence</w:t>
      </w:r>
      <w:r w:rsidRPr="004E7359">
        <w:rPr>
          <w:rFonts w:cs="Arial"/>
          <w:i/>
          <w:szCs w:val="22"/>
          <w:lang w:val="fr-FR"/>
        </w:rPr>
        <w:t xml:space="preserve">: </w:t>
      </w:r>
      <w:r w:rsidRPr="00BC15C3">
        <w:rPr>
          <w:rFonts w:cs="Arial"/>
          <w:i/>
          <w:szCs w:val="22"/>
          <w:lang w:val="fr-FR"/>
        </w:rPr>
        <w:t>ECE/TRANS/WP.15/2015/15</w:t>
      </w:r>
      <w:r w:rsidRPr="004E7359">
        <w:rPr>
          <w:rFonts w:cs="Arial"/>
          <w:i/>
          <w:szCs w:val="22"/>
          <w:lang w:val="fr-FR"/>
        </w:rPr>
        <w:t>)</w:t>
      </w:r>
    </w:p>
    <w:p w:rsidR="00D57931" w:rsidRDefault="00D57931" w:rsidP="00E05FE2">
      <w:pPr>
        <w:pStyle w:val="SingleTxtG"/>
        <w:rPr>
          <w:rFonts w:cs="Arial"/>
          <w:szCs w:val="22"/>
          <w:lang w:val="fr-FR"/>
        </w:rPr>
      </w:pPr>
      <w:r>
        <w:rPr>
          <w:rFonts w:cs="Arial"/>
          <w:szCs w:val="22"/>
          <w:lang w:val="fr-FR"/>
        </w:rPr>
        <w:t>9.1.2</w:t>
      </w:r>
      <w:r>
        <w:rPr>
          <w:rFonts w:cs="Arial"/>
          <w:szCs w:val="22"/>
          <w:lang w:val="fr-FR"/>
        </w:rPr>
        <w:tab/>
        <w:t>Dans le titre et dans le Nota sous le titre, supprimer «, OX».</w:t>
      </w:r>
    </w:p>
    <w:p w:rsidR="00D57931" w:rsidRDefault="00D57931" w:rsidP="00D57931">
      <w:pPr>
        <w:pStyle w:val="SingleTxtG"/>
        <w:rPr>
          <w:rFonts w:cs="Arial"/>
          <w:szCs w:val="22"/>
          <w:lang w:val="fr-FR"/>
        </w:rPr>
      </w:pPr>
      <w:r>
        <w:rPr>
          <w:rFonts w:cs="Arial"/>
          <w:szCs w:val="22"/>
          <w:lang w:val="fr-FR"/>
        </w:rPr>
        <w:t>9.1.2.1, 9.1.2.3 et 9.1.3.1</w:t>
      </w:r>
      <w:r>
        <w:rPr>
          <w:rFonts w:cs="Arial"/>
          <w:szCs w:val="22"/>
          <w:lang w:val="fr-FR"/>
        </w:rPr>
        <w:tab/>
        <w:t>Supprimer «, OX» dans la première phrase.</w:t>
      </w:r>
    </w:p>
    <w:p w:rsidR="00D57931" w:rsidRPr="00D57931" w:rsidRDefault="00D57931" w:rsidP="00D57931">
      <w:pPr>
        <w:pStyle w:val="SingleTxtG"/>
        <w:rPr>
          <w:rFonts w:cs="Arial"/>
          <w:szCs w:val="22"/>
          <w:lang w:val="fr-FR"/>
        </w:rPr>
      </w:pPr>
      <w:r w:rsidRPr="00D57931">
        <w:rPr>
          <w:rFonts w:cs="Arial"/>
          <w:i/>
          <w:szCs w:val="22"/>
          <w:lang w:val="fr-FR"/>
        </w:rPr>
        <w:t>(Document de référence: ECE/TRANS/WP.15/2015/15)</w:t>
      </w:r>
    </w:p>
    <w:p w:rsidR="00CA184E" w:rsidRDefault="00CA184E" w:rsidP="00CA184E">
      <w:pPr>
        <w:pStyle w:val="SingleTxtG"/>
        <w:rPr>
          <w:rFonts w:cs="Arial"/>
          <w:szCs w:val="22"/>
          <w:lang w:val="fr-FR"/>
        </w:rPr>
      </w:pPr>
      <w:r>
        <w:rPr>
          <w:rFonts w:cs="Arial"/>
          <w:szCs w:val="22"/>
          <w:lang w:val="fr-FR"/>
        </w:rPr>
        <w:t>9.1.3.5</w:t>
      </w:r>
      <w:r>
        <w:rPr>
          <w:rFonts w:cs="Arial"/>
          <w:szCs w:val="22"/>
          <w:lang w:val="fr-FR"/>
        </w:rPr>
        <w:tab/>
      </w:r>
      <w:r>
        <w:rPr>
          <w:rFonts w:cs="Arial"/>
          <w:szCs w:val="22"/>
          <w:lang w:val="fr-FR"/>
        </w:rPr>
        <w:tab/>
      </w:r>
      <w:r w:rsidRPr="00CA184E">
        <w:rPr>
          <w:rFonts w:cs="Arial"/>
          <w:szCs w:val="22"/>
          <w:lang w:val="fr-FR"/>
        </w:rPr>
        <w:t>Supprimer «OX» au point 7 du modèle de certificat d’agrément.</w:t>
      </w:r>
    </w:p>
    <w:p w:rsidR="00CA184E" w:rsidRPr="00CA184E" w:rsidRDefault="00CA184E" w:rsidP="00CA184E">
      <w:pPr>
        <w:pStyle w:val="SingleTxtG"/>
        <w:rPr>
          <w:rFonts w:cs="Arial"/>
          <w:szCs w:val="22"/>
          <w:lang w:val="fr-FR"/>
        </w:rPr>
      </w:pPr>
      <w:r w:rsidRPr="00D57931">
        <w:rPr>
          <w:rFonts w:cs="Arial"/>
          <w:i/>
          <w:szCs w:val="22"/>
          <w:lang w:val="fr-FR"/>
        </w:rPr>
        <w:lastRenderedPageBreak/>
        <w:t>(Document de référence: ECE/TRANS/WP.15/2015/15)</w:t>
      </w:r>
    </w:p>
    <w:p w:rsidR="0009473E" w:rsidRDefault="0009473E" w:rsidP="0009473E">
      <w:pPr>
        <w:pStyle w:val="H1G"/>
        <w:rPr>
          <w:lang w:val="fr-FR"/>
        </w:rPr>
      </w:pPr>
      <w:r>
        <w:rPr>
          <w:lang w:val="fr-FR"/>
        </w:rPr>
        <w:tab/>
      </w:r>
      <w:r>
        <w:rPr>
          <w:lang w:val="fr-FR"/>
        </w:rPr>
        <w:tab/>
        <w:t>Chapitre 9.2</w:t>
      </w:r>
    </w:p>
    <w:p w:rsidR="00E15C12" w:rsidRDefault="00E15C12" w:rsidP="0009473E">
      <w:pPr>
        <w:pStyle w:val="SingleTxtG"/>
        <w:rPr>
          <w:lang w:val="fr-FR"/>
        </w:rPr>
      </w:pPr>
      <w:r>
        <w:rPr>
          <w:lang w:val="fr-FR"/>
        </w:rPr>
        <w:t>9.2.1.1</w:t>
      </w:r>
      <w:r>
        <w:rPr>
          <w:lang w:val="fr-FR"/>
        </w:rPr>
        <w:tab/>
      </w:r>
      <w:r>
        <w:rPr>
          <w:lang w:val="fr-FR"/>
        </w:rPr>
        <w:tab/>
      </w:r>
      <w:r w:rsidRPr="001F3341">
        <w:rPr>
          <w:lang w:val="fr-FR"/>
        </w:rPr>
        <w:t>Aux premier et deuxième paragraphes</w:t>
      </w:r>
      <w:r>
        <w:rPr>
          <w:lang w:val="fr-FR"/>
        </w:rPr>
        <w:t>, supprimer «, OX».</w:t>
      </w:r>
    </w:p>
    <w:p w:rsidR="00E15C12" w:rsidRPr="00CA184E" w:rsidRDefault="00E15C12" w:rsidP="00E15C12">
      <w:pPr>
        <w:pStyle w:val="SingleTxtG"/>
        <w:rPr>
          <w:rFonts w:cs="Arial"/>
          <w:szCs w:val="22"/>
          <w:lang w:val="fr-FR"/>
        </w:rPr>
      </w:pPr>
      <w:r w:rsidRPr="00D57931">
        <w:rPr>
          <w:rFonts w:cs="Arial"/>
          <w:i/>
          <w:szCs w:val="22"/>
          <w:lang w:val="fr-FR"/>
        </w:rPr>
        <w:t>(Document de référence: ECE/TRANS/WP.15/2015/15)</w:t>
      </w:r>
    </w:p>
    <w:p w:rsidR="00F41DBC" w:rsidRDefault="00F41DBC" w:rsidP="00F41DBC">
      <w:pPr>
        <w:pStyle w:val="SingleTxtG"/>
        <w:rPr>
          <w:lang w:val="fr-FR"/>
        </w:rPr>
      </w:pPr>
      <w:r>
        <w:rPr>
          <w:lang w:val="fr-FR"/>
        </w:rPr>
        <w:t>9.2.1.1</w:t>
      </w:r>
      <w:r>
        <w:rPr>
          <w:lang w:val="fr-FR"/>
        </w:rPr>
        <w:tab/>
      </w:r>
      <w:r>
        <w:rPr>
          <w:lang w:val="fr-FR"/>
        </w:rPr>
        <w:tab/>
      </w:r>
      <w:r w:rsidRPr="001F3341">
        <w:rPr>
          <w:lang w:val="fr-FR"/>
        </w:rPr>
        <w:t>Remplacer le tableau du 9.2.1.1 par le tableau suivant</w:t>
      </w:r>
      <w:r>
        <w:rPr>
          <w:lang w:val="fr-FR"/>
        </w:rPr>
        <w:t>:</w:t>
      </w:r>
    </w:p>
    <w:tbl>
      <w:tblPr>
        <w:tblStyle w:val="TableGrid"/>
        <w:tblW w:w="10051" w:type="dxa"/>
        <w:tblLayout w:type="fixed"/>
        <w:tblLook w:val="04A0" w:firstRow="1" w:lastRow="0" w:firstColumn="1" w:lastColumn="0" w:noHBand="0" w:noVBand="1"/>
      </w:tblPr>
      <w:tblGrid>
        <w:gridCol w:w="939"/>
        <w:gridCol w:w="2190"/>
        <w:gridCol w:w="469"/>
        <w:gridCol w:w="469"/>
        <w:gridCol w:w="469"/>
        <w:gridCol w:w="469"/>
        <w:gridCol w:w="5046"/>
      </w:tblGrid>
      <w:tr w:rsidR="00F41DBC" w:rsidRPr="00572E12" w:rsidTr="00333EBE">
        <w:trPr>
          <w:cantSplit/>
        </w:trPr>
        <w:tc>
          <w:tcPr>
            <w:tcW w:w="3129" w:type="dxa"/>
            <w:gridSpan w:val="2"/>
          </w:tcPr>
          <w:p w:rsidR="00F41DBC" w:rsidRPr="00572E12" w:rsidRDefault="00F41DBC" w:rsidP="00333EBE">
            <w:pPr>
              <w:ind w:left="43" w:right="43"/>
              <w:rPr>
                <w:lang w:val="fr-FR"/>
              </w:rPr>
            </w:pPr>
          </w:p>
        </w:tc>
        <w:tc>
          <w:tcPr>
            <w:tcW w:w="1876" w:type="dxa"/>
            <w:gridSpan w:val="4"/>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A57C05">
              <w:t>VÉHICULES</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REMARQUES</w:t>
            </w:r>
          </w:p>
        </w:tc>
      </w:tr>
      <w:tr w:rsidR="00F41DBC" w:rsidRPr="00572E12" w:rsidTr="00333EBE">
        <w:trPr>
          <w:cantSplit/>
        </w:trPr>
        <w:tc>
          <w:tcPr>
            <w:tcW w:w="3129" w:type="dxa"/>
            <w:gridSpan w:val="2"/>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 xml:space="preserve">SPÉCIFICATIONS </w:t>
            </w:r>
            <w:r w:rsidRPr="00A57C05">
              <w:t>TECHNIQUES</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A57C05">
              <w:t>EX</w:t>
            </w:r>
            <w:r w:rsidRPr="00572E12">
              <w:rPr>
                <w:lang w:val="fr-FR"/>
              </w:rPr>
              <w:t>/</w:t>
            </w:r>
            <w:r>
              <w:rPr>
                <w:lang w:val="fr-FR"/>
              </w:rPr>
              <w:t xml:space="preserve"> </w:t>
            </w:r>
            <w:r>
              <w:rPr>
                <w:lang w:val="fr-FR"/>
              </w:rPr>
              <w:br/>
            </w:r>
            <w:r w:rsidRPr="00572E12">
              <w:rPr>
                <w:lang w:val="fr-FR"/>
              </w:rPr>
              <w:t>II</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EX/</w:t>
            </w:r>
            <w:r>
              <w:rPr>
                <w:lang w:val="fr-FR"/>
              </w:rPr>
              <w:t xml:space="preserve"> </w:t>
            </w:r>
            <w:r>
              <w:rPr>
                <w:lang w:val="fr-FR"/>
              </w:rPr>
              <w:br/>
            </w:r>
            <w:r w:rsidRPr="00572E12">
              <w:rPr>
                <w:lang w:val="fr-FR"/>
              </w:rPr>
              <w:t>III</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AT</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FL</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b/>
                <w:lang w:val="fr-FR"/>
              </w:rPr>
            </w:pPr>
            <w:r w:rsidRPr="00572E12">
              <w:rPr>
                <w:b/>
                <w:lang w:val="fr-FR"/>
              </w:rPr>
              <w:t>9.2.2</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b/>
                <w:lang w:val="fr-FR"/>
              </w:rPr>
            </w:pPr>
            <w:r w:rsidRPr="00572E12">
              <w:rPr>
                <w:b/>
                <w:lang w:val="fr-FR"/>
              </w:rPr>
              <w:t>ÉQUIPEMENT ÉLECTRIQUE</w:t>
            </w:r>
          </w:p>
        </w:tc>
        <w:tc>
          <w:tcPr>
            <w:tcW w:w="469" w:type="dxa"/>
          </w:tcPr>
          <w:p w:rsidR="00F41DBC" w:rsidRPr="00572E12" w:rsidRDefault="00F41DBC" w:rsidP="00333EBE">
            <w:pPr>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9.2.2.1</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Dispositions</w:t>
            </w:r>
            <w:r w:rsidRPr="00572E12">
              <w:rPr>
                <w:lang w:val="fr-FR"/>
              </w:rPr>
              <w:t xml:space="preserve"> générales</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9.2.2.2.1</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Câbles</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9.2.2.2.2</w:t>
            </w:r>
          </w:p>
        </w:tc>
        <w:tc>
          <w:tcPr>
            <w:tcW w:w="2190"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Protection</w:t>
            </w:r>
            <w:r w:rsidRPr="00572E12">
              <w:rPr>
                <w:lang w:val="fr-FR"/>
              </w:rPr>
              <w:t xml:space="preserve"> </w:t>
            </w:r>
            <w:r w:rsidR="00333EBE">
              <w:rPr>
                <w:lang w:val="fr-FR"/>
              </w:rPr>
              <w:t>supplémentaire</w:t>
            </w:r>
          </w:p>
        </w:tc>
        <w:tc>
          <w:tcPr>
            <w:tcW w:w="469" w:type="dxa"/>
            <w:tcBorders>
              <w:bottom w:val="nil"/>
            </w:tcBorders>
          </w:tcPr>
          <w:p w:rsidR="00F41DBC" w:rsidRPr="00FD15DF" w:rsidRDefault="000E13F7">
            <w:pPr>
              <w:tabs>
                <w:tab w:val="left" w:pos="288"/>
                <w:tab w:val="left" w:pos="576"/>
                <w:tab w:val="left" w:pos="864"/>
                <w:tab w:val="left" w:pos="1152"/>
              </w:tabs>
              <w:spacing w:before="40" w:after="80"/>
              <w:ind w:left="43" w:right="43"/>
              <w:jc w:val="center"/>
              <w:rPr>
                <w:spacing w:val="2"/>
                <w:lang w:val="fr-FR"/>
              </w:rPr>
            </w:pPr>
            <w:proofErr w:type="spellStart"/>
            <w:r w:rsidRPr="00FD15DF">
              <w:rPr>
                <w:spacing w:val="2"/>
                <w:lang w:val="fr-FR"/>
              </w:rPr>
              <w:t>X</w:t>
            </w:r>
            <w:r>
              <w:rPr>
                <w:i/>
                <w:spacing w:val="2"/>
                <w:vertAlign w:val="superscript"/>
                <w:lang w:val="fr-FR"/>
              </w:rPr>
              <w:t>a</w:t>
            </w:r>
            <w:proofErr w:type="spellEnd"/>
          </w:p>
        </w:tc>
        <w:tc>
          <w:tcPr>
            <w:tcW w:w="469"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Borders>
              <w:bottom w:val="nil"/>
            </w:tcBorders>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b</w:t>
            </w:r>
            <w:proofErr w:type="spellEnd"/>
          </w:p>
        </w:tc>
        <w:tc>
          <w:tcPr>
            <w:tcW w:w="469"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Borders>
              <w:bottom w:val="nil"/>
            </w:tcBorders>
          </w:tcPr>
          <w:p w:rsidR="00F41DBC" w:rsidRPr="00FD15DF" w:rsidRDefault="000E13F7">
            <w:pPr>
              <w:tabs>
                <w:tab w:val="left" w:pos="216"/>
                <w:tab w:val="left" w:pos="288"/>
                <w:tab w:val="left" w:pos="576"/>
                <w:tab w:val="left" w:pos="864"/>
                <w:tab w:val="left" w:pos="1152"/>
              </w:tabs>
              <w:spacing w:before="40" w:after="80"/>
              <w:ind w:left="216" w:right="43" w:hanging="173"/>
              <w:rPr>
                <w:spacing w:val="2"/>
                <w:lang w:val="fr-FR"/>
              </w:rPr>
            </w:pPr>
            <w:r>
              <w:rPr>
                <w:i/>
                <w:spacing w:val="2"/>
                <w:vertAlign w:val="superscript"/>
                <w:lang w:val="fr-FR"/>
              </w:rPr>
              <w:t>a</w:t>
            </w:r>
            <w:r w:rsidR="00F41DBC">
              <w:rPr>
                <w:spacing w:val="2"/>
                <w:lang w:val="fr-FR"/>
              </w:rPr>
              <w:tab/>
            </w:r>
            <w:r w:rsidR="00F41DBC" w:rsidRPr="00FD15DF">
              <w:rPr>
                <w:spacing w:val="2"/>
                <w:lang w:val="fr-FR"/>
              </w:rPr>
              <w:t xml:space="preserve">Applicable aux véhicules d’une masse maximale </w:t>
            </w:r>
            <w:r w:rsidR="00F41DBC" w:rsidRPr="00FD15DF">
              <w:rPr>
                <w:spacing w:val="2"/>
              </w:rPr>
              <w:t>supérieure</w:t>
            </w:r>
            <w:r w:rsidR="00F41DBC" w:rsidRPr="00FD15DF">
              <w:rPr>
                <w:spacing w:val="2"/>
                <w:lang w:val="fr-FR"/>
              </w:rPr>
              <w:t xml:space="preserve"> à 3,5</w:t>
            </w:r>
            <w:r w:rsidR="00F41DBC">
              <w:rPr>
                <w:spacing w:val="2"/>
                <w:lang w:val="fr-FR"/>
              </w:rPr>
              <w:t> t</w:t>
            </w:r>
            <w:r w:rsidR="00333EBE">
              <w:rPr>
                <w:spacing w:val="2"/>
                <w:lang w:val="fr-FR"/>
              </w:rPr>
              <w:t>onnes</w:t>
            </w:r>
            <w:r w:rsidR="00F41DBC" w:rsidRPr="00FD15DF">
              <w:rPr>
                <w:spacing w:val="2"/>
                <w:lang w:val="fr-FR"/>
              </w:rPr>
              <w:t xml:space="preserve"> immatriculés pour la première fois (ou </w:t>
            </w:r>
            <w:r w:rsidR="00A21EDE">
              <w:rPr>
                <w:spacing w:val="2"/>
                <w:lang w:val="fr-FR"/>
              </w:rPr>
              <w:t>mis</w:t>
            </w:r>
            <w:r w:rsidR="00A21EDE" w:rsidRPr="00FD15DF">
              <w:rPr>
                <w:spacing w:val="2"/>
                <w:lang w:val="fr-FR"/>
              </w:rPr>
              <w:t xml:space="preserve"> </w:t>
            </w:r>
            <w:r w:rsidR="00F41DBC" w:rsidRPr="00FD15DF">
              <w:rPr>
                <w:spacing w:val="2"/>
                <w:lang w:val="fr-FR"/>
              </w:rPr>
              <w:t xml:space="preserve">en service, dans le cas où l’immatriculation n’est pas </w:t>
            </w:r>
            <w:r w:rsidR="00F41DBC" w:rsidRPr="004222C8">
              <w:rPr>
                <w:spacing w:val="2"/>
                <w:w w:val="102"/>
                <w:lang w:val="fr-FR"/>
              </w:rPr>
              <w:t>obligatoire</w:t>
            </w:r>
            <w:r w:rsidR="00F41DBC" w:rsidRPr="00FD15DF">
              <w:rPr>
                <w:spacing w:val="2"/>
                <w:lang w:val="fr-FR"/>
              </w:rPr>
              <w:t xml:space="preserve">) après le </w:t>
            </w:r>
            <w:r>
              <w:rPr>
                <w:spacing w:val="2"/>
                <w:lang w:val="fr-FR"/>
              </w:rPr>
              <w:t>31 mars</w:t>
            </w:r>
            <w:r w:rsidR="00F41DBC" w:rsidRPr="00FD15DF">
              <w:rPr>
                <w:spacing w:val="2"/>
                <w:lang w:val="fr-FR"/>
              </w:rPr>
              <w:t xml:space="preserve"> 2018.</w:t>
            </w:r>
          </w:p>
        </w:tc>
      </w:tr>
      <w:tr w:rsidR="00F41DBC" w:rsidRPr="00572E12" w:rsidTr="00333EBE">
        <w:trPr>
          <w:cantSplit/>
        </w:trPr>
        <w:tc>
          <w:tcPr>
            <w:tcW w:w="93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p>
        </w:tc>
        <w:tc>
          <w:tcPr>
            <w:tcW w:w="2190" w:type="dxa"/>
            <w:tcBorders>
              <w:top w:val="nil"/>
            </w:tcBorders>
          </w:tcPr>
          <w:p w:rsidR="00F41DBC" w:rsidRPr="00A57C05" w:rsidRDefault="00F41DBC" w:rsidP="00333EBE">
            <w:pPr>
              <w:tabs>
                <w:tab w:val="left" w:pos="288"/>
                <w:tab w:val="left" w:pos="576"/>
                <w:tab w:val="left" w:pos="864"/>
                <w:tab w:val="left" w:pos="1152"/>
              </w:tabs>
              <w:spacing w:before="40" w:after="80"/>
              <w:ind w:left="43" w:right="43"/>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Borders>
              <w:top w:val="nil"/>
            </w:tcBorders>
          </w:tcPr>
          <w:p w:rsidR="00F41DBC" w:rsidRPr="00FD15DF" w:rsidRDefault="000E13F7">
            <w:pPr>
              <w:tabs>
                <w:tab w:val="left" w:pos="216"/>
                <w:tab w:val="left" w:pos="288"/>
                <w:tab w:val="left" w:pos="576"/>
                <w:tab w:val="left" w:pos="864"/>
                <w:tab w:val="left" w:pos="1152"/>
              </w:tabs>
              <w:spacing w:before="40" w:after="80"/>
              <w:ind w:left="216" w:right="43" w:hanging="173"/>
              <w:rPr>
                <w:spacing w:val="2"/>
                <w:vertAlign w:val="superscript"/>
                <w:lang w:val="fr-FR"/>
              </w:rPr>
            </w:pPr>
            <w:r>
              <w:rPr>
                <w:i/>
                <w:spacing w:val="2"/>
                <w:vertAlign w:val="superscript"/>
                <w:lang w:val="fr-FR"/>
              </w:rPr>
              <w:t>b</w:t>
            </w:r>
            <w:r w:rsidR="00F41DBC">
              <w:rPr>
                <w:spacing w:val="2"/>
                <w:lang w:val="fr-FR"/>
              </w:rPr>
              <w:tab/>
            </w:r>
            <w:r w:rsidR="00F41DBC" w:rsidRPr="00FD15DF">
              <w:rPr>
                <w:spacing w:val="2"/>
                <w:lang w:val="fr-FR"/>
              </w:rPr>
              <w:t xml:space="preserve">Applicable aux véhicules immatriculés pour la première </w:t>
            </w:r>
            <w:r w:rsidR="00F41DBC" w:rsidRPr="004222C8">
              <w:rPr>
                <w:spacing w:val="2"/>
                <w:w w:val="102"/>
                <w:lang w:val="fr-FR"/>
              </w:rPr>
              <w:t>fois</w:t>
            </w:r>
            <w:r w:rsidR="00F41DBC" w:rsidRPr="00FD15DF">
              <w:rPr>
                <w:spacing w:val="2"/>
                <w:lang w:val="fr-FR"/>
              </w:rPr>
              <w:t xml:space="preserve"> (ou </w:t>
            </w:r>
            <w:r w:rsidR="00A21EDE">
              <w:rPr>
                <w:spacing w:val="2"/>
                <w:lang w:val="fr-FR"/>
              </w:rPr>
              <w:t>mis</w:t>
            </w:r>
            <w:r w:rsidR="00F41DBC" w:rsidRPr="00FD15DF">
              <w:rPr>
                <w:spacing w:val="2"/>
                <w:lang w:val="fr-FR"/>
              </w:rPr>
              <w:t xml:space="preserve"> en service, dans le cas où l’immatriculation n’est pas obligatoire) après le </w:t>
            </w:r>
            <w:r>
              <w:rPr>
                <w:spacing w:val="2"/>
                <w:lang w:val="fr-FR"/>
              </w:rPr>
              <w:t>31 mars</w:t>
            </w:r>
            <w:r w:rsidR="00F41DBC" w:rsidRPr="00FD15DF">
              <w:rPr>
                <w:spacing w:val="2"/>
                <w:lang w:val="fr-FR"/>
              </w:rPr>
              <w:t xml:space="preserve"> 2018.</w:t>
            </w: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9.2.2.3</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 xml:space="preserve">Fusibles et </w:t>
            </w:r>
            <w:r w:rsidRPr="00A57C05">
              <w:t>disjoncteurs</w:t>
            </w:r>
          </w:p>
        </w:tc>
        <w:tc>
          <w:tcPr>
            <w:tcW w:w="469" w:type="dxa"/>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b</w:t>
            </w:r>
            <w:proofErr w:type="spellEnd"/>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FD15DF" w:rsidRDefault="000E13F7">
            <w:pPr>
              <w:tabs>
                <w:tab w:val="left" w:pos="216"/>
                <w:tab w:val="left" w:pos="288"/>
                <w:tab w:val="left" w:pos="576"/>
                <w:tab w:val="left" w:pos="864"/>
                <w:tab w:val="left" w:pos="1152"/>
              </w:tabs>
              <w:spacing w:before="40" w:after="80"/>
              <w:ind w:left="216" w:right="43" w:hanging="173"/>
              <w:rPr>
                <w:spacing w:val="2"/>
                <w:lang w:val="fr-FR"/>
              </w:rPr>
            </w:pPr>
            <w:r>
              <w:rPr>
                <w:i/>
                <w:spacing w:val="2"/>
                <w:vertAlign w:val="superscript"/>
                <w:lang w:val="fr-FR"/>
              </w:rPr>
              <w:t>b</w:t>
            </w:r>
            <w:r w:rsidR="00F41DBC">
              <w:rPr>
                <w:spacing w:val="2"/>
                <w:lang w:val="fr-FR"/>
              </w:rPr>
              <w:tab/>
            </w:r>
            <w:r w:rsidR="00F41DBC" w:rsidRPr="00FD15DF">
              <w:rPr>
                <w:spacing w:val="2"/>
                <w:lang w:val="fr-FR"/>
              </w:rPr>
              <w:t xml:space="preserve">Applicable aux véhicules immatriculés pour la première </w:t>
            </w:r>
            <w:r w:rsidR="00F41DBC" w:rsidRPr="004222C8">
              <w:rPr>
                <w:spacing w:val="2"/>
                <w:w w:val="102"/>
                <w:lang w:val="fr-FR"/>
              </w:rPr>
              <w:t>fois</w:t>
            </w:r>
            <w:r w:rsidR="00F41DBC" w:rsidRPr="00FD15DF">
              <w:rPr>
                <w:spacing w:val="2"/>
                <w:lang w:val="fr-FR"/>
              </w:rPr>
              <w:t xml:space="preserve"> (</w:t>
            </w:r>
            <w:r w:rsidR="00F41DBC" w:rsidRPr="00FD15DF">
              <w:rPr>
                <w:spacing w:val="2"/>
              </w:rPr>
              <w:t>ou</w:t>
            </w:r>
            <w:r w:rsidR="00F41DBC" w:rsidRPr="00FD15DF">
              <w:rPr>
                <w:spacing w:val="2"/>
                <w:lang w:val="fr-FR"/>
              </w:rPr>
              <w:t xml:space="preserve"> </w:t>
            </w:r>
            <w:r w:rsidR="00A21EDE">
              <w:rPr>
                <w:spacing w:val="2"/>
                <w:lang w:val="fr-FR"/>
              </w:rPr>
              <w:t>mis</w:t>
            </w:r>
            <w:r w:rsidR="00F41DBC" w:rsidRPr="00FD15DF">
              <w:rPr>
                <w:spacing w:val="2"/>
                <w:lang w:val="fr-FR"/>
              </w:rPr>
              <w:t xml:space="preserve"> en service, dans le cas où l’immatriculation n’est pas obligatoire) après le </w:t>
            </w:r>
            <w:r>
              <w:rPr>
                <w:spacing w:val="2"/>
                <w:lang w:val="fr-FR"/>
              </w:rPr>
              <w:t>31 mars</w:t>
            </w:r>
            <w:r w:rsidR="00F41DBC" w:rsidRPr="00FD15DF">
              <w:rPr>
                <w:spacing w:val="2"/>
                <w:lang w:val="fr-FR"/>
              </w:rPr>
              <w:t xml:space="preserve"> 2018.</w:t>
            </w: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9.2.2.4</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Batteries</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9.2.2.5</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Éclairage</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9.2.2.6</w:t>
            </w:r>
          </w:p>
        </w:tc>
        <w:tc>
          <w:tcPr>
            <w:tcW w:w="2190"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Connexions</w:t>
            </w:r>
            <w:r w:rsidRPr="00572E12">
              <w:rPr>
                <w:lang w:val="fr-FR"/>
              </w:rPr>
              <w:t xml:space="preserve"> électriques</w:t>
            </w:r>
          </w:p>
        </w:tc>
        <w:tc>
          <w:tcPr>
            <w:tcW w:w="469" w:type="dxa"/>
            <w:tcBorders>
              <w:bottom w:val="nil"/>
            </w:tcBorders>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A57C05">
              <w:t>X</w:t>
            </w:r>
            <w:r>
              <w:rPr>
                <w:i/>
                <w:vertAlign w:val="superscript"/>
              </w:rPr>
              <w:t>c</w:t>
            </w:r>
            <w:proofErr w:type="spellEnd"/>
          </w:p>
        </w:tc>
        <w:tc>
          <w:tcPr>
            <w:tcW w:w="469"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Borders>
              <w:bottom w:val="nil"/>
            </w:tcBorders>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b</w:t>
            </w:r>
            <w:proofErr w:type="spellEnd"/>
          </w:p>
        </w:tc>
        <w:tc>
          <w:tcPr>
            <w:tcW w:w="469"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Borders>
              <w:bottom w:val="nil"/>
            </w:tcBorders>
          </w:tcPr>
          <w:p w:rsidR="00F41DBC" w:rsidRPr="009C37D3" w:rsidRDefault="0057577A">
            <w:pPr>
              <w:tabs>
                <w:tab w:val="left" w:pos="216"/>
                <w:tab w:val="left" w:pos="288"/>
                <w:tab w:val="left" w:pos="576"/>
                <w:tab w:val="left" w:pos="864"/>
                <w:tab w:val="left" w:pos="1152"/>
              </w:tabs>
              <w:spacing w:before="40" w:after="80"/>
              <w:ind w:left="216" w:right="43" w:hanging="173"/>
              <w:rPr>
                <w:lang w:val="fr-FR"/>
              </w:rPr>
            </w:pPr>
            <w:r>
              <w:rPr>
                <w:i/>
                <w:spacing w:val="2"/>
                <w:vertAlign w:val="superscript"/>
                <w:lang w:val="fr-FR"/>
              </w:rPr>
              <w:t>b</w:t>
            </w:r>
            <w:r>
              <w:rPr>
                <w:spacing w:val="2"/>
                <w:lang w:val="fr-FR"/>
              </w:rPr>
              <w:tab/>
            </w:r>
            <w:r w:rsidRPr="00FD15DF">
              <w:rPr>
                <w:spacing w:val="2"/>
                <w:lang w:val="fr-FR"/>
              </w:rPr>
              <w:t xml:space="preserve">Applicable aux véhicules immatriculés pour la première fois (ou </w:t>
            </w:r>
            <w:r w:rsidR="00A21EDE">
              <w:rPr>
                <w:lang w:val="fr-FR"/>
              </w:rPr>
              <w:t>mis</w:t>
            </w:r>
            <w:r w:rsidRPr="00FD15DF">
              <w:rPr>
                <w:spacing w:val="2"/>
                <w:lang w:val="fr-FR"/>
              </w:rPr>
              <w:t xml:space="preserve"> en service, dans le cas où </w:t>
            </w:r>
            <w:r w:rsidRPr="004222C8">
              <w:rPr>
                <w:spacing w:val="2"/>
                <w:w w:val="102"/>
                <w:lang w:val="fr-FR"/>
              </w:rPr>
              <w:t>l’immatriculation</w:t>
            </w:r>
            <w:r w:rsidRPr="00FD15DF">
              <w:rPr>
                <w:spacing w:val="2"/>
                <w:lang w:val="fr-FR"/>
              </w:rPr>
              <w:t xml:space="preserve"> n’est pas obligatoire) après le </w:t>
            </w:r>
            <w:r>
              <w:rPr>
                <w:spacing w:val="2"/>
                <w:lang w:val="fr-FR"/>
              </w:rPr>
              <w:t>31 mars</w:t>
            </w:r>
            <w:r w:rsidRPr="00FD15DF">
              <w:rPr>
                <w:spacing w:val="2"/>
                <w:lang w:val="fr-FR"/>
              </w:rPr>
              <w:t xml:space="preserve"> 2018.</w:t>
            </w:r>
          </w:p>
        </w:tc>
      </w:tr>
      <w:tr w:rsidR="00F41DBC" w:rsidRPr="00572E12" w:rsidTr="00333EBE">
        <w:trPr>
          <w:cantSplit/>
        </w:trPr>
        <w:tc>
          <w:tcPr>
            <w:tcW w:w="93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p>
        </w:tc>
        <w:tc>
          <w:tcPr>
            <w:tcW w:w="2190" w:type="dxa"/>
            <w:tcBorders>
              <w:top w:val="nil"/>
            </w:tcBorders>
          </w:tcPr>
          <w:p w:rsidR="00F41DBC" w:rsidRPr="00A57C05" w:rsidRDefault="00F41DBC" w:rsidP="00333EBE">
            <w:pPr>
              <w:tabs>
                <w:tab w:val="left" w:pos="288"/>
                <w:tab w:val="left" w:pos="576"/>
                <w:tab w:val="left" w:pos="864"/>
                <w:tab w:val="left" w:pos="1152"/>
              </w:tabs>
              <w:spacing w:before="40" w:after="80"/>
              <w:ind w:left="43" w:right="43"/>
            </w:pPr>
          </w:p>
        </w:tc>
        <w:tc>
          <w:tcPr>
            <w:tcW w:w="469" w:type="dxa"/>
            <w:tcBorders>
              <w:top w:val="nil"/>
            </w:tcBorders>
          </w:tcPr>
          <w:p w:rsidR="00F41DBC" w:rsidRPr="00A57C05" w:rsidRDefault="00F41DBC" w:rsidP="00333EBE">
            <w:pPr>
              <w:tabs>
                <w:tab w:val="left" w:pos="288"/>
                <w:tab w:val="left" w:pos="576"/>
                <w:tab w:val="left" w:pos="864"/>
                <w:tab w:val="left" w:pos="1152"/>
              </w:tabs>
              <w:spacing w:before="40" w:after="80"/>
              <w:ind w:left="43" w:right="43"/>
              <w:jc w:val="cente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Borders>
              <w:top w:val="nil"/>
            </w:tcBorders>
          </w:tcPr>
          <w:p w:rsidR="00F41DBC" w:rsidRPr="00FD15DF" w:rsidRDefault="0057577A">
            <w:pPr>
              <w:tabs>
                <w:tab w:val="left" w:pos="216"/>
                <w:tab w:val="left" w:pos="288"/>
                <w:tab w:val="left" w:pos="576"/>
                <w:tab w:val="left" w:pos="864"/>
                <w:tab w:val="left" w:pos="1152"/>
              </w:tabs>
              <w:spacing w:before="40" w:after="80"/>
              <w:ind w:left="216" w:right="43" w:hanging="173"/>
              <w:rPr>
                <w:spacing w:val="2"/>
                <w:vertAlign w:val="superscript"/>
                <w:lang w:val="fr-FR"/>
              </w:rPr>
            </w:pPr>
            <w:r>
              <w:rPr>
                <w:i/>
                <w:vertAlign w:val="superscript"/>
                <w:lang w:val="fr-FR"/>
              </w:rPr>
              <w:t>c</w:t>
            </w:r>
            <w:r w:rsidRPr="009C37D3">
              <w:rPr>
                <w:lang w:val="fr-FR"/>
              </w:rPr>
              <w:tab/>
              <w:t xml:space="preserve">Applicable aux véhicules à moteur d’une masse </w:t>
            </w:r>
            <w:r w:rsidRPr="009C37D3">
              <w:t>maximale</w:t>
            </w:r>
            <w:r w:rsidRPr="009C37D3">
              <w:rPr>
                <w:lang w:val="fr-FR"/>
              </w:rPr>
              <w:t xml:space="preserve"> </w:t>
            </w:r>
            <w:r w:rsidRPr="009C37D3">
              <w:rPr>
                <w:w w:val="102"/>
                <w:lang w:val="fr-FR"/>
              </w:rPr>
              <w:t>supérieure</w:t>
            </w:r>
            <w:r w:rsidRPr="009C37D3">
              <w:rPr>
                <w:lang w:val="fr-FR"/>
              </w:rPr>
              <w:t xml:space="preserve"> à 3,5</w:t>
            </w:r>
            <w:r>
              <w:rPr>
                <w:lang w:val="fr-FR"/>
              </w:rPr>
              <w:t> tonnes</w:t>
            </w:r>
            <w:r w:rsidRPr="009C37D3">
              <w:rPr>
                <w:lang w:val="fr-FR"/>
              </w:rPr>
              <w:t xml:space="preserve"> </w:t>
            </w:r>
            <w:r w:rsidR="00A21EDE">
              <w:rPr>
                <w:lang w:val="fr-FR"/>
              </w:rPr>
              <w:t>destinés à</w:t>
            </w:r>
            <w:r w:rsidRPr="009C37D3">
              <w:rPr>
                <w:lang w:val="fr-FR"/>
              </w:rPr>
              <w:t xml:space="preserve"> tracter des remorques et aux remorques d’une masse maximale supérieure à 3,5</w:t>
            </w:r>
            <w:r>
              <w:rPr>
                <w:lang w:val="fr-FR"/>
              </w:rPr>
              <w:t> tonnes</w:t>
            </w:r>
            <w:r w:rsidRPr="009C37D3">
              <w:rPr>
                <w:lang w:val="fr-FR"/>
              </w:rPr>
              <w:t xml:space="preserve"> immatriculés pour la première fois (ou </w:t>
            </w:r>
            <w:r w:rsidR="00A21EDE">
              <w:rPr>
                <w:lang w:val="fr-FR"/>
              </w:rPr>
              <w:t>mis</w:t>
            </w:r>
            <w:r w:rsidRPr="009C37D3">
              <w:rPr>
                <w:lang w:val="fr-FR"/>
              </w:rPr>
              <w:t xml:space="preserve"> en service, dans le cas où l’immatriculation n’est pas obligatoire) après le </w:t>
            </w:r>
            <w:r>
              <w:rPr>
                <w:lang w:val="fr-FR"/>
              </w:rPr>
              <w:t>31 mars</w:t>
            </w:r>
            <w:r w:rsidRPr="009C37D3">
              <w:rPr>
                <w:lang w:val="fr-FR"/>
              </w:rPr>
              <w:t xml:space="preserve"> 2018.</w:t>
            </w: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9.2.2.7</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Tension</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9.2.2.8</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Coupe</w:t>
            </w:r>
            <w:r w:rsidRPr="00572E12">
              <w:rPr>
                <w:lang w:val="fr-FR"/>
              </w:rPr>
              <w:t>-circuit de</w:t>
            </w:r>
            <w:r>
              <w:rPr>
                <w:lang w:val="fr-FR"/>
              </w:rPr>
              <w:t> </w:t>
            </w:r>
            <w:r w:rsidRPr="00572E12">
              <w:rPr>
                <w:lang w:val="fr-FR"/>
              </w:rPr>
              <w:t>batterie</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9.2.2.9</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Circuits</w:t>
            </w:r>
            <w:r w:rsidRPr="00572E12">
              <w:rPr>
                <w:lang w:val="fr-FR"/>
              </w:rPr>
              <w:t xml:space="preserve"> alimentés en</w:t>
            </w:r>
            <w:r>
              <w:rPr>
                <w:lang w:val="fr-FR"/>
              </w:rPr>
              <w:t> </w:t>
            </w:r>
            <w:r w:rsidRPr="00572E12">
              <w:rPr>
                <w:lang w:val="fr-FR"/>
              </w:rPr>
              <w:t>permanence</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9.2.2.9.1</w:t>
            </w:r>
          </w:p>
        </w:tc>
        <w:tc>
          <w:tcPr>
            <w:tcW w:w="2190" w:type="dxa"/>
          </w:tcPr>
          <w:p w:rsidR="00F41DBC" w:rsidRPr="00572E12" w:rsidRDefault="00F41DBC" w:rsidP="00333EBE">
            <w:pPr>
              <w:ind w:left="43" w:right="43"/>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9.2.2.9.2</w:t>
            </w:r>
          </w:p>
        </w:tc>
        <w:tc>
          <w:tcPr>
            <w:tcW w:w="2190" w:type="dxa"/>
          </w:tcPr>
          <w:p w:rsidR="00F41DBC" w:rsidRPr="00572E12" w:rsidRDefault="00F41DBC" w:rsidP="00333EBE">
            <w:pPr>
              <w:ind w:left="43" w:right="43"/>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b/>
                <w:lang w:val="fr-FR"/>
              </w:rPr>
            </w:pPr>
            <w:r w:rsidRPr="00572E12">
              <w:rPr>
                <w:b/>
                <w:lang w:val="fr-FR"/>
              </w:rPr>
              <w:lastRenderedPageBreak/>
              <w:t>9.2.3</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b/>
                <w:lang w:val="fr-FR"/>
              </w:rPr>
            </w:pPr>
            <w:r w:rsidRPr="00572E12">
              <w:rPr>
                <w:b/>
                <w:lang w:val="fr-FR"/>
              </w:rPr>
              <w:t>ÉQUIPEMENT DE</w:t>
            </w:r>
            <w:r>
              <w:rPr>
                <w:b/>
                <w:lang w:val="fr-FR"/>
              </w:rPr>
              <w:t> </w:t>
            </w:r>
            <w:r w:rsidRPr="00572E12">
              <w:rPr>
                <w:b/>
                <w:lang w:val="fr-FR"/>
              </w:rPr>
              <w:t>FREINAGE</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9.2.3.1</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Dispositions</w:t>
            </w:r>
            <w:r w:rsidRPr="00572E12">
              <w:rPr>
                <w:lang w:val="fr-FR"/>
              </w:rPr>
              <w:t xml:space="preserve"> générales</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Height w:val="557"/>
        </w:trPr>
        <w:tc>
          <w:tcPr>
            <w:tcW w:w="939" w:type="dxa"/>
            <w:tcBorders>
              <w:bottom w:val="nil"/>
            </w:tcBorders>
          </w:tcPr>
          <w:p w:rsidR="00F41DBC" w:rsidRPr="00572E12" w:rsidRDefault="00F41DBC" w:rsidP="00333EBE">
            <w:pPr>
              <w:ind w:left="43" w:right="43"/>
              <w:rPr>
                <w:lang w:val="fr-FR"/>
              </w:rPr>
            </w:pPr>
          </w:p>
        </w:tc>
        <w:tc>
          <w:tcPr>
            <w:tcW w:w="2190"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Dispositif</w:t>
            </w:r>
            <w:r w:rsidRPr="00572E12">
              <w:rPr>
                <w:lang w:val="fr-FR"/>
              </w:rPr>
              <w:t xml:space="preserve"> de freinage antiblocage</w:t>
            </w:r>
          </w:p>
        </w:tc>
        <w:tc>
          <w:tcPr>
            <w:tcW w:w="469" w:type="dxa"/>
            <w:tcBorders>
              <w:bottom w:val="nil"/>
            </w:tcBorders>
          </w:tcPr>
          <w:p w:rsidR="00F41DBC" w:rsidRPr="00572E12" w:rsidRDefault="000E13F7">
            <w:pPr>
              <w:tabs>
                <w:tab w:val="left" w:pos="288"/>
                <w:tab w:val="left" w:pos="576"/>
                <w:tab w:val="left" w:pos="864"/>
                <w:tab w:val="left" w:pos="1152"/>
              </w:tabs>
              <w:spacing w:before="40" w:after="80"/>
              <w:ind w:left="43" w:right="43"/>
              <w:jc w:val="center"/>
              <w:rPr>
                <w:lang w:val="fr-FR"/>
              </w:rPr>
            </w:pPr>
            <w:r w:rsidRPr="00A57C05">
              <w:t>X</w:t>
            </w:r>
            <w:r>
              <w:rPr>
                <w:i/>
                <w:vertAlign w:val="superscript"/>
              </w:rPr>
              <w:t>e</w:t>
            </w:r>
          </w:p>
        </w:tc>
        <w:tc>
          <w:tcPr>
            <w:tcW w:w="469" w:type="dxa"/>
            <w:tcBorders>
              <w:bottom w:val="nil"/>
            </w:tcBorders>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d</w:t>
            </w:r>
            <w:proofErr w:type="spellEnd"/>
            <w:r>
              <w:rPr>
                <w:i/>
                <w:vertAlign w:val="superscript"/>
                <w:lang w:val="fr-FR"/>
              </w:rPr>
              <w:t xml:space="preserve"> </w:t>
            </w:r>
            <w:r>
              <w:rPr>
                <w:i/>
                <w:vertAlign w:val="superscript"/>
              </w:rPr>
              <w:t>e</w:t>
            </w:r>
          </w:p>
        </w:tc>
        <w:tc>
          <w:tcPr>
            <w:tcW w:w="469" w:type="dxa"/>
            <w:tcBorders>
              <w:bottom w:val="nil"/>
            </w:tcBorders>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d</w:t>
            </w:r>
            <w:proofErr w:type="spellEnd"/>
            <w:r>
              <w:rPr>
                <w:i/>
                <w:vertAlign w:val="superscript"/>
                <w:lang w:val="fr-FR"/>
              </w:rPr>
              <w:t xml:space="preserve"> </w:t>
            </w:r>
            <w:r>
              <w:rPr>
                <w:i/>
                <w:vertAlign w:val="superscript"/>
              </w:rPr>
              <w:t>e</w:t>
            </w:r>
          </w:p>
        </w:tc>
        <w:tc>
          <w:tcPr>
            <w:tcW w:w="469" w:type="dxa"/>
            <w:tcBorders>
              <w:bottom w:val="nil"/>
            </w:tcBorders>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d</w:t>
            </w:r>
            <w:proofErr w:type="spellEnd"/>
            <w:r>
              <w:rPr>
                <w:i/>
                <w:vertAlign w:val="superscript"/>
                <w:lang w:val="fr-FR"/>
              </w:rPr>
              <w:t xml:space="preserve"> </w:t>
            </w:r>
            <w:r>
              <w:rPr>
                <w:i/>
                <w:vertAlign w:val="superscript"/>
              </w:rPr>
              <w:t>e</w:t>
            </w:r>
          </w:p>
        </w:tc>
        <w:tc>
          <w:tcPr>
            <w:tcW w:w="5046" w:type="dxa"/>
            <w:tcBorders>
              <w:bottom w:val="nil"/>
            </w:tcBorders>
          </w:tcPr>
          <w:p w:rsidR="00F41DBC" w:rsidRPr="00572E12" w:rsidRDefault="000E13F7" w:rsidP="00333EBE">
            <w:pPr>
              <w:tabs>
                <w:tab w:val="left" w:pos="216"/>
                <w:tab w:val="left" w:pos="288"/>
                <w:tab w:val="left" w:pos="576"/>
                <w:tab w:val="left" w:pos="864"/>
                <w:tab w:val="left" w:pos="1152"/>
              </w:tabs>
              <w:spacing w:before="40" w:after="80"/>
              <w:ind w:left="216" w:right="43" w:hanging="173"/>
              <w:rPr>
                <w:lang w:val="fr-FR"/>
              </w:rPr>
            </w:pPr>
            <w:r>
              <w:rPr>
                <w:i/>
                <w:vertAlign w:val="superscript"/>
                <w:lang w:val="fr-FR"/>
              </w:rPr>
              <w:t>d</w:t>
            </w:r>
            <w:r w:rsidR="00F41DBC">
              <w:rPr>
                <w:lang w:val="fr-FR"/>
              </w:rPr>
              <w:tab/>
            </w:r>
            <w:r w:rsidR="00F41DBC" w:rsidRPr="00572E12">
              <w:rPr>
                <w:lang w:val="fr-FR"/>
              </w:rPr>
              <w:t>Applicable aux véhicules à moteur (tracteurs et porteurs) d’une masse maximale dépassant 16</w:t>
            </w:r>
            <w:r w:rsidR="00F41DBC">
              <w:rPr>
                <w:lang w:val="fr-FR"/>
              </w:rPr>
              <w:t> t</w:t>
            </w:r>
            <w:r w:rsidR="003B48E3">
              <w:rPr>
                <w:lang w:val="fr-FR"/>
              </w:rPr>
              <w:t>onnes</w:t>
            </w:r>
            <w:r w:rsidR="00F41DBC" w:rsidRPr="00572E12">
              <w:rPr>
                <w:lang w:val="fr-FR"/>
              </w:rPr>
              <w:t xml:space="preserve"> et aux véhicules à moteur autorisés à tracter des remorques (c’est-à-dire les remorques </w:t>
            </w:r>
            <w:r w:rsidR="00F41DBC" w:rsidRPr="00A57C05">
              <w:t>complètes</w:t>
            </w:r>
            <w:r w:rsidR="00F41DBC" w:rsidRPr="00572E12">
              <w:rPr>
                <w:lang w:val="fr-FR"/>
              </w:rPr>
              <w:t>, les semi-remorques et les remorques à essieu central) d’une masse maximale dépassant 10</w:t>
            </w:r>
            <w:r w:rsidR="00F41DBC">
              <w:rPr>
                <w:lang w:val="fr-FR"/>
              </w:rPr>
              <w:t> t</w:t>
            </w:r>
            <w:r w:rsidR="003B48E3">
              <w:rPr>
                <w:lang w:val="fr-FR"/>
              </w:rPr>
              <w:t>onnes</w:t>
            </w:r>
            <w:r w:rsidR="00F41DBC" w:rsidRPr="00572E12">
              <w:rPr>
                <w:lang w:val="fr-FR"/>
              </w:rPr>
              <w:t>. Les véhicules à moteur doivent être équipés d’un dispositif de freinage antiblocage de la catégorie 1.</w:t>
            </w:r>
          </w:p>
        </w:tc>
      </w:tr>
      <w:tr w:rsidR="00F41DBC" w:rsidRPr="00572E12" w:rsidTr="00333EBE">
        <w:trPr>
          <w:cantSplit/>
          <w:trHeight w:val="557"/>
        </w:trPr>
        <w:tc>
          <w:tcPr>
            <w:tcW w:w="939" w:type="dxa"/>
            <w:tcBorders>
              <w:top w:val="nil"/>
              <w:bottom w:val="nil"/>
            </w:tcBorders>
          </w:tcPr>
          <w:p w:rsidR="00F41DBC" w:rsidRPr="00572E12" w:rsidRDefault="00F41DBC" w:rsidP="00333EBE">
            <w:pPr>
              <w:ind w:left="43" w:right="43"/>
              <w:rPr>
                <w:lang w:val="fr-FR"/>
              </w:rPr>
            </w:pPr>
          </w:p>
        </w:tc>
        <w:tc>
          <w:tcPr>
            <w:tcW w:w="2190" w:type="dxa"/>
            <w:tcBorders>
              <w:top w:val="nil"/>
              <w:bottom w:val="nil"/>
            </w:tcBorders>
          </w:tcPr>
          <w:p w:rsidR="00F41DBC" w:rsidRPr="00A57C05" w:rsidRDefault="00F41DBC" w:rsidP="00333EBE">
            <w:pPr>
              <w:tabs>
                <w:tab w:val="left" w:pos="288"/>
                <w:tab w:val="left" w:pos="576"/>
                <w:tab w:val="left" w:pos="864"/>
                <w:tab w:val="left" w:pos="1152"/>
              </w:tabs>
              <w:spacing w:before="40" w:after="80"/>
              <w:ind w:left="43" w:right="43"/>
            </w:pPr>
          </w:p>
        </w:tc>
        <w:tc>
          <w:tcPr>
            <w:tcW w:w="469" w:type="dxa"/>
            <w:tcBorders>
              <w:top w:val="nil"/>
              <w:bottom w:val="nil"/>
            </w:tcBorders>
          </w:tcPr>
          <w:p w:rsidR="00F41DBC" w:rsidRPr="00A57C05" w:rsidRDefault="00F41DBC" w:rsidP="00333EBE">
            <w:pPr>
              <w:tabs>
                <w:tab w:val="left" w:pos="288"/>
                <w:tab w:val="left" w:pos="576"/>
                <w:tab w:val="left" w:pos="864"/>
                <w:tab w:val="left" w:pos="1152"/>
              </w:tabs>
              <w:spacing w:before="40" w:after="80"/>
              <w:ind w:left="43" w:right="43"/>
              <w:jc w:val="center"/>
            </w:pPr>
          </w:p>
        </w:tc>
        <w:tc>
          <w:tcPr>
            <w:tcW w:w="469" w:type="dxa"/>
            <w:tcBorders>
              <w:top w:val="nil"/>
              <w:bottom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bottom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bottom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Borders>
              <w:top w:val="nil"/>
              <w:bottom w:val="nil"/>
            </w:tcBorders>
          </w:tcPr>
          <w:p w:rsidR="00F41DBC" w:rsidRPr="00572E12" w:rsidRDefault="00F41DBC" w:rsidP="00333EBE">
            <w:pPr>
              <w:tabs>
                <w:tab w:val="left" w:pos="216"/>
                <w:tab w:val="left" w:pos="288"/>
                <w:tab w:val="left" w:pos="576"/>
                <w:tab w:val="left" w:pos="864"/>
                <w:tab w:val="left" w:pos="1152"/>
              </w:tabs>
              <w:spacing w:before="40" w:after="80"/>
              <w:ind w:left="216" w:right="43" w:hanging="173"/>
              <w:rPr>
                <w:vertAlign w:val="superscript"/>
                <w:lang w:val="fr-FR"/>
              </w:rPr>
            </w:pPr>
            <w:r>
              <w:rPr>
                <w:lang w:val="fr-FR"/>
              </w:rPr>
              <w:tab/>
            </w:r>
            <w:r w:rsidRPr="00572E12">
              <w:rPr>
                <w:lang w:val="fr-FR"/>
              </w:rPr>
              <w:t xml:space="preserve">Applicable aux remorques (c’est-à-dire les remorques complètes, les semi-remorques et les remorques à essieu central) d’une masse maximale </w:t>
            </w:r>
            <w:r w:rsidRPr="00A57C05">
              <w:t>dépassant</w:t>
            </w:r>
            <w:r w:rsidRPr="00572E12">
              <w:rPr>
                <w:lang w:val="fr-FR"/>
              </w:rPr>
              <w:t xml:space="preserve"> 10</w:t>
            </w:r>
            <w:r>
              <w:rPr>
                <w:lang w:val="fr-FR"/>
              </w:rPr>
              <w:t> t</w:t>
            </w:r>
            <w:r w:rsidR="003B48E3">
              <w:rPr>
                <w:lang w:val="fr-FR"/>
              </w:rPr>
              <w:t>onnes</w:t>
            </w:r>
            <w:r w:rsidRPr="00572E12">
              <w:rPr>
                <w:lang w:val="fr-FR"/>
              </w:rPr>
              <w:t>. Les remorques doivent être équipées d’un dispositif de freinage antiblocage de la catégorie A.</w:t>
            </w:r>
          </w:p>
        </w:tc>
      </w:tr>
      <w:tr w:rsidR="00F41DBC" w:rsidRPr="00572E12" w:rsidTr="00333EBE">
        <w:trPr>
          <w:cantSplit/>
          <w:trHeight w:val="557"/>
        </w:trPr>
        <w:tc>
          <w:tcPr>
            <w:tcW w:w="939" w:type="dxa"/>
            <w:tcBorders>
              <w:top w:val="nil"/>
            </w:tcBorders>
          </w:tcPr>
          <w:p w:rsidR="00F41DBC" w:rsidRPr="00572E12" w:rsidRDefault="00F41DBC" w:rsidP="00333EBE">
            <w:pPr>
              <w:ind w:left="43" w:right="43"/>
              <w:rPr>
                <w:lang w:val="fr-FR"/>
              </w:rPr>
            </w:pPr>
          </w:p>
        </w:tc>
        <w:tc>
          <w:tcPr>
            <w:tcW w:w="2190" w:type="dxa"/>
            <w:tcBorders>
              <w:top w:val="nil"/>
            </w:tcBorders>
          </w:tcPr>
          <w:p w:rsidR="00F41DBC" w:rsidRPr="00A57C05" w:rsidRDefault="00F41DBC" w:rsidP="00333EBE">
            <w:pPr>
              <w:tabs>
                <w:tab w:val="left" w:pos="288"/>
                <w:tab w:val="left" w:pos="576"/>
                <w:tab w:val="left" w:pos="864"/>
                <w:tab w:val="left" w:pos="1152"/>
              </w:tabs>
              <w:spacing w:before="40" w:after="80"/>
              <w:ind w:left="43" w:right="43"/>
            </w:pPr>
          </w:p>
        </w:tc>
        <w:tc>
          <w:tcPr>
            <w:tcW w:w="469" w:type="dxa"/>
            <w:tcBorders>
              <w:top w:val="nil"/>
            </w:tcBorders>
          </w:tcPr>
          <w:p w:rsidR="00F41DBC" w:rsidRPr="00A57C05" w:rsidRDefault="00F41DBC" w:rsidP="00333EBE">
            <w:pPr>
              <w:tabs>
                <w:tab w:val="left" w:pos="288"/>
                <w:tab w:val="left" w:pos="576"/>
                <w:tab w:val="left" w:pos="864"/>
                <w:tab w:val="left" w:pos="1152"/>
              </w:tabs>
              <w:spacing w:before="40" w:after="80"/>
              <w:ind w:left="43" w:right="43"/>
              <w:jc w:val="cente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Borders>
              <w:top w:val="nil"/>
            </w:tcBorders>
          </w:tcPr>
          <w:p w:rsidR="00F41DBC" w:rsidRPr="00572E12" w:rsidRDefault="000E13F7">
            <w:pPr>
              <w:tabs>
                <w:tab w:val="left" w:pos="216"/>
                <w:tab w:val="left" w:pos="288"/>
                <w:tab w:val="left" w:pos="576"/>
                <w:tab w:val="left" w:pos="864"/>
                <w:tab w:val="left" w:pos="1152"/>
              </w:tabs>
              <w:spacing w:before="40" w:after="80"/>
              <w:ind w:left="216" w:right="43" w:hanging="173"/>
              <w:rPr>
                <w:vertAlign w:val="superscript"/>
                <w:lang w:val="fr-FR"/>
              </w:rPr>
            </w:pPr>
            <w:r>
              <w:rPr>
                <w:i/>
                <w:vertAlign w:val="superscript"/>
                <w:lang w:val="fr-FR"/>
              </w:rPr>
              <w:t>e</w:t>
            </w:r>
            <w:r w:rsidR="00F41DBC">
              <w:rPr>
                <w:vertAlign w:val="superscript"/>
                <w:lang w:val="fr-FR"/>
              </w:rPr>
              <w:tab/>
            </w:r>
            <w:r w:rsidR="00F41DBC" w:rsidRPr="00572E12">
              <w:rPr>
                <w:lang w:val="fr-FR"/>
              </w:rPr>
              <w:t xml:space="preserve">Applicable à tous les véhicules à moteur, ainsi qu’aux </w:t>
            </w:r>
            <w:r w:rsidR="00F41DBC" w:rsidRPr="00A57C05">
              <w:t>remorques d’une masse maximale supérieur</w:t>
            </w:r>
            <w:r w:rsidR="00F41DBC" w:rsidRPr="00572E12">
              <w:rPr>
                <w:lang w:val="fr-FR"/>
              </w:rPr>
              <w:t>e à 3,5</w:t>
            </w:r>
            <w:r w:rsidR="00F41DBC">
              <w:rPr>
                <w:lang w:val="fr-FR"/>
              </w:rPr>
              <w:t> t</w:t>
            </w:r>
            <w:r w:rsidR="003B48E3">
              <w:rPr>
                <w:lang w:val="fr-FR"/>
              </w:rPr>
              <w:t>onnes</w:t>
            </w:r>
            <w:r w:rsidR="00F41DBC" w:rsidRPr="00572E12">
              <w:rPr>
                <w:lang w:val="fr-FR"/>
              </w:rPr>
              <w:t xml:space="preserve">, </w:t>
            </w:r>
            <w:r w:rsidR="00F41DBC" w:rsidRPr="004222C8">
              <w:rPr>
                <w:spacing w:val="2"/>
                <w:w w:val="102"/>
                <w:lang w:val="fr-FR"/>
              </w:rPr>
              <w:t>immatriculés</w:t>
            </w:r>
            <w:r w:rsidR="00F41DBC" w:rsidRPr="00572E12">
              <w:rPr>
                <w:lang w:val="fr-FR"/>
              </w:rPr>
              <w:t xml:space="preserve"> pour la première fois (ou </w:t>
            </w:r>
            <w:r w:rsidR="00A21EDE">
              <w:rPr>
                <w:lang w:val="fr-FR"/>
              </w:rPr>
              <w:t>mis</w:t>
            </w:r>
            <w:r w:rsidR="00F41DBC" w:rsidRPr="00572E12">
              <w:rPr>
                <w:lang w:val="fr-FR"/>
              </w:rPr>
              <w:t xml:space="preserve"> en service, dans le cas où l’immatriculation n’est pas obligatoire) après le </w:t>
            </w:r>
            <w:r>
              <w:rPr>
                <w:lang w:val="fr-FR"/>
              </w:rPr>
              <w:t>31 mars</w:t>
            </w:r>
            <w:r w:rsidR="00F41DBC" w:rsidRPr="00572E12">
              <w:rPr>
                <w:lang w:val="fr-FR"/>
              </w:rPr>
              <w:t xml:space="preserve"> 2018.</w:t>
            </w:r>
          </w:p>
        </w:tc>
      </w:tr>
      <w:tr w:rsidR="00F41DBC" w:rsidRPr="00572E12" w:rsidTr="00333EBE">
        <w:trPr>
          <w:cantSplit/>
        </w:trPr>
        <w:tc>
          <w:tcPr>
            <w:tcW w:w="939" w:type="dxa"/>
            <w:tcBorders>
              <w:bottom w:val="nil"/>
            </w:tcBorders>
          </w:tcPr>
          <w:p w:rsidR="00F41DBC" w:rsidRPr="00572E12" w:rsidRDefault="00F41DBC" w:rsidP="00333EBE">
            <w:pPr>
              <w:ind w:left="43" w:right="43"/>
              <w:rPr>
                <w:lang w:val="fr-FR"/>
              </w:rPr>
            </w:pPr>
          </w:p>
        </w:tc>
        <w:tc>
          <w:tcPr>
            <w:tcW w:w="2190"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 xml:space="preserve">Dispositif de freinage </w:t>
            </w:r>
            <w:r w:rsidRPr="00A57C05">
              <w:t>d’endurance</w:t>
            </w:r>
          </w:p>
        </w:tc>
        <w:tc>
          <w:tcPr>
            <w:tcW w:w="469" w:type="dxa"/>
            <w:tcBorders>
              <w:bottom w:val="nil"/>
            </w:tcBorders>
          </w:tcPr>
          <w:p w:rsidR="00F41DBC" w:rsidRPr="00572E12" w:rsidRDefault="004D2E43" w:rsidP="006973AE">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f</w:t>
            </w:r>
            <w:proofErr w:type="spellEnd"/>
          </w:p>
        </w:tc>
        <w:tc>
          <w:tcPr>
            <w:tcW w:w="469" w:type="dxa"/>
            <w:tcBorders>
              <w:bottom w:val="nil"/>
            </w:tcBorders>
          </w:tcPr>
          <w:p w:rsidR="00F41DBC" w:rsidRPr="00572E12" w:rsidRDefault="000E13F7" w:rsidP="006973AE">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sidR="004D2E43">
              <w:rPr>
                <w:i/>
                <w:vertAlign w:val="superscript"/>
                <w:lang w:val="fr-FR"/>
              </w:rPr>
              <w:t>g</w:t>
            </w:r>
            <w:proofErr w:type="spellEnd"/>
          </w:p>
        </w:tc>
        <w:tc>
          <w:tcPr>
            <w:tcW w:w="469" w:type="dxa"/>
            <w:tcBorders>
              <w:bottom w:val="nil"/>
            </w:tcBorders>
          </w:tcPr>
          <w:p w:rsidR="00F41DBC" w:rsidRPr="00572E12" w:rsidRDefault="000E13F7" w:rsidP="006973AE">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sidR="004D2E43">
              <w:rPr>
                <w:i/>
                <w:vertAlign w:val="superscript"/>
                <w:lang w:val="fr-FR"/>
              </w:rPr>
              <w:t>g</w:t>
            </w:r>
            <w:proofErr w:type="spellEnd"/>
          </w:p>
        </w:tc>
        <w:tc>
          <w:tcPr>
            <w:tcW w:w="469" w:type="dxa"/>
            <w:tcBorders>
              <w:bottom w:val="nil"/>
            </w:tcBorders>
          </w:tcPr>
          <w:p w:rsidR="00F41DBC" w:rsidRPr="00572E12" w:rsidRDefault="000E13F7" w:rsidP="006973AE">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sidR="004D2E43">
              <w:rPr>
                <w:i/>
                <w:vertAlign w:val="superscript"/>
                <w:lang w:val="fr-FR"/>
              </w:rPr>
              <w:t>g</w:t>
            </w:r>
            <w:proofErr w:type="spellEnd"/>
          </w:p>
        </w:tc>
        <w:tc>
          <w:tcPr>
            <w:tcW w:w="5046" w:type="dxa"/>
            <w:tcBorders>
              <w:bottom w:val="nil"/>
            </w:tcBorders>
          </w:tcPr>
          <w:p w:rsidR="00F41DBC" w:rsidRPr="00FD15DF" w:rsidRDefault="004D2E43" w:rsidP="006973AE">
            <w:pPr>
              <w:tabs>
                <w:tab w:val="left" w:pos="216"/>
                <w:tab w:val="left" w:pos="288"/>
                <w:tab w:val="left" w:pos="576"/>
                <w:tab w:val="left" w:pos="864"/>
                <w:tab w:val="left" w:pos="1152"/>
              </w:tabs>
              <w:spacing w:before="40" w:after="80"/>
              <w:ind w:left="216" w:right="43" w:hanging="173"/>
              <w:rPr>
                <w:spacing w:val="2"/>
                <w:lang w:val="fr-FR"/>
              </w:rPr>
            </w:pPr>
            <w:r>
              <w:rPr>
                <w:spacing w:val="2"/>
                <w:w w:val="102"/>
                <w:vertAlign w:val="superscript"/>
                <w:lang w:val="fr-FR"/>
              </w:rPr>
              <w:t>f</w:t>
            </w:r>
            <w:r>
              <w:rPr>
                <w:spacing w:val="2"/>
                <w:w w:val="102"/>
                <w:lang w:val="fr-FR"/>
              </w:rPr>
              <w:tab/>
            </w:r>
            <w:r w:rsidRPr="00B16896">
              <w:rPr>
                <w:lang w:val="fr-FR"/>
              </w:rPr>
              <w:t>Applicable aux véhicules à moteur d’une masse maximale dépassant 16 tonnes ou autorisés à tracter des remorques d’une masse maximale dépassant 10 tonnes immatriculés pour la première fois après le 31 mars 2018. Le dispositif de freinage d’endurance doit être du type IIA.</w:t>
            </w:r>
          </w:p>
        </w:tc>
      </w:tr>
      <w:tr w:rsidR="00F41DBC" w:rsidRPr="00572E12" w:rsidTr="00333EBE">
        <w:trPr>
          <w:cantSplit/>
        </w:trPr>
        <w:tc>
          <w:tcPr>
            <w:tcW w:w="939" w:type="dxa"/>
            <w:tcBorders>
              <w:top w:val="nil"/>
            </w:tcBorders>
          </w:tcPr>
          <w:p w:rsidR="00F41DBC" w:rsidRPr="00572E12" w:rsidRDefault="00F41DBC" w:rsidP="00333EBE">
            <w:pPr>
              <w:ind w:left="43" w:right="43"/>
              <w:rPr>
                <w:lang w:val="fr-FR"/>
              </w:rPr>
            </w:pPr>
          </w:p>
        </w:tc>
        <w:tc>
          <w:tcPr>
            <w:tcW w:w="2190"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Borders>
              <w:top w:val="nil"/>
            </w:tcBorders>
          </w:tcPr>
          <w:p w:rsidR="00F41DBC" w:rsidRPr="00FD15DF" w:rsidRDefault="004D2E43">
            <w:pPr>
              <w:tabs>
                <w:tab w:val="left" w:pos="216"/>
                <w:tab w:val="left" w:pos="288"/>
                <w:tab w:val="left" w:pos="576"/>
                <w:tab w:val="left" w:pos="864"/>
                <w:tab w:val="left" w:pos="1152"/>
              </w:tabs>
              <w:spacing w:before="40" w:after="80"/>
              <w:ind w:left="216" w:right="43" w:hanging="173"/>
              <w:rPr>
                <w:spacing w:val="2"/>
                <w:w w:val="102"/>
                <w:vertAlign w:val="superscript"/>
                <w:lang w:val="fr-FR"/>
              </w:rPr>
            </w:pPr>
            <w:r>
              <w:rPr>
                <w:spacing w:val="2"/>
                <w:vertAlign w:val="superscript"/>
                <w:lang w:val="fr-FR"/>
              </w:rPr>
              <w:t>g</w:t>
            </w:r>
            <w:r>
              <w:rPr>
                <w:spacing w:val="2"/>
                <w:lang w:val="fr-FR"/>
              </w:rPr>
              <w:tab/>
            </w:r>
            <w:r w:rsidRPr="004222C8">
              <w:rPr>
                <w:spacing w:val="2"/>
                <w:w w:val="102"/>
                <w:lang w:val="fr-FR"/>
              </w:rPr>
              <w:t>Applicable</w:t>
            </w:r>
            <w:r w:rsidRPr="00FD15DF">
              <w:rPr>
                <w:spacing w:val="2"/>
                <w:lang w:val="fr-FR"/>
              </w:rPr>
              <w:t xml:space="preserve"> aux véhicules à moteur d’une masse maximale </w:t>
            </w:r>
            <w:r w:rsidRPr="00FD15DF">
              <w:rPr>
                <w:spacing w:val="2"/>
              </w:rPr>
              <w:t>dépassant</w:t>
            </w:r>
            <w:r w:rsidRPr="00FD15DF">
              <w:rPr>
                <w:spacing w:val="2"/>
                <w:lang w:val="fr-FR"/>
              </w:rPr>
              <w:t xml:space="preserve"> 16</w:t>
            </w:r>
            <w:r>
              <w:rPr>
                <w:spacing w:val="2"/>
                <w:lang w:val="fr-FR"/>
              </w:rPr>
              <w:t> tonnes</w:t>
            </w:r>
            <w:r w:rsidRPr="00FD15DF">
              <w:rPr>
                <w:spacing w:val="2"/>
                <w:lang w:val="fr-FR"/>
              </w:rPr>
              <w:t xml:space="preserve"> ou autorisés à tracter des remorques d’une masse maximale dépassant 10</w:t>
            </w:r>
            <w:r>
              <w:rPr>
                <w:spacing w:val="2"/>
                <w:lang w:val="fr-FR"/>
              </w:rPr>
              <w:t> tonnes</w:t>
            </w:r>
            <w:r w:rsidRPr="00FD15DF">
              <w:rPr>
                <w:spacing w:val="2"/>
                <w:lang w:val="fr-FR"/>
              </w:rPr>
              <w:t>. Le dispositif de freinage d’endurance doit être du type IIA.</w:t>
            </w:r>
          </w:p>
        </w:tc>
      </w:tr>
      <w:tr w:rsidR="004D2E43" w:rsidRPr="00572E12" w:rsidTr="00333EBE">
        <w:trPr>
          <w:cantSplit/>
        </w:trPr>
        <w:tc>
          <w:tcPr>
            <w:tcW w:w="939" w:type="dxa"/>
            <w:tcBorders>
              <w:top w:val="nil"/>
            </w:tcBorders>
          </w:tcPr>
          <w:p w:rsidR="004D2E43" w:rsidRPr="00572E12" w:rsidRDefault="004D2E43" w:rsidP="00333EBE">
            <w:pPr>
              <w:ind w:left="43" w:right="43"/>
              <w:rPr>
                <w:lang w:val="fr-FR"/>
              </w:rPr>
            </w:pPr>
          </w:p>
        </w:tc>
        <w:tc>
          <w:tcPr>
            <w:tcW w:w="2190" w:type="dxa"/>
            <w:tcBorders>
              <w:top w:val="nil"/>
            </w:tcBorders>
          </w:tcPr>
          <w:p w:rsidR="004D2E43" w:rsidRPr="00572E12" w:rsidRDefault="004D2E43" w:rsidP="00333EBE">
            <w:pPr>
              <w:tabs>
                <w:tab w:val="left" w:pos="288"/>
                <w:tab w:val="left" w:pos="576"/>
                <w:tab w:val="left" w:pos="864"/>
                <w:tab w:val="left" w:pos="1152"/>
              </w:tabs>
              <w:spacing w:before="40" w:after="80"/>
              <w:ind w:left="43" w:right="43"/>
              <w:rPr>
                <w:lang w:val="fr-FR"/>
              </w:rPr>
            </w:pPr>
          </w:p>
        </w:tc>
        <w:tc>
          <w:tcPr>
            <w:tcW w:w="469" w:type="dxa"/>
            <w:tcBorders>
              <w:top w:val="nil"/>
            </w:tcBorders>
          </w:tcPr>
          <w:p w:rsidR="004D2E43" w:rsidRPr="00572E12" w:rsidRDefault="004D2E43"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4D2E43" w:rsidRPr="00572E12" w:rsidRDefault="004D2E43"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4D2E43" w:rsidRPr="00572E12" w:rsidRDefault="004D2E43" w:rsidP="00333EBE">
            <w:pPr>
              <w:tabs>
                <w:tab w:val="left" w:pos="288"/>
                <w:tab w:val="left" w:pos="576"/>
                <w:tab w:val="left" w:pos="864"/>
                <w:tab w:val="left" w:pos="1152"/>
              </w:tabs>
              <w:spacing w:before="40" w:after="80"/>
              <w:ind w:left="43" w:right="43"/>
              <w:jc w:val="center"/>
              <w:rPr>
                <w:lang w:val="fr-FR"/>
              </w:rPr>
            </w:pPr>
          </w:p>
        </w:tc>
        <w:tc>
          <w:tcPr>
            <w:tcW w:w="469" w:type="dxa"/>
            <w:tcBorders>
              <w:top w:val="nil"/>
            </w:tcBorders>
          </w:tcPr>
          <w:p w:rsidR="004D2E43" w:rsidRPr="00572E12" w:rsidRDefault="004D2E43" w:rsidP="00333EBE">
            <w:pPr>
              <w:tabs>
                <w:tab w:val="left" w:pos="288"/>
                <w:tab w:val="left" w:pos="576"/>
                <w:tab w:val="left" w:pos="864"/>
                <w:tab w:val="left" w:pos="1152"/>
              </w:tabs>
              <w:spacing w:before="40" w:after="80"/>
              <w:ind w:left="43" w:right="43"/>
              <w:jc w:val="center"/>
              <w:rPr>
                <w:lang w:val="fr-FR"/>
              </w:rPr>
            </w:pPr>
          </w:p>
        </w:tc>
        <w:tc>
          <w:tcPr>
            <w:tcW w:w="5046" w:type="dxa"/>
            <w:tcBorders>
              <w:top w:val="nil"/>
            </w:tcBorders>
          </w:tcPr>
          <w:p w:rsidR="004D2E43" w:rsidRPr="00FD15DF" w:rsidDel="004D2E43" w:rsidRDefault="004D2E43">
            <w:pPr>
              <w:tabs>
                <w:tab w:val="left" w:pos="216"/>
                <w:tab w:val="left" w:pos="288"/>
                <w:tab w:val="left" w:pos="576"/>
                <w:tab w:val="left" w:pos="864"/>
                <w:tab w:val="left" w:pos="1152"/>
              </w:tabs>
              <w:spacing w:before="40" w:after="80"/>
              <w:ind w:left="216" w:right="43" w:hanging="173"/>
              <w:rPr>
                <w:spacing w:val="2"/>
                <w:w w:val="102"/>
                <w:vertAlign w:val="superscript"/>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b/>
                <w:lang w:val="fr-FR"/>
              </w:rPr>
            </w:pPr>
            <w:r w:rsidRPr="00572E12">
              <w:rPr>
                <w:b/>
                <w:lang w:val="fr-FR"/>
              </w:rPr>
              <w:t>9.2.4</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b/>
                <w:lang w:val="fr-FR"/>
              </w:rPr>
            </w:pPr>
            <w:r w:rsidRPr="00572E12">
              <w:rPr>
                <w:b/>
                <w:lang w:val="fr-FR"/>
              </w:rPr>
              <w:t>PRÉVENTION DES</w:t>
            </w:r>
            <w:r>
              <w:rPr>
                <w:b/>
                <w:lang w:val="fr-FR"/>
              </w:rPr>
              <w:t> </w:t>
            </w:r>
            <w:r w:rsidRPr="00572E12">
              <w:rPr>
                <w:b/>
                <w:lang w:val="fr-FR"/>
              </w:rPr>
              <w:t>RISQUES D’INCENDIE</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9.2.4.3</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 xml:space="preserve">Réservoirs de </w:t>
            </w:r>
            <w:r w:rsidRPr="00A57C05">
              <w:t>carburant</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9.2.4.4</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A57C05">
              <w:t>Moteur</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9.2.4.5</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 xml:space="preserve">Dispositif </w:t>
            </w:r>
            <w:r w:rsidRPr="00A57C05">
              <w:t>d’échappement</w:t>
            </w:r>
          </w:p>
        </w:tc>
        <w:tc>
          <w:tcPr>
            <w:tcW w:w="469" w:type="dxa"/>
          </w:tcPr>
          <w:p w:rsidR="00F41DBC" w:rsidRPr="00A57C05" w:rsidRDefault="00F41DBC" w:rsidP="00333EBE">
            <w:pPr>
              <w:tabs>
                <w:tab w:val="left" w:pos="288"/>
                <w:tab w:val="left" w:pos="576"/>
                <w:tab w:val="left" w:pos="864"/>
                <w:tab w:val="left" w:pos="1152"/>
              </w:tabs>
              <w:spacing w:before="40" w:after="80"/>
              <w:ind w:left="43" w:right="43"/>
              <w:jc w:val="center"/>
            </w:pPr>
            <w:r w:rsidRPr="00A57C05">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9.2.4.6</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Frein d’endurance du</w:t>
            </w:r>
            <w:r>
              <w:rPr>
                <w:lang w:val="fr-FR"/>
              </w:rPr>
              <w:t> </w:t>
            </w:r>
            <w:r w:rsidRPr="00A57C05">
              <w:t>véhicule</w:t>
            </w:r>
          </w:p>
        </w:tc>
        <w:tc>
          <w:tcPr>
            <w:tcW w:w="469" w:type="dxa"/>
          </w:tcPr>
          <w:p w:rsidR="00F41DBC" w:rsidRPr="00572E12" w:rsidRDefault="00BA5114" w:rsidP="006973AE">
            <w:pPr>
              <w:tabs>
                <w:tab w:val="left" w:pos="288"/>
                <w:tab w:val="left" w:pos="576"/>
                <w:tab w:val="left" w:pos="864"/>
                <w:tab w:val="left" w:pos="1152"/>
              </w:tabs>
              <w:spacing w:before="40" w:after="80"/>
              <w:ind w:left="43" w:right="43"/>
              <w:jc w:val="center"/>
              <w:rPr>
                <w:lang w:val="fr-FR"/>
              </w:rPr>
            </w:pPr>
            <w:proofErr w:type="spellStart"/>
            <w:r w:rsidRPr="00572E12">
              <w:rPr>
                <w:lang w:val="fr-FR"/>
              </w:rPr>
              <w:t>X</w:t>
            </w:r>
            <w:r>
              <w:rPr>
                <w:i/>
                <w:vertAlign w:val="superscript"/>
                <w:lang w:val="fr-FR"/>
              </w:rPr>
              <w:t>f</w:t>
            </w:r>
            <w:proofErr w:type="spellEnd"/>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5046" w:type="dxa"/>
          </w:tcPr>
          <w:p w:rsidR="00F41DBC" w:rsidRPr="00572E12" w:rsidRDefault="00BA5114">
            <w:pPr>
              <w:tabs>
                <w:tab w:val="left" w:pos="216"/>
                <w:tab w:val="left" w:pos="288"/>
                <w:tab w:val="left" w:pos="576"/>
                <w:tab w:val="left" w:pos="864"/>
                <w:tab w:val="left" w:pos="1152"/>
              </w:tabs>
              <w:spacing w:before="40" w:after="80"/>
              <w:ind w:left="216" w:right="43" w:hanging="173"/>
              <w:rPr>
                <w:lang w:val="fr-FR"/>
              </w:rPr>
            </w:pPr>
            <w:r>
              <w:rPr>
                <w:vertAlign w:val="superscript"/>
                <w:lang w:val="fr-FR"/>
              </w:rPr>
              <w:t>f</w:t>
            </w:r>
            <w:r w:rsidR="00F41DBC">
              <w:rPr>
                <w:lang w:val="fr-FR"/>
              </w:rPr>
              <w:tab/>
            </w:r>
            <w:r w:rsidR="00F41DBC" w:rsidRPr="00572E12">
              <w:rPr>
                <w:lang w:val="fr-FR"/>
              </w:rPr>
              <w:t>Applicable aux véhicules à moteur d’une masse maximale dépassant 16</w:t>
            </w:r>
            <w:r w:rsidR="00F41DBC">
              <w:rPr>
                <w:lang w:val="fr-FR"/>
              </w:rPr>
              <w:t> t</w:t>
            </w:r>
            <w:r w:rsidR="003B48E3">
              <w:rPr>
                <w:lang w:val="fr-FR"/>
              </w:rPr>
              <w:t>onnes</w:t>
            </w:r>
            <w:r w:rsidR="00F41DBC" w:rsidRPr="00572E12">
              <w:rPr>
                <w:lang w:val="fr-FR"/>
              </w:rPr>
              <w:t xml:space="preserve"> ou autorisés à tracter des </w:t>
            </w:r>
            <w:r w:rsidR="00F41DBC" w:rsidRPr="00A57C05">
              <w:t>remorques</w:t>
            </w:r>
            <w:r w:rsidR="00F41DBC" w:rsidRPr="00572E12">
              <w:rPr>
                <w:lang w:val="fr-FR"/>
              </w:rPr>
              <w:t xml:space="preserve"> </w:t>
            </w:r>
            <w:r w:rsidR="00F41DBC" w:rsidRPr="004222C8">
              <w:rPr>
                <w:spacing w:val="2"/>
                <w:w w:val="102"/>
                <w:lang w:val="fr-FR"/>
              </w:rPr>
              <w:t>d’une</w:t>
            </w:r>
            <w:r w:rsidR="00F41DBC" w:rsidRPr="00572E12">
              <w:rPr>
                <w:lang w:val="fr-FR"/>
              </w:rPr>
              <w:t xml:space="preserve"> masse maximale dépassant 10</w:t>
            </w:r>
            <w:r w:rsidR="00F41DBC">
              <w:rPr>
                <w:lang w:val="fr-FR"/>
              </w:rPr>
              <w:t> t</w:t>
            </w:r>
            <w:r w:rsidR="003B48E3">
              <w:rPr>
                <w:lang w:val="fr-FR"/>
              </w:rPr>
              <w:t>onnes</w:t>
            </w:r>
            <w:r w:rsidR="00F41DBC" w:rsidRPr="00572E12">
              <w:rPr>
                <w:lang w:val="fr-FR"/>
              </w:rPr>
              <w:t xml:space="preserve"> immatriculés pour la première fois après le </w:t>
            </w:r>
            <w:r w:rsidR="000E13F7">
              <w:rPr>
                <w:lang w:val="fr-FR"/>
              </w:rPr>
              <w:t>31 mars</w:t>
            </w:r>
            <w:r w:rsidR="00F41DBC" w:rsidRPr="00572E12">
              <w:rPr>
                <w:lang w:val="fr-FR"/>
              </w:rPr>
              <w:t>2018.</w:t>
            </w:r>
            <w:r w:rsidR="00F41DBC">
              <w:rPr>
                <w:lang w:val="fr-FR"/>
              </w:rPr>
              <w:t xml:space="preserve"> </w:t>
            </w:r>
            <w:r w:rsidR="00F41DBC" w:rsidRPr="00572E12">
              <w:rPr>
                <w:lang w:val="fr-FR"/>
              </w:rPr>
              <w:t>Le dispositif de freinage d’endurance doit être du type IIA.</w:t>
            </w: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9.2.4.7</w:t>
            </w:r>
          </w:p>
        </w:tc>
        <w:tc>
          <w:tcPr>
            <w:tcW w:w="2190"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Chauffage à</w:t>
            </w:r>
            <w:r>
              <w:rPr>
                <w:lang w:val="fr-FR"/>
              </w:rPr>
              <w:t> </w:t>
            </w:r>
            <w:r w:rsidRPr="00A57C05">
              <w:t>combustion</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ind w:left="43" w:right="43"/>
              <w:jc w:val="center"/>
              <w:rPr>
                <w:lang w:val="fr-FR"/>
              </w:rPr>
            </w:pPr>
          </w:p>
        </w:tc>
        <w:tc>
          <w:tcPr>
            <w:tcW w:w="469" w:type="dxa"/>
          </w:tcPr>
          <w:p w:rsidR="00F41DBC" w:rsidRPr="00572E12" w:rsidRDefault="00F41DBC" w:rsidP="00333EBE">
            <w:pPr>
              <w:ind w:left="43" w:right="43"/>
              <w:jc w:val="center"/>
              <w:rPr>
                <w:lang w:val="fr-FR"/>
              </w:rPr>
            </w:pPr>
          </w:p>
        </w:tc>
        <w:tc>
          <w:tcPr>
            <w:tcW w:w="469" w:type="dxa"/>
          </w:tcPr>
          <w:p w:rsidR="00F41DBC" w:rsidRPr="00572E12" w:rsidRDefault="00F41DBC" w:rsidP="00333EBE">
            <w:pPr>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Borders>
              <w:bottom w:val="nil"/>
            </w:tcBorders>
          </w:tcPr>
          <w:p w:rsidR="00F41DBC" w:rsidRPr="00572E12" w:rsidRDefault="00F41DBC" w:rsidP="00B16896">
            <w:pPr>
              <w:pageBreakBefore/>
              <w:tabs>
                <w:tab w:val="left" w:pos="288"/>
                <w:tab w:val="left" w:pos="576"/>
                <w:tab w:val="left" w:pos="864"/>
                <w:tab w:val="left" w:pos="1152"/>
              </w:tabs>
              <w:spacing w:before="40" w:after="80"/>
              <w:ind w:left="43" w:right="45"/>
              <w:rPr>
                <w:lang w:val="fr-FR"/>
              </w:rPr>
            </w:pPr>
            <w:r w:rsidRPr="00572E12">
              <w:rPr>
                <w:lang w:val="fr-FR"/>
              </w:rPr>
              <w:lastRenderedPageBreak/>
              <w:t>9.2.4.7.1</w:t>
            </w:r>
          </w:p>
        </w:tc>
        <w:tc>
          <w:tcPr>
            <w:tcW w:w="2190" w:type="dxa"/>
            <w:vMerge w:val="restart"/>
          </w:tcPr>
          <w:p w:rsidR="00F41DBC" w:rsidRPr="00572E12" w:rsidRDefault="00F41DBC" w:rsidP="00B16896">
            <w:pPr>
              <w:pageBreakBefore/>
              <w:ind w:left="43" w:right="45"/>
              <w:rPr>
                <w:lang w:val="fr-FR"/>
              </w:rPr>
            </w:pPr>
          </w:p>
        </w:tc>
        <w:tc>
          <w:tcPr>
            <w:tcW w:w="469" w:type="dxa"/>
            <w:vMerge w:val="restart"/>
          </w:tcPr>
          <w:p w:rsidR="00F41DBC" w:rsidRPr="00572E12" w:rsidRDefault="000E13F7" w:rsidP="00B16896">
            <w:pPr>
              <w:pageBreakBefore/>
              <w:tabs>
                <w:tab w:val="left" w:pos="288"/>
                <w:tab w:val="left" w:pos="576"/>
                <w:tab w:val="left" w:pos="864"/>
                <w:tab w:val="left" w:pos="1152"/>
              </w:tabs>
              <w:spacing w:before="40" w:after="80"/>
              <w:ind w:left="43" w:right="45"/>
              <w:jc w:val="center"/>
              <w:rPr>
                <w:lang w:val="fr-FR"/>
              </w:rPr>
            </w:pPr>
            <w:proofErr w:type="spellStart"/>
            <w:r w:rsidRPr="00572E12">
              <w:rPr>
                <w:lang w:val="fr-FR"/>
              </w:rPr>
              <w:t>X</w:t>
            </w:r>
            <w:r w:rsidR="009009FB">
              <w:rPr>
                <w:i/>
                <w:vertAlign w:val="superscript"/>
                <w:lang w:val="fr-FR"/>
              </w:rPr>
              <w:t>h</w:t>
            </w:r>
            <w:proofErr w:type="spellEnd"/>
          </w:p>
        </w:tc>
        <w:tc>
          <w:tcPr>
            <w:tcW w:w="469" w:type="dxa"/>
            <w:vMerge w:val="restart"/>
          </w:tcPr>
          <w:p w:rsidR="00F41DBC" w:rsidRPr="00572E12" w:rsidRDefault="000E13F7" w:rsidP="00B16896">
            <w:pPr>
              <w:pageBreakBefore/>
              <w:tabs>
                <w:tab w:val="left" w:pos="288"/>
                <w:tab w:val="left" w:pos="576"/>
                <w:tab w:val="left" w:pos="864"/>
                <w:tab w:val="left" w:pos="1152"/>
              </w:tabs>
              <w:spacing w:before="40" w:after="80"/>
              <w:ind w:left="43" w:right="45"/>
              <w:jc w:val="center"/>
              <w:rPr>
                <w:lang w:val="fr-FR"/>
              </w:rPr>
            </w:pPr>
            <w:proofErr w:type="spellStart"/>
            <w:r w:rsidRPr="00572E12">
              <w:rPr>
                <w:lang w:val="fr-FR"/>
              </w:rPr>
              <w:t>X</w:t>
            </w:r>
            <w:r w:rsidR="009009FB">
              <w:rPr>
                <w:i/>
                <w:vertAlign w:val="superscript"/>
                <w:lang w:val="fr-FR"/>
              </w:rPr>
              <w:t>h</w:t>
            </w:r>
            <w:proofErr w:type="spellEnd"/>
          </w:p>
        </w:tc>
        <w:tc>
          <w:tcPr>
            <w:tcW w:w="469" w:type="dxa"/>
            <w:vMerge w:val="restart"/>
          </w:tcPr>
          <w:p w:rsidR="00F41DBC" w:rsidRPr="00572E12" w:rsidRDefault="000E13F7" w:rsidP="00B16896">
            <w:pPr>
              <w:pageBreakBefore/>
              <w:tabs>
                <w:tab w:val="left" w:pos="288"/>
                <w:tab w:val="left" w:pos="576"/>
                <w:tab w:val="left" w:pos="864"/>
                <w:tab w:val="left" w:pos="1152"/>
              </w:tabs>
              <w:spacing w:before="40" w:after="80"/>
              <w:ind w:left="43" w:right="45"/>
              <w:jc w:val="center"/>
              <w:rPr>
                <w:lang w:val="fr-FR"/>
              </w:rPr>
            </w:pPr>
            <w:proofErr w:type="spellStart"/>
            <w:r w:rsidRPr="00572E12">
              <w:rPr>
                <w:lang w:val="fr-FR"/>
              </w:rPr>
              <w:t>X</w:t>
            </w:r>
            <w:r w:rsidR="009009FB">
              <w:rPr>
                <w:i/>
                <w:vertAlign w:val="superscript"/>
                <w:lang w:val="fr-FR"/>
              </w:rPr>
              <w:t>h</w:t>
            </w:r>
            <w:proofErr w:type="spellEnd"/>
          </w:p>
        </w:tc>
        <w:tc>
          <w:tcPr>
            <w:tcW w:w="469" w:type="dxa"/>
            <w:vMerge w:val="restart"/>
          </w:tcPr>
          <w:p w:rsidR="00F41DBC" w:rsidRPr="00572E12" w:rsidRDefault="000E13F7" w:rsidP="00B16896">
            <w:pPr>
              <w:pageBreakBefore/>
              <w:tabs>
                <w:tab w:val="left" w:pos="288"/>
                <w:tab w:val="left" w:pos="576"/>
                <w:tab w:val="left" w:pos="864"/>
                <w:tab w:val="left" w:pos="1152"/>
              </w:tabs>
              <w:spacing w:before="40" w:after="80"/>
              <w:ind w:left="43" w:right="45"/>
              <w:jc w:val="center"/>
              <w:rPr>
                <w:lang w:val="fr-FR"/>
              </w:rPr>
            </w:pPr>
            <w:proofErr w:type="spellStart"/>
            <w:r w:rsidRPr="00572E12">
              <w:rPr>
                <w:lang w:val="fr-FR"/>
              </w:rPr>
              <w:t>X</w:t>
            </w:r>
            <w:r w:rsidR="009009FB">
              <w:rPr>
                <w:i/>
                <w:vertAlign w:val="superscript"/>
                <w:lang w:val="fr-FR"/>
              </w:rPr>
              <w:t>h</w:t>
            </w:r>
            <w:proofErr w:type="spellEnd"/>
          </w:p>
        </w:tc>
        <w:tc>
          <w:tcPr>
            <w:tcW w:w="5046" w:type="dxa"/>
            <w:vMerge w:val="restart"/>
          </w:tcPr>
          <w:p w:rsidR="00F41DBC" w:rsidRPr="00572E12" w:rsidRDefault="009009FB" w:rsidP="00B16896">
            <w:pPr>
              <w:pageBreakBefore/>
              <w:tabs>
                <w:tab w:val="left" w:pos="216"/>
                <w:tab w:val="left" w:pos="288"/>
                <w:tab w:val="left" w:pos="576"/>
                <w:tab w:val="left" w:pos="864"/>
                <w:tab w:val="left" w:pos="1152"/>
              </w:tabs>
              <w:spacing w:before="40" w:after="80"/>
              <w:ind w:left="216" w:right="45" w:hanging="173"/>
              <w:rPr>
                <w:lang w:val="fr-FR"/>
              </w:rPr>
            </w:pPr>
            <w:r w:rsidRPr="00B16896">
              <w:rPr>
                <w:vertAlign w:val="superscript"/>
                <w:lang w:val="fr-FR"/>
              </w:rPr>
              <w:t>h</w:t>
            </w:r>
            <w:r w:rsidR="00B16896" w:rsidRPr="00B16896">
              <w:rPr>
                <w:vertAlign w:val="superscript"/>
                <w:lang w:val="fr-FR"/>
              </w:rPr>
              <w:tab/>
            </w:r>
            <w:r w:rsidR="00F41DBC" w:rsidRPr="00572E12">
              <w:rPr>
                <w:lang w:val="fr-FR"/>
              </w:rPr>
              <w:t>Applicable aux véhicules à moteur équipés après le 30</w:t>
            </w:r>
            <w:r w:rsidR="00F41DBC">
              <w:rPr>
                <w:lang w:val="fr-FR"/>
              </w:rPr>
              <w:t> juin</w:t>
            </w:r>
            <w:r w:rsidR="00F41DBC" w:rsidRPr="00572E12">
              <w:rPr>
                <w:lang w:val="fr-FR"/>
              </w:rPr>
              <w:t xml:space="preserve"> 1999. Mise en conformité obligatoire avant le 1</w:t>
            </w:r>
            <w:r w:rsidR="00F41DBC" w:rsidRPr="00B16896">
              <w:rPr>
                <w:lang w:val="fr-FR"/>
              </w:rPr>
              <w:t>er</w:t>
            </w:r>
            <w:r w:rsidR="00F41DBC">
              <w:rPr>
                <w:lang w:val="fr-FR"/>
              </w:rPr>
              <w:t> janvier</w:t>
            </w:r>
            <w:r w:rsidR="00F41DBC" w:rsidRPr="00572E12">
              <w:rPr>
                <w:lang w:val="fr-FR"/>
              </w:rPr>
              <w:t xml:space="preserve"> 2010 pour les véhicules équipés avant </w:t>
            </w:r>
            <w:r w:rsidR="00F41DBC" w:rsidRPr="00B16896">
              <w:rPr>
                <w:lang w:val="fr-FR"/>
              </w:rPr>
              <w:t>le</w:t>
            </w:r>
            <w:r w:rsidR="00F41DBC" w:rsidRPr="00572E12">
              <w:rPr>
                <w:lang w:val="fr-FR"/>
              </w:rPr>
              <w:t xml:space="preserve"> 1</w:t>
            </w:r>
            <w:r w:rsidR="00F41DBC" w:rsidRPr="00B16896">
              <w:rPr>
                <w:lang w:val="fr-FR"/>
              </w:rPr>
              <w:t>er</w:t>
            </w:r>
            <w:r w:rsidR="00F41DBC">
              <w:rPr>
                <w:lang w:val="fr-FR"/>
              </w:rPr>
              <w:t> juillet</w:t>
            </w:r>
            <w:r w:rsidR="00F41DBC" w:rsidRPr="00572E12">
              <w:rPr>
                <w:lang w:val="fr-FR"/>
              </w:rPr>
              <w:t xml:space="preserve"> 1999. La date de la première immatriculation du véhicule doit être utilisée lorsque la date à laquelle le véhicule a été équipé n’est pas disponible.</w:t>
            </w:r>
          </w:p>
        </w:tc>
      </w:tr>
      <w:tr w:rsidR="00F41DBC" w:rsidRPr="00572E12" w:rsidTr="00333EBE">
        <w:trPr>
          <w:cantSplit/>
        </w:trPr>
        <w:tc>
          <w:tcPr>
            <w:tcW w:w="939" w:type="dxa"/>
            <w:tcBorders>
              <w:top w:val="nil"/>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9.2.4.7</w:t>
            </w:r>
            <w:r w:rsidRPr="00476575">
              <w:rPr>
                <w:lang w:val="fr-FR"/>
              </w:rPr>
              <w:t>.</w:t>
            </w:r>
            <w:r w:rsidRPr="00572E12">
              <w:rPr>
                <w:lang w:val="fr-FR"/>
              </w:rPr>
              <w:t>2</w:t>
            </w:r>
          </w:p>
        </w:tc>
        <w:tc>
          <w:tcPr>
            <w:tcW w:w="2190" w:type="dxa"/>
            <w:vMerge/>
          </w:tcPr>
          <w:p w:rsidR="00F41DBC" w:rsidRPr="00572E12" w:rsidRDefault="00F41DBC" w:rsidP="00333EBE">
            <w:pPr>
              <w:ind w:left="43" w:right="43"/>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vMerge/>
          </w:tcPr>
          <w:p w:rsidR="00F41DBC" w:rsidRPr="00572E12" w:rsidRDefault="00F41DBC" w:rsidP="00333EBE">
            <w:pPr>
              <w:tabs>
                <w:tab w:val="left" w:pos="288"/>
                <w:tab w:val="left" w:pos="576"/>
                <w:tab w:val="left" w:pos="864"/>
                <w:tab w:val="left" w:pos="1152"/>
              </w:tabs>
              <w:spacing w:before="40" w:after="80"/>
              <w:ind w:left="43" w:right="43"/>
              <w:rPr>
                <w:vertAlign w:val="superscript"/>
                <w:lang w:val="fr-FR"/>
              </w:rPr>
            </w:pPr>
          </w:p>
        </w:tc>
      </w:tr>
      <w:tr w:rsidR="00F41DBC" w:rsidRPr="00572E12" w:rsidTr="00333EBE">
        <w:trPr>
          <w:cantSplit/>
        </w:trPr>
        <w:tc>
          <w:tcPr>
            <w:tcW w:w="93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9.2.4.7.5</w:t>
            </w:r>
          </w:p>
        </w:tc>
        <w:tc>
          <w:tcPr>
            <w:tcW w:w="2190" w:type="dxa"/>
            <w:vMerge/>
          </w:tcPr>
          <w:p w:rsidR="00F41DBC" w:rsidRPr="00572E12" w:rsidRDefault="00F41DBC" w:rsidP="00333EBE">
            <w:pPr>
              <w:ind w:left="43" w:right="43"/>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vMerge/>
          </w:tcPr>
          <w:p w:rsidR="00F41DBC" w:rsidRPr="00572E12" w:rsidRDefault="00F41DBC" w:rsidP="00333EBE">
            <w:pPr>
              <w:tabs>
                <w:tab w:val="left" w:pos="288"/>
                <w:tab w:val="left" w:pos="576"/>
                <w:tab w:val="left" w:pos="864"/>
                <w:tab w:val="left" w:pos="1152"/>
              </w:tabs>
              <w:spacing w:before="40" w:after="80"/>
              <w:ind w:left="43" w:right="43"/>
              <w:rPr>
                <w:vertAlign w:val="superscript"/>
                <w:lang w:val="fr-FR"/>
              </w:rPr>
            </w:pPr>
          </w:p>
        </w:tc>
      </w:tr>
      <w:tr w:rsidR="00F41DBC" w:rsidRPr="00572E12" w:rsidTr="00333EBE">
        <w:trPr>
          <w:cantSplit/>
          <w:trHeight w:val="354"/>
        </w:trPr>
        <w:tc>
          <w:tcPr>
            <w:tcW w:w="939" w:type="dxa"/>
            <w:tcBorders>
              <w:bottom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9.2.4.7.3</w:t>
            </w:r>
          </w:p>
        </w:tc>
        <w:tc>
          <w:tcPr>
            <w:tcW w:w="2190" w:type="dxa"/>
            <w:vMerge w:val="restart"/>
          </w:tcPr>
          <w:p w:rsidR="00F41DBC" w:rsidRPr="00572E12" w:rsidRDefault="00F41DBC" w:rsidP="00333EBE">
            <w:pPr>
              <w:ind w:left="43" w:right="43"/>
              <w:rPr>
                <w:lang w:val="fr-FR"/>
              </w:rPr>
            </w:pPr>
          </w:p>
        </w:tc>
        <w:tc>
          <w:tcPr>
            <w:tcW w:w="469" w:type="dxa"/>
            <w:vMerge w:val="restart"/>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val="restart"/>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val="restart"/>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val="restart"/>
          </w:tcPr>
          <w:p w:rsidR="00F41DBC" w:rsidRPr="00572E12" w:rsidRDefault="000E13F7">
            <w:pPr>
              <w:tabs>
                <w:tab w:val="left" w:pos="288"/>
                <w:tab w:val="left" w:pos="576"/>
                <w:tab w:val="left" w:pos="864"/>
                <w:tab w:val="left" w:pos="1152"/>
              </w:tabs>
              <w:spacing w:before="40" w:after="80"/>
              <w:ind w:left="43" w:right="43"/>
              <w:jc w:val="center"/>
              <w:rPr>
                <w:lang w:val="fr-FR"/>
              </w:rPr>
            </w:pPr>
            <w:proofErr w:type="spellStart"/>
            <w:r w:rsidRPr="00A57C05">
              <w:t>X</w:t>
            </w:r>
            <w:r>
              <w:rPr>
                <w:i/>
                <w:vertAlign w:val="superscript"/>
              </w:rPr>
              <w:t>h</w:t>
            </w:r>
            <w:proofErr w:type="spellEnd"/>
          </w:p>
        </w:tc>
        <w:tc>
          <w:tcPr>
            <w:tcW w:w="5046" w:type="dxa"/>
            <w:vMerge w:val="restart"/>
          </w:tcPr>
          <w:p w:rsidR="00F41DBC" w:rsidRPr="00572E12" w:rsidRDefault="000E13F7" w:rsidP="00333EBE">
            <w:pPr>
              <w:tabs>
                <w:tab w:val="left" w:pos="216"/>
                <w:tab w:val="left" w:pos="288"/>
                <w:tab w:val="left" w:pos="576"/>
                <w:tab w:val="left" w:pos="864"/>
                <w:tab w:val="left" w:pos="1152"/>
              </w:tabs>
              <w:spacing w:before="40" w:after="80"/>
              <w:ind w:left="216" w:right="43" w:hanging="173"/>
              <w:rPr>
                <w:lang w:val="fr-FR"/>
              </w:rPr>
            </w:pPr>
            <w:r>
              <w:rPr>
                <w:vertAlign w:val="superscript"/>
                <w:lang w:val="fr-FR"/>
              </w:rPr>
              <w:t>h</w:t>
            </w:r>
            <w:r w:rsidR="00F41DBC">
              <w:rPr>
                <w:lang w:val="fr-FR"/>
              </w:rPr>
              <w:tab/>
            </w:r>
            <w:r w:rsidR="00F41DBC" w:rsidRPr="00572E12">
              <w:rPr>
                <w:lang w:val="fr-FR"/>
              </w:rPr>
              <w:t>Applicable aux véhicules à moteur équipés après le 30</w:t>
            </w:r>
            <w:r w:rsidR="00F41DBC">
              <w:rPr>
                <w:lang w:val="fr-FR"/>
              </w:rPr>
              <w:t> juin</w:t>
            </w:r>
            <w:r w:rsidR="00F41DBC" w:rsidRPr="00572E12">
              <w:rPr>
                <w:lang w:val="fr-FR"/>
              </w:rPr>
              <w:t xml:space="preserve"> 1999. Mise en conformité obligatoire avant le 1</w:t>
            </w:r>
            <w:r w:rsidR="00F41DBC" w:rsidRPr="00572E12">
              <w:rPr>
                <w:vertAlign w:val="superscript"/>
                <w:lang w:val="fr-FR"/>
              </w:rPr>
              <w:t>er</w:t>
            </w:r>
            <w:r w:rsidR="00F41DBC">
              <w:rPr>
                <w:lang w:val="fr-FR"/>
              </w:rPr>
              <w:t> janvier</w:t>
            </w:r>
            <w:r w:rsidR="00F41DBC" w:rsidRPr="00572E12">
              <w:rPr>
                <w:lang w:val="fr-FR"/>
              </w:rPr>
              <w:t xml:space="preserve"> 2010 pour les véhicules équipés avant le 1</w:t>
            </w:r>
            <w:r w:rsidR="00F41DBC" w:rsidRPr="00572E12">
              <w:rPr>
                <w:vertAlign w:val="superscript"/>
                <w:lang w:val="fr-FR"/>
              </w:rPr>
              <w:t>er</w:t>
            </w:r>
            <w:r w:rsidR="00F41DBC">
              <w:rPr>
                <w:lang w:val="fr-FR"/>
              </w:rPr>
              <w:t> juillet</w:t>
            </w:r>
            <w:r w:rsidR="00F41DBC" w:rsidRPr="00572E12">
              <w:rPr>
                <w:lang w:val="fr-FR"/>
              </w:rPr>
              <w:t xml:space="preserve"> 1999. La date de la première immatriculation du véhicule doit être utilisée lorsque la date à laquelle le véhicule a été équipé n’est pas disponible.</w:t>
            </w:r>
          </w:p>
        </w:tc>
      </w:tr>
      <w:tr w:rsidR="00F41DBC" w:rsidRPr="00572E12" w:rsidTr="00333EBE">
        <w:trPr>
          <w:cantSplit/>
          <w:trHeight w:val="900"/>
        </w:trPr>
        <w:tc>
          <w:tcPr>
            <w:tcW w:w="939" w:type="dxa"/>
            <w:tcBorders>
              <w:top w:val="nil"/>
            </w:tcBorders>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9.2.4.7.4</w:t>
            </w:r>
          </w:p>
        </w:tc>
        <w:tc>
          <w:tcPr>
            <w:tcW w:w="2190" w:type="dxa"/>
            <w:vMerge/>
          </w:tcPr>
          <w:p w:rsidR="00F41DBC" w:rsidRPr="00572E12" w:rsidRDefault="00F41DBC" w:rsidP="00333EBE">
            <w:pPr>
              <w:ind w:left="43" w:right="43"/>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vMerge/>
          </w:tcPr>
          <w:p w:rsidR="00F41DBC" w:rsidRPr="00A57C05" w:rsidRDefault="00F41DBC" w:rsidP="00333EBE">
            <w:pPr>
              <w:tabs>
                <w:tab w:val="left" w:pos="288"/>
                <w:tab w:val="left" w:pos="576"/>
                <w:tab w:val="left" w:pos="864"/>
                <w:tab w:val="left" w:pos="1152"/>
              </w:tabs>
              <w:spacing w:before="40" w:after="80"/>
              <w:ind w:left="43" w:right="43"/>
              <w:jc w:val="center"/>
            </w:pPr>
          </w:p>
        </w:tc>
        <w:tc>
          <w:tcPr>
            <w:tcW w:w="5046" w:type="dxa"/>
            <w:vMerge/>
          </w:tcPr>
          <w:p w:rsidR="00F41DBC" w:rsidRPr="00572E12" w:rsidRDefault="00F41DBC" w:rsidP="00333EBE">
            <w:pPr>
              <w:tabs>
                <w:tab w:val="left" w:pos="288"/>
                <w:tab w:val="left" w:pos="576"/>
                <w:tab w:val="left" w:pos="864"/>
                <w:tab w:val="left" w:pos="1152"/>
              </w:tabs>
              <w:spacing w:before="40" w:after="80"/>
              <w:ind w:left="43" w:right="43"/>
              <w:rPr>
                <w:vertAlign w:val="superscript"/>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lang w:val="fr-FR"/>
              </w:rPr>
            </w:pPr>
            <w:r w:rsidRPr="00572E12">
              <w:rPr>
                <w:lang w:val="fr-FR"/>
              </w:rPr>
              <w:t>9.2.4.7.6</w:t>
            </w:r>
          </w:p>
        </w:tc>
        <w:tc>
          <w:tcPr>
            <w:tcW w:w="2190" w:type="dxa"/>
          </w:tcPr>
          <w:p w:rsidR="00F41DBC" w:rsidRPr="00572E12" w:rsidRDefault="00F41DBC" w:rsidP="00333EBE">
            <w:pPr>
              <w:ind w:left="43" w:right="43"/>
              <w:rPr>
                <w:lang w:val="fr-FR"/>
              </w:rPr>
            </w:pPr>
          </w:p>
        </w:tc>
        <w:tc>
          <w:tcPr>
            <w:tcW w:w="469" w:type="dxa"/>
          </w:tcPr>
          <w:p w:rsidR="00F41DBC" w:rsidRPr="00A57C05" w:rsidRDefault="00F41DBC" w:rsidP="00333EBE">
            <w:pPr>
              <w:tabs>
                <w:tab w:val="left" w:pos="288"/>
                <w:tab w:val="left" w:pos="576"/>
                <w:tab w:val="left" w:pos="864"/>
                <w:tab w:val="left" w:pos="1152"/>
              </w:tabs>
              <w:spacing w:before="40" w:after="80"/>
              <w:ind w:left="43" w:right="43"/>
              <w:jc w:val="center"/>
            </w:pPr>
            <w:r w:rsidRPr="00A57C05">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r w:rsidRPr="00572E12">
              <w:rPr>
                <w:lang w:val="fr-FR"/>
              </w:rPr>
              <w:t>X</w:t>
            </w: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88"/>
                <w:tab w:val="left" w:pos="576"/>
                <w:tab w:val="left" w:pos="864"/>
                <w:tab w:val="left" w:pos="1152"/>
              </w:tabs>
              <w:spacing w:before="40" w:after="80"/>
              <w:ind w:left="43" w:right="43"/>
              <w:rPr>
                <w:lang w:val="fr-FR"/>
              </w:rPr>
            </w:pP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b/>
                <w:lang w:val="fr-FR"/>
              </w:rPr>
            </w:pPr>
            <w:r w:rsidRPr="00572E12">
              <w:rPr>
                <w:b/>
                <w:lang w:val="fr-FR"/>
              </w:rPr>
              <w:t>9.2.5</w:t>
            </w:r>
          </w:p>
        </w:tc>
        <w:tc>
          <w:tcPr>
            <w:tcW w:w="2190" w:type="dxa"/>
          </w:tcPr>
          <w:p w:rsidR="00F41DBC" w:rsidRPr="00A57C05" w:rsidRDefault="00F41DBC" w:rsidP="00333EBE">
            <w:pPr>
              <w:tabs>
                <w:tab w:val="left" w:pos="288"/>
                <w:tab w:val="left" w:pos="576"/>
                <w:tab w:val="left" w:pos="864"/>
                <w:tab w:val="left" w:pos="1152"/>
              </w:tabs>
              <w:spacing w:before="40" w:after="80"/>
              <w:ind w:left="43" w:right="43"/>
              <w:rPr>
                <w:b/>
                <w:lang w:val="fr-FR"/>
              </w:rPr>
            </w:pPr>
            <w:r w:rsidRPr="00A57C05">
              <w:rPr>
                <w:b/>
                <w:lang w:val="fr-FR"/>
              </w:rPr>
              <w:t>DISPOSITIFS DE</w:t>
            </w:r>
            <w:r>
              <w:rPr>
                <w:b/>
                <w:lang w:val="fr-FR"/>
              </w:rPr>
              <w:t> </w:t>
            </w:r>
            <w:r w:rsidRPr="00A57C05">
              <w:rPr>
                <w:b/>
                <w:lang w:val="fr-FR"/>
              </w:rPr>
              <w:t>LIMITATION DE</w:t>
            </w:r>
            <w:r>
              <w:rPr>
                <w:b/>
                <w:lang w:val="fr-FR"/>
              </w:rPr>
              <w:t> </w:t>
            </w:r>
            <w:r w:rsidRPr="00A57C05">
              <w:rPr>
                <w:b/>
              </w:rPr>
              <w:t>VITESSE</w:t>
            </w:r>
          </w:p>
        </w:tc>
        <w:tc>
          <w:tcPr>
            <w:tcW w:w="469" w:type="dxa"/>
          </w:tcPr>
          <w:p w:rsidR="00F41DBC" w:rsidRPr="00572E12" w:rsidRDefault="000E13F7">
            <w:pPr>
              <w:tabs>
                <w:tab w:val="left" w:pos="288"/>
                <w:tab w:val="left" w:pos="576"/>
                <w:tab w:val="left" w:pos="864"/>
                <w:tab w:val="left" w:pos="1152"/>
              </w:tabs>
              <w:spacing w:before="40" w:after="80"/>
              <w:ind w:left="43" w:right="43"/>
              <w:jc w:val="center"/>
              <w:rPr>
                <w:lang w:val="fr-FR"/>
              </w:rPr>
            </w:pPr>
            <w:r w:rsidRPr="00572E12">
              <w:rPr>
                <w:lang w:val="fr-FR"/>
              </w:rPr>
              <w:t>X</w:t>
            </w:r>
            <w:r>
              <w:rPr>
                <w:i/>
                <w:vertAlign w:val="superscript"/>
                <w:lang w:val="fr-FR"/>
              </w:rPr>
              <w:t>i</w:t>
            </w:r>
          </w:p>
        </w:tc>
        <w:tc>
          <w:tcPr>
            <w:tcW w:w="469" w:type="dxa"/>
          </w:tcPr>
          <w:p w:rsidR="00F41DBC" w:rsidRPr="00572E12" w:rsidRDefault="000E13F7">
            <w:pPr>
              <w:tabs>
                <w:tab w:val="left" w:pos="288"/>
                <w:tab w:val="left" w:pos="576"/>
                <w:tab w:val="left" w:pos="864"/>
                <w:tab w:val="left" w:pos="1152"/>
              </w:tabs>
              <w:spacing w:before="40" w:after="80"/>
              <w:ind w:left="43" w:right="43"/>
              <w:jc w:val="center"/>
              <w:rPr>
                <w:lang w:val="fr-FR"/>
              </w:rPr>
            </w:pPr>
            <w:r w:rsidRPr="00A57C05">
              <w:t>X</w:t>
            </w:r>
            <w:r>
              <w:rPr>
                <w:i/>
                <w:vertAlign w:val="superscript"/>
              </w:rPr>
              <w:t>i</w:t>
            </w:r>
          </w:p>
        </w:tc>
        <w:tc>
          <w:tcPr>
            <w:tcW w:w="469" w:type="dxa"/>
          </w:tcPr>
          <w:p w:rsidR="00F41DBC" w:rsidRPr="00572E12" w:rsidRDefault="000E13F7">
            <w:pPr>
              <w:tabs>
                <w:tab w:val="left" w:pos="288"/>
                <w:tab w:val="left" w:pos="576"/>
                <w:tab w:val="left" w:pos="864"/>
                <w:tab w:val="left" w:pos="1152"/>
              </w:tabs>
              <w:spacing w:before="40" w:after="80"/>
              <w:ind w:left="43" w:right="43"/>
              <w:jc w:val="center"/>
              <w:rPr>
                <w:lang w:val="fr-FR"/>
              </w:rPr>
            </w:pPr>
            <w:r w:rsidRPr="00A57C05">
              <w:t>X</w:t>
            </w:r>
            <w:r>
              <w:rPr>
                <w:i/>
                <w:vertAlign w:val="superscript"/>
              </w:rPr>
              <w:t>i</w:t>
            </w:r>
          </w:p>
        </w:tc>
        <w:tc>
          <w:tcPr>
            <w:tcW w:w="469" w:type="dxa"/>
          </w:tcPr>
          <w:p w:rsidR="00F41DBC" w:rsidRPr="00572E12" w:rsidRDefault="000E13F7">
            <w:pPr>
              <w:tabs>
                <w:tab w:val="left" w:pos="288"/>
                <w:tab w:val="left" w:pos="576"/>
                <w:tab w:val="left" w:pos="864"/>
                <w:tab w:val="left" w:pos="1152"/>
              </w:tabs>
              <w:spacing w:before="40" w:after="80"/>
              <w:ind w:left="43" w:right="43"/>
              <w:jc w:val="center"/>
              <w:rPr>
                <w:lang w:val="fr-FR"/>
              </w:rPr>
            </w:pPr>
            <w:r w:rsidRPr="00572E12">
              <w:rPr>
                <w:lang w:val="fr-FR"/>
              </w:rPr>
              <w:t>X</w:t>
            </w:r>
            <w:r>
              <w:rPr>
                <w:i/>
                <w:vertAlign w:val="superscript"/>
                <w:lang w:val="fr-FR"/>
              </w:rPr>
              <w:t>i</w:t>
            </w:r>
          </w:p>
        </w:tc>
        <w:tc>
          <w:tcPr>
            <w:tcW w:w="5046" w:type="dxa"/>
          </w:tcPr>
          <w:p w:rsidR="00F41DBC" w:rsidRPr="00FD15DF" w:rsidRDefault="000E13F7" w:rsidP="00333EBE">
            <w:pPr>
              <w:tabs>
                <w:tab w:val="left" w:pos="216"/>
                <w:tab w:val="left" w:pos="288"/>
                <w:tab w:val="left" w:pos="576"/>
                <w:tab w:val="left" w:pos="864"/>
                <w:tab w:val="left" w:pos="1152"/>
              </w:tabs>
              <w:spacing w:before="40" w:after="80"/>
              <w:ind w:left="216" w:right="43" w:hanging="173"/>
              <w:rPr>
                <w:spacing w:val="2"/>
                <w:w w:val="102"/>
                <w:lang w:val="fr-FR"/>
              </w:rPr>
            </w:pPr>
            <w:r>
              <w:rPr>
                <w:spacing w:val="2"/>
                <w:w w:val="102"/>
                <w:vertAlign w:val="superscript"/>
                <w:lang w:val="fr-FR"/>
              </w:rPr>
              <w:t>i</w:t>
            </w:r>
            <w:r w:rsidR="00F41DBC">
              <w:rPr>
                <w:spacing w:val="2"/>
                <w:w w:val="102"/>
                <w:lang w:val="fr-FR"/>
              </w:rPr>
              <w:tab/>
            </w:r>
            <w:r w:rsidR="00F41DBC" w:rsidRPr="00FD15DF">
              <w:rPr>
                <w:spacing w:val="2"/>
                <w:w w:val="102"/>
                <w:lang w:val="fr-FR"/>
              </w:rPr>
              <w:t>Applicable aux véhicules à moteur d’une masse maximale dépassant 12</w:t>
            </w:r>
            <w:r w:rsidR="00F41DBC">
              <w:rPr>
                <w:spacing w:val="2"/>
                <w:w w:val="102"/>
                <w:lang w:val="fr-FR"/>
              </w:rPr>
              <w:t> t</w:t>
            </w:r>
            <w:r w:rsidR="003B48E3">
              <w:rPr>
                <w:spacing w:val="2"/>
                <w:w w:val="102"/>
                <w:lang w:val="fr-FR"/>
              </w:rPr>
              <w:t>onnes</w:t>
            </w:r>
            <w:r w:rsidR="00F41DBC" w:rsidRPr="00FD15DF">
              <w:rPr>
                <w:spacing w:val="2"/>
                <w:w w:val="102"/>
                <w:lang w:val="fr-FR"/>
              </w:rPr>
              <w:t xml:space="preserve"> immatriculés pour la première fois après le 31</w:t>
            </w:r>
            <w:r w:rsidR="00F41DBC">
              <w:rPr>
                <w:spacing w:val="2"/>
                <w:w w:val="102"/>
                <w:lang w:val="fr-FR"/>
              </w:rPr>
              <w:t> décembre</w:t>
            </w:r>
            <w:r w:rsidR="00F41DBC" w:rsidRPr="00FD15DF">
              <w:rPr>
                <w:spacing w:val="2"/>
                <w:w w:val="102"/>
                <w:lang w:val="fr-FR"/>
              </w:rPr>
              <w:t xml:space="preserve"> 1987, et à tous les véhicules à moteur d’une masse </w:t>
            </w:r>
            <w:r w:rsidR="00F41DBC" w:rsidRPr="00FD15DF">
              <w:rPr>
                <w:spacing w:val="2"/>
                <w:w w:val="102"/>
              </w:rPr>
              <w:t>maximale</w:t>
            </w:r>
            <w:r w:rsidR="00F41DBC" w:rsidRPr="00FD15DF">
              <w:rPr>
                <w:spacing w:val="2"/>
                <w:w w:val="102"/>
                <w:lang w:val="fr-FR"/>
              </w:rPr>
              <w:t xml:space="preserve"> supérieure à 3,5</w:t>
            </w:r>
            <w:r w:rsidR="00F41DBC">
              <w:rPr>
                <w:spacing w:val="2"/>
                <w:w w:val="102"/>
                <w:lang w:val="fr-FR"/>
              </w:rPr>
              <w:t> t</w:t>
            </w:r>
            <w:r w:rsidR="003B48E3">
              <w:rPr>
                <w:spacing w:val="2"/>
                <w:w w:val="102"/>
                <w:lang w:val="fr-FR"/>
              </w:rPr>
              <w:t>onnes</w:t>
            </w:r>
            <w:r w:rsidR="00F41DBC" w:rsidRPr="00FD15DF">
              <w:rPr>
                <w:spacing w:val="2"/>
                <w:w w:val="102"/>
                <w:lang w:val="fr-FR"/>
              </w:rPr>
              <w:t xml:space="preserve"> mais inférieure ou égale à 12</w:t>
            </w:r>
            <w:r w:rsidR="00F41DBC">
              <w:rPr>
                <w:spacing w:val="2"/>
                <w:w w:val="102"/>
                <w:lang w:val="fr-FR"/>
              </w:rPr>
              <w:t> t</w:t>
            </w:r>
            <w:r w:rsidR="003B48E3">
              <w:rPr>
                <w:spacing w:val="2"/>
                <w:w w:val="102"/>
                <w:lang w:val="fr-FR"/>
              </w:rPr>
              <w:t>onnes</w:t>
            </w:r>
            <w:r w:rsidR="00F41DBC" w:rsidRPr="00FD15DF">
              <w:rPr>
                <w:spacing w:val="2"/>
                <w:w w:val="102"/>
                <w:lang w:val="fr-FR"/>
              </w:rPr>
              <w:t xml:space="preserve"> immatriculés pour la première fois après le 31</w:t>
            </w:r>
            <w:r w:rsidR="00F41DBC">
              <w:rPr>
                <w:spacing w:val="2"/>
                <w:w w:val="102"/>
                <w:lang w:val="fr-FR"/>
              </w:rPr>
              <w:t> décembre</w:t>
            </w:r>
            <w:r w:rsidR="00F41DBC" w:rsidRPr="00FD15DF">
              <w:rPr>
                <w:spacing w:val="2"/>
                <w:w w:val="102"/>
                <w:lang w:val="fr-FR"/>
              </w:rPr>
              <w:t xml:space="preserve"> 2007.</w:t>
            </w:r>
          </w:p>
        </w:tc>
      </w:tr>
      <w:tr w:rsidR="00F41DBC" w:rsidRPr="00572E12" w:rsidTr="00333EBE">
        <w:trPr>
          <w:cantSplit/>
        </w:trPr>
        <w:tc>
          <w:tcPr>
            <w:tcW w:w="939" w:type="dxa"/>
          </w:tcPr>
          <w:p w:rsidR="00F41DBC" w:rsidRPr="00572E12" w:rsidRDefault="00F41DBC" w:rsidP="00333EBE">
            <w:pPr>
              <w:tabs>
                <w:tab w:val="left" w:pos="288"/>
                <w:tab w:val="left" w:pos="576"/>
                <w:tab w:val="left" w:pos="864"/>
                <w:tab w:val="left" w:pos="1152"/>
              </w:tabs>
              <w:spacing w:before="40" w:after="80"/>
              <w:ind w:left="43" w:right="43"/>
              <w:rPr>
                <w:b/>
                <w:lang w:val="fr-FR"/>
              </w:rPr>
            </w:pPr>
          </w:p>
        </w:tc>
        <w:tc>
          <w:tcPr>
            <w:tcW w:w="2190" w:type="dxa"/>
          </w:tcPr>
          <w:p w:rsidR="00F41DBC" w:rsidRPr="00A57C05" w:rsidRDefault="00F41DBC" w:rsidP="00333EBE">
            <w:pPr>
              <w:tabs>
                <w:tab w:val="left" w:pos="288"/>
                <w:tab w:val="left" w:pos="576"/>
                <w:tab w:val="left" w:pos="864"/>
                <w:tab w:val="left" w:pos="1152"/>
              </w:tabs>
              <w:spacing w:before="40" w:after="80"/>
              <w:ind w:left="43" w:right="43"/>
              <w:rPr>
                <w:b/>
                <w:lang w:val="fr-FR"/>
              </w:rPr>
            </w:pPr>
          </w:p>
        </w:tc>
        <w:tc>
          <w:tcPr>
            <w:tcW w:w="469" w:type="dxa"/>
          </w:tcPr>
          <w:p w:rsidR="00F41DBC" w:rsidRPr="00A57C05" w:rsidRDefault="00F41DBC" w:rsidP="00333EBE">
            <w:pPr>
              <w:tabs>
                <w:tab w:val="left" w:pos="288"/>
                <w:tab w:val="left" w:pos="576"/>
                <w:tab w:val="left" w:pos="864"/>
                <w:tab w:val="left" w:pos="1152"/>
              </w:tabs>
              <w:spacing w:before="40" w:after="80"/>
              <w:ind w:left="43" w:right="43"/>
              <w:jc w:val="cente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469" w:type="dxa"/>
          </w:tcPr>
          <w:p w:rsidR="00F41DBC" w:rsidRPr="00572E12" w:rsidRDefault="00F41DBC" w:rsidP="00333EBE">
            <w:pPr>
              <w:tabs>
                <w:tab w:val="left" w:pos="288"/>
                <w:tab w:val="left" w:pos="576"/>
                <w:tab w:val="left" w:pos="864"/>
                <w:tab w:val="left" w:pos="1152"/>
              </w:tabs>
              <w:spacing w:before="40" w:after="80"/>
              <w:ind w:left="43" w:right="43"/>
              <w:jc w:val="center"/>
              <w:rPr>
                <w:lang w:val="fr-FR"/>
              </w:rPr>
            </w:pPr>
          </w:p>
        </w:tc>
        <w:tc>
          <w:tcPr>
            <w:tcW w:w="5046" w:type="dxa"/>
          </w:tcPr>
          <w:p w:rsidR="00F41DBC" w:rsidRPr="00572E12" w:rsidRDefault="00F41DBC" w:rsidP="00333EBE">
            <w:pPr>
              <w:tabs>
                <w:tab w:val="left" w:pos="216"/>
                <w:tab w:val="left" w:pos="288"/>
                <w:tab w:val="left" w:pos="576"/>
                <w:tab w:val="left" w:pos="864"/>
                <w:tab w:val="left" w:pos="1152"/>
              </w:tabs>
              <w:spacing w:before="40" w:after="80"/>
              <w:ind w:left="216" w:right="43" w:hanging="173"/>
              <w:rPr>
                <w:lang w:val="fr-FR"/>
              </w:rPr>
            </w:pPr>
          </w:p>
        </w:tc>
      </w:tr>
      <w:tr w:rsidR="00B42ED4" w:rsidRPr="00572E12" w:rsidTr="00333EBE">
        <w:trPr>
          <w:cantSplit/>
        </w:trPr>
        <w:tc>
          <w:tcPr>
            <w:tcW w:w="939" w:type="dxa"/>
          </w:tcPr>
          <w:p w:rsidR="00B42ED4" w:rsidRPr="006F7F34" w:rsidRDefault="00B42ED4" w:rsidP="00333EBE">
            <w:pPr>
              <w:tabs>
                <w:tab w:val="left" w:pos="288"/>
                <w:tab w:val="left" w:pos="576"/>
                <w:tab w:val="left" w:pos="864"/>
                <w:tab w:val="left" w:pos="1152"/>
              </w:tabs>
              <w:spacing w:before="40" w:after="80"/>
              <w:ind w:left="43" w:right="43"/>
              <w:rPr>
                <w:b/>
                <w:lang w:val="fr-FR"/>
              </w:rPr>
            </w:pPr>
            <w:r w:rsidRPr="006F7F34">
              <w:rPr>
                <w:b/>
                <w:lang w:val="fr-FR"/>
              </w:rPr>
              <w:t>9.2.6</w:t>
            </w:r>
          </w:p>
        </w:tc>
        <w:tc>
          <w:tcPr>
            <w:tcW w:w="2190" w:type="dxa"/>
          </w:tcPr>
          <w:p w:rsidR="00B42ED4" w:rsidRPr="007C74B6" w:rsidRDefault="00B42ED4" w:rsidP="00333EBE">
            <w:pPr>
              <w:tabs>
                <w:tab w:val="left" w:pos="288"/>
                <w:tab w:val="left" w:pos="576"/>
                <w:tab w:val="left" w:pos="864"/>
                <w:tab w:val="left" w:pos="1152"/>
              </w:tabs>
              <w:spacing w:before="40" w:after="80"/>
              <w:ind w:left="43" w:right="43"/>
              <w:rPr>
                <w:b/>
                <w:sz w:val="18"/>
                <w:szCs w:val="18"/>
                <w:lang w:val="fr-FR"/>
              </w:rPr>
            </w:pPr>
            <w:r w:rsidRPr="00B42ED4">
              <w:rPr>
                <w:b/>
                <w:lang w:val="fr-FR"/>
              </w:rPr>
              <w:t>DISPOSITIFS D’ATTELAGE DES VEHICULES A MOTEUR ET REMORQUES</w:t>
            </w:r>
          </w:p>
        </w:tc>
        <w:tc>
          <w:tcPr>
            <w:tcW w:w="469" w:type="dxa"/>
          </w:tcPr>
          <w:p w:rsidR="00B42ED4" w:rsidRPr="007C74B6" w:rsidRDefault="00B42ED4" w:rsidP="00333EBE">
            <w:pPr>
              <w:tabs>
                <w:tab w:val="left" w:pos="288"/>
                <w:tab w:val="left" w:pos="576"/>
                <w:tab w:val="left" w:pos="864"/>
                <w:tab w:val="left" w:pos="1152"/>
              </w:tabs>
              <w:spacing w:before="40" w:after="80"/>
              <w:ind w:left="43" w:right="43"/>
              <w:jc w:val="center"/>
              <w:rPr>
                <w:sz w:val="18"/>
                <w:szCs w:val="18"/>
              </w:rPr>
            </w:pPr>
            <w:r w:rsidRPr="007C74B6">
              <w:rPr>
                <w:sz w:val="18"/>
                <w:szCs w:val="18"/>
              </w:rPr>
              <w:t>X</w:t>
            </w:r>
          </w:p>
        </w:tc>
        <w:tc>
          <w:tcPr>
            <w:tcW w:w="469" w:type="dxa"/>
          </w:tcPr>
          <w:p w:rsidR="00B42ED4" w:rsidRPr="007C74B6" w:rsidRDefault="00B42ED4" w:rsidP="00333EBE">
            <w:pPr>
              <w:tabs>
                <w:tab w:val="left" w:pos="288"/>
                <w:tab w:val="left" w:pos="576"/>
                <w:tab w:val="left" w:pos="864"/>
                <w:tab w:val="left" w:pos="1152"/>
              </w:tabs>
              <w:spacing w:before="40" w:after="80"/>
              <w:ind w:left="43" w:right="43"/>
              <w:jc w:val="center"/>
              <w:rPr>
                <w:sz w:val="18"/>
                <w:szCs w:val="18"/>
                <w:lang w:val="fr-FR"/>
              </w:rPr>
            </w:pPr>
            <w:r w:rsidRPr="007C74B6">
              <w:rPr>
                <w:sz w:val="18"/>
                <w:szCs w:val="18"/>
                <w:lang w:val="fr-FR"/>
              </w:rPr>
              <w:t>X</w:t>
            </w:r>
          </w:p>
        </w:tc>
        <w:tc>
          <w:tcPr>
            <w:tcW w:w="469" w:type="dxa"/>
          </w:tcPr>
          <w:p w:rsidR="00B42ED4" w:rsidRPr="007C74B6" w:rsidRDefault="000E13F7">
            <w:pPr>
              <w:tabs>
                <w:tab w:val="left" w:pos="288"/>
                <w:tab w:val="left" w:pos="576"/>
                <w:tab w:val="left" w:pos="864"/>
                <w:tab w:val="left" w:pos="1152"/>
              </w:tabs>
              <w:spacing w:before="40" w:after="80"/>
              <w:ind w:left="43" w:right="43"/>
              <w:jc w:val="center"/>
              <w:rPr>
                <w:sz w:val="18"/>
                <w:szCs w:val="18"/>
                <w:lang w:val="fr-FR"/>
              </w:rPr>
            </w:pPr>
            <w:proofErr w:type="spellStart"/>
            <w:r w:rsidRPr="007C74B6">
              <w:rPr>
                <w:sz w:val="18"/>
                <w:szCs w:val="18"/>
                <w:lang w:val="fr-FR"/>
              </w:rPr>
              <w:t>X</w:t>
            </w:r>
            <w:r>
              <w:rPr>
                <w:i/>
                <w:sz w:val="18"/>
                <w:szCs w:val="18"/>
                <w:vertAlign w:val="superscript"/>
                <w:lang w:val="fr-FR"/>
              </w:rPr>
              <w:t>j</w:t>
            </w:r>
            <w:proofErr w:type="spellEnd"/>
          </w:p>
        </w:tc>
        <w:tc>
          <w:tcPr>
            <w:tcW w:w="469" w:type="dxa"/>
          </w:tcPr>
          <w:p w:rsidR="00B42ED4" w:rsidRPr="007C74B6" w:rsidRDefault="000E13F7">
            <w:pPr>
              <w:tabs>
                <w:tab w:val="left" w:pos="288"/>
                <w:tab w:val="left" w:pos="576"/>
                <w:tab w:val="left" w:pos="864"/>
                <w:tab w:val="left" w:pos="1152"/>
              </w:tabs>
              <w:spacing w:before="40" w:after="80"/>
              <w:ind w:left="43" w:right="43"/>
              <w:jc w:val="center"/>
              <w:rPr>
                <w:sz w:val="18"/>
                <w:szCs w:val="18"/>
                <w:lang w:val="fr-FR"/>
              </w:rPr>
            </w:pPr>
            <w:proofErr w:type="spellStart"/>
            <w:r w:rsidRPr="007C74B6">
              <w:rPr>
                <w:sz w:val="18"/>
                <w:szCs w:val="18"/>
                <w:lang w:val="fr-FR"/>
              </w:rPr>
              <w:t>X</w:t>
            </w:r>
            <w:r>
              <w:rPr>
                <w:i/>
                <w:sz w:val="18"/>
                <w:szCs w:val="18"/>
                <w:vertAlign w:val="superscript"/>
                <w:lang w:val="fr-FR"/>
              </w:rPr>
              <w:t>j</w:t>
            </w:r>
            <w:proofErr w:type="spellEnd"/>
          </w:p>
        </w:tc>
        <w:tc>
          <w:tcPr>
            <w:tcW w:w="5046" w:type="dxa"/>
          </w:tcPr>
          <w:p w:rsidR="00B42ED4" w:rsidRPr="007C74B6" w:rsidRDefault="000E13F7">
            <w:pPr>
              <w:tabs>
                <w:tab w:val="left" w:pos="216"/>
                <w:tab w:val="left" w:pos="288"/>
                <w:tab w:val="left" w:pos="576"/>
                <w:tab w:val="left" w:pos="864"/>
                <w:tab w:val="left" w:pos="1152"/>
              </w:tabs>
              <w:spacing w:before="40" w:after="80"/>
              <w:ind w:left="216" w:right="43" w:hanging="173"/>
              <w:rPr>
                <w:sz w:val="18"/>
                <w:szCs w:val="18"/>
                <w:lang w:val="fr-FR"/>
              </w:rPr>
            </w:pPr>
            <w:r>
              <w:rPr>
                <w:sz w:val="18"/>
                <w:szCs w:val="18"/>
                <w:vertAlign w:val="superscript"/>
                <w:lang w:val="fr-FR"/>
              </w:rPr>
              <w:t>j</w:t>
            </w:r>
            <w:r w:rsidR="00B42ED4" w:rsidRPr="007C74B6">
              <w:rPr>
                <w:sz w:val="18"/>
                <w:szCs w:val="18"/>
                <w:lang w:val="fr-FR"/>
              </w:rPr>
              <w:tab/>
              <w:t xml:space="preserve">Applicable aux dispositifs d’attelage des véhicules à moteur et </w:t>
            </w:r>
            <w:r w:rsidR="00A21EDE">
              <w:rPr>
                <w:sz w:val="18"/>
                <w:szCs w:val="18"/>
                <w:lang w:val="fr-FR"/>
              </w:rPr>
              <w:t xml:space="preserve">des </w:t>
            </w:r>
            <w:r w:rsidR="00B42ED4" w:rsidRPr="007C74B6">
              <w:rPr>
                <w:sz w:val="18"/>
                <w:szCs w:val="18"/>
                <w:lang w:val="fr-FR"/>
              </w:rPr>
              <w:t xml:space="preserve">remorques immatriculés pour la </w:t>
            </w:r>
            <w:r w:rsidR="00B42ED4" w:rsidRPr="007C74B6">
              <w:rPr>
                <w:sz w:val="18"/>
                <w:szCs w:val="18"/>
              </w:rPr>
              <w:t>première</w:t>
            </w:r>
            <w:r w:rsidR="00B42ED4" w:rsidRPr="007C74B6">
              <w:rPr>
                <w:sz w:val="18"/>
                <w:szCs w:val="18"/>
                <w:lang w:val="fr-FR"/>
              </w:rPr>
              <w:t xml:space="preserve"> fois (ou </w:t>
            </w:r>
            <w:r w:rsidR="00A21EDE">
              <w:rPr>
                <w:sz w:val="18"/>
                <w:szCs w:val="18"/>
                <w:lang w:val="fr-FR"/>
              </w:rPr>
              <w:t>mis</w:t>
            </w:r>
            <w:r w:rsidR="00B42ED4" w:rsidRPr="007C74B6">
              <w:rPr>
                <w:sz w:val="18"/>
                <w:szCs w:val="18"/>
                <w:lang w:val="fr-FR"/>
              </w:rPr>
              <w:t xml:space="preserve"> en service, si l’immatriculation n’est pas obligatoire) après le </w:t>
            </w:r>
            <w:r w:rsidR="00B42ED4">
              <w:rPr>
                <w:sz w:val="18"/>
                <w:szCs w:val="18"/>
                <w:lang w:val="fr-FR"/>
              </w:rPr>
              <w:t>31 mars</w:t>
            </w:r>
            <w:r w:rsidR="00B42ED4" w:rsidRPr="007C74B6">
              <w:rPr>
                <w:sz w:val="18"/>
                <w:szCs w:val="18"/>
                <w:lang w:val="fr-FR"/>
              </w:rPr>
              <w:t xml:space="preserve"> 2018.</w:t>
            </w:r>
          </w:p>
        </w:tc>
      </w:tr>
    </w:tbl>
    <w:p w:rsidR="00F41DBC" w:rsidRPr="004222C8" w:rsidRDefault="00F41DBC" w:rsidP="00F41DBC">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right="1260"/>
        <w:rPr>
          <w:sz w:val="10"/>
          <w:lang w:val="fr-FR"/>
        </w:rPr>
      </w:pPr>
    </w:p>
    <w:p w:rsidR="00B42ED4" w:rsidRPr="00CA184E" w:rsidRDefault="00B42ED4" w:rsidP="00B42ED4">
      <w:pPr>
        <w:pStyle w:val="SingleTxtG"/>
        <w:rPr>
          <w:rFonts w:cs="Arial"/>
          <w:szCs w:val="22"/>
          <w:lang w:val="fr-FR"/>
        </w:rPr>
      </w:pPr>
      <w:r w:rsidRPr="00D57931">
        <w:rPr>
          <w:rFonts w:cs="Arial"/>
          <w:i/>
          <w:szCs w:val="22"/>
          <w:lang w:val="fr-FR"/>
        </w:rPr>
        <w:t>(Document de référence: ECE/TRANS/WP.15/2015/15)</w:t>
      </w:r>
    </w:p>
    <w:p w:rsidR="00C02497" w:rsidRPr="001F3341" w:rsidRDefault="00C02497" w:rsidP="00B97237">
      <w:pPr>
        <w:pStyle w:val="SingleTxtG"/>
        <w:rPr>
          <w:lang w:val="fr-FR"/>
        </w:rPr>
      </w:pPr>
      <w:r w:rsidRPr="001F3341">
        <w:rPr>
          <w:lang w:val="fr-FR"/>
        </w:rPr>
        <w:t>Modifier le 9.2.2 comme suit</w:t>
      </w:r>
      <w:r>
        <w:rPr>
          <w:lang w:val="fr-FR"/>
        </w:rPr>
        <w:t> :</w:t>
      </w:r>
    </w:p>
    <w:p w:rsidR="00C02497" w:rsidRPr="001F3341" w:rsidRDefault="00B97237" w:rsidP="00BE3F8F">
      <w:pPr>
        <w:pStyle w:val="SingleTxtG"/>
        <w:tabs>
          <w:tab w:val="left" w:pos="1985"/>
        </w:tabs>
        <w:rPr>
          <w:b/>
          <w:lang w:val="fr-FR"/>
        </w:rPr>
      </w:pPr>
      <w:r>
        <w:rPr>
          <w:lang w:val="fr-FR"/>
        </w:rPr>
        <w:t>«</w:t>
      </w:r>
      <w:r w:rsidR="00C02497" w:rsidRPr="001F3341">
        <w:rPr>
          <w:b/>
          <w:lang w:val="fr-FR"/>
        </w:rPr>
        <w:t>9.2.2</w:t>
      </w:r>
      <w:r w:rsidR="00C02497" w:rsidRPr="001F3341">
        <w:rPr>
          <w:b/>
          <w:lang w:val="fr-FR"/>
        </w:rPr>
        <w:tab/>
        <w:t>Équipement électrique</w:t>
      </w:r>
    </w:p>
    <w:p w:rsidR="00C02497" w:rsidRPr="001F3341" w:rsidRDefault="00C02497" w:rsidP="00BE3F8F">
      <w:pPr>
        <w:pStyle w:val="SingleTxtG"/>
        <w:tabs>
          <w:tab w:val="left" w:pos="1985"/>
        </w:tabs>
        <w:rPr>
          <w:b/>
          <w:lang w:val="fr-FR"/>
        </w:rPr>
      </w:pPr>
      <w:r w:rsidRPr="001F3341">
        <w:rPr>
          <w:b/>
          <w:lang w:val="fr-FR"/>
        </w:rPr>
        <w:t>9.2.2.1</w:t>
      </w:r>
      <w:r w:rsidRPr="001F3341">
        <w:rPr>
          <w:b/>
          <w:lang w:val="fr-FR"/>
        </w:rPr>
        <w:tab/>
      </w:r>
      <w:r w:rsidRPr="001F3341">
        <w:rPr>
          <w:b/>
          <w:i/>
          <w:lang w:val="fr-FR"/>
        </w:rPr>
        <w:t>Dispositions générales</w:t>
      </w:r>
    </w:p>
    <w:p w:rsidR="00C02497" w:rsidRPr="001F3341" w:rsidRDefault="00B97237" w:rsidP="00BE3F8F">
      <w:pPr>
        <w:pStyle w:val="SingleTxtG"/>
        <w:tabs>
          <w:tab w:val="left" w:pos="1985"/>
        </w:tabs>
        <w:rPr>
          <w:lang w:val="fr-FR"/>
        </w:rPr>
      </w:pPr>
      <w:r>
        <w:rPr>
          <w:lang w:val="fr-FR"/>
        </w:rPr>
        <w:tab/>
      </w:r>
      <w:r w:rsidR="00C02497" w:rsidRPr="001F3341">
        <w:rPr>
          <w:lang w:val="fr-FR"/>
        </w:rPr>
        <w:t xml:space="preserve">L’installation doit être conçue, réalisée et protégée de façon à ne pouvoir </w:t>
      </w:r>
      <w:r w:rsidR="00C02497">
        <w:rPr>
          <w:lang w:val="fr-FR"/>
        </w:rPr>
        <w:t>provoquer</w:t>
      </w:r>
      <w:r w:rsidR="00C02497" w:rsidRPr="001F3341">
        <w:rPr>
          <w:lang w:val="fr-FR"/>
        </w:rPr>
        <w:t xml:space="preserve"> </w:t>
      </w:r>
      <w:r w:rsidR="00C02497">
        <w:rPr>
          <w:lang w:val="fr-FR"/>
        </w:rPr>
        <w:t>ni inflammation, ni</w:t>
      </w:r>
      <w:r w:rsidR="00C02497" w:rsidRPr="001F3341">
        <w:rPr>
          <w:lang w:val="fr-FR"/>
        </w:rPr>
        <w:t xml:space="preserve"> un court-circuit</w:t>
      </w:r>
      <w:r w:rsidR="00C02497">
        <w:rPr>
          <w:lang w:val="fr-FR"/>
        </w:rPr>
        <w:t>,</w:t>
      </w:r>
      <w:r w:rsidR="00C02497" w:rsidRPr="001F3341">
        <w:rPr>
          <w:lang w:val="fr-FR"/>
        </w:rPr>
        <w:t xml:space="preserve"> dans des conditions normales d’utilisation d</w:t>
      </w:r>
      <w:r w:rsidR="00C02497">
        <w:rPr>
          <w:lang w:val="fr-FR"/>
        </w:rPr>
        <w:t>es</w:t>
      </w:r>
      <w:r w:rsidR="00C02497" w:rsidRPr="001F3341">
        <w:rPr>
          <w:lang w:val="fr-FR"/>
        </w:rPr>
        <w:t xml:space="preserve"> véhicule</w:t>
      </w:r>
      <w:r w:rsidR="00C02497">
        <w:rPr>
          <w:lang w:val="fr-FR"/>
        </w:rPr>
        <w:t>s</w:t>
      </w:r>
      <w:r w:rsidR="00C02497" w:rsidRPr="001F3341">
        <w:rPr>
          <w:lang w:val="fr-FR"/>
        </w:rPr>
        <w:t xml:space="preserve">. </w:t>
      </w:r>
    </w:p>
    <w:p w:rsidR="00C02497" w:rsidRPr="001F3341" w:rsidRDefault="00B97237" w:rsidP="00BE3F8F">
      <w:pPr>
        <w:pStyle w:val="SingleTxtG"/>
        <w:tabs>
          <w:tab w:val="left" w:pos="1985"/>
        </w:tabs>
        <w:rPr>
          <w:lang w:val="fr-FR"/>
        </w:rPr>
      </w:pPr>
      <w:r>
        <w:rPr>
          <w:lang w:val="fr-FR"/>
        </w:rPr>
        <w:tab/>
      </w:r>
      <w:r w:rsidR="00C02497" w:rsidRPr="001F3341">
        <w:rPr>
          <w:lang w:val="fr-FR"/>
        </w:rPr>
        <w:t>L’installation électrique dans son ensemble doit satisfaire aux dispositions des 9.2.2.2 à 9.2.2.9, conformément au tableau du 9.2.1.</w:t>
      </w:r>
    </w:p>
    <w:p w:rsidR="00C02497" w:rsidRPr="001F3341" w:rsidRDefault="00C02497" w:rsidP="00BE3F8F">
      <w:pPr>
        <w:pStyle w:val="SingleTxtG"/>
        <w:tabs>
          <w:tab w:val="left" w:pos="1985"/>
        </w:tabs>
        <w:rPr>
          <w:b/>
          <w:iCs/>
          <w:lang w:val="fr-FR"/>
        </w:rPr>
      </w:pPr>
      <w:r w:rsidRPr="001F3341">
        <w:rPr>
          <w:b/>
          <w:lang w:val="fr-FR"/>
        </w:rPr>
        <w:t>9.2.2.2</w:t>
      </w:r>
      <w:r w:rsidRPr="001F3341">
        <w:rPr>
          <w:b/>
          <w:lang w:val="fr-FR"/>
        </w:rPr>
        <w:tab/>
        <w:t>Canalisations</w:t>
      </w:r>
    </w:p>
    <w:p w:rsidR="00C02497" w:rsidRPr="001F3341" w:rsidRDefault="00C02497" w:rsidP="00BE3F8F">
      <w:pPr>
        <w:pStyle w:val="SingleTxtG"/>
        <w:tabs>
          <w:tab w:val="left" w:pos="1985"/>
        </w:tabs>
        <w:rPr>
          <w:b/>
          <w:lang w:val="fr-FR"/>
        </w:rPr>
      </w:pPr>
      <w:r w:rsidRPr="001F3341">
        <w:rPr>
          <w:b/>
          <w:lang w:val="fr-FR"/>
        </w:rPr>
        <w:t>9.2.2.2.1</w:t>
      </w:r>
      <w:r w:rsidRPr="001F3341">
        <w:rPr>
          <w:b/>
          <w:lang w:val="fr-FR"/>
        </w:rPr>
        <w:tab/>
        <w:t>Câbles</w:t>
      </w:r>
    </w:p>
    <w:p w:rsidR="00C02497" w:rsidRPr="001F3341" w:rsidRDefault="00B97237" w:rsidP="00BE3F8F">
      <w:pPr>
        <w:pStyle w:val="SingleTxtG"/>
        <w:tabs>
          <w:tab w:val="left" w:pos="1985"/>
        </w:tabs>
        <w:rPr>
          <w:lang w:val="fr-FR"/>
        </w:rPr>
      </w:pPr>
      <w:r>
        <w:rPr>
          <w:lang w:val="fr-FR"/>
        </w:rPr>
        <w:tab/>
      </w:r>
      <w:r w:rsidR="00C02497" w:rsidRPr="001F3341">
        <w:rPr>
          <w:lang w:val="fr-FR"/>
        </w:rPr>
        <w:t xml:space="preserve">Aucun câble utilisé dans un circuit électrique ne doit transmettre un courant d’une intensité supérieure à celle pour laquelle il a été conçu. </w:t>
      </w:r>
      <w:r w:rsidR="00C02497">
        <w:rPr>
          <w:lang w:val="fr-FR"/>
        </w:rPr>
        <w:t>Les conducteurs</w:t>
      </w:r>
      <w:r w:rsidR="00C02497" w:rsidRPr="001F3341">
        <w:rPr>
          <w:lang w:val="fr-FR"/>
        </w:rPr>
        <w:t xml:space="preserve"> doi</w:t>
      </w:r>
      <w:r w:rsidR="00C02497">
        <w:rPr>
          <w:lang w:val="fr-FR"/>
        </w:rPr>
        <w:t>ven</w:t>
      </w:r>
      <w:r w:rsidR="00C02497" w:rsidRPr="001F3341">
        <w:rPr>
          <w:lang w:val="fr-FR"/>
        </w:rPr>
        <w:t>t être convenablement isolé</w:t>
      </w:r>
      <w:r w:rsidR="00C02497">
        <w:rPr>
          <w:lang w:val="fr-FR"/>
        </w:rPr>
        <w:t>s</w:t>
      </w:r>
      <w:r w:rsidR="00C02497" w:rsidRPr="001F3341">
        <w:rPr>
          <w:lang w:val="fr-FR"/>
        </w:rPr>
        <w:t>.</w:t>
      </w:r>
    </w:p>
    <w:p w:rsidR="00C02497" w:rsidRPr="001F3341" w:rsidRDefault="00B97237" w:rsidP="00BE3F8F">
      <w:pPr>
        <w:pStyle w:val="SingleTxtG"/>
        <w:tabs>
          <w:tab w:val="left" w:pos="1985"/>
        </w:tabs>
        <w:rPr>
          <w:lang w:val="fr-FR"/>
        </w:rPr>
      </w:pPr>
      <w:r>
        <w:rPr>
          <w:lang w:val="fr-FR"/>
        </w:rPr>
        <w:tab/>
      </w:r>
      <w:r w:rsidR="00C02497" w:rsidRPr="001F3341">
        <w:rPr>
          <w:lang w:val="fr-FR"/>
        </w:rPr>
        <w:t>Les câbles doivent être adaptés aux conditions dans lesquelles il est prévu de les utiliser, notamment les conditions de température et de compatibilité avec les fluides telles qu’énoncées dans les normes ISO 16750-</w:t>
      </w:r>
      <w:r w:rsidR="00C02497">
        <w:rPr>
          <w:lang w:val="fr-FR"/>
        </w:rPr>
        <w:t>4</w:t>
      </w:r>
      <w:r w:rsidR="00C02497" w:rsidRPr="001F3341">
        <w:rPr>
          <w:lang w:val="fr-FR"/>
        </w:rPr>
        <w:t>:20</w:t>
      </w:r>
      <w:r w:rsidR="00C02497">
        <w:rPr>
          <w:lang w:val="fr-FR"/>
        </w:rPr>
        <w:t>10</w:t>
      </w:r>
      <w:r w:rsidR="00C02497" w:rsidRPr="001F3341">
        <w:rPr>
          <w:lang w:val="fr-FR"/>
        </w:rPr>
        <w:t xml:space="preserve"> et ISO 16750-5:2010.</w:t>
      </w:r>
    </w:p>
    <w:p w:rsidR="00C02497" w:rsidRPr="001F3341" w:rsidRDefault="00B97237" w:rsidP="00BE3F8F">
      <w:pPr>
        <w:pStyle w:val="SingleTxtG"/>
        <w:tabs>
          <w:tab w:val="left" w:pos="1985"/>
        </w:tabs>
        <w:rPr>
          <w:lang w:val="fr-FR"/>
        </w:rPr>
      </w:pPr>
      <w:r>
        <w:rPr>
          <w:lang w:val="fr-FR"/>
        </w:rPr>
        <w:lastRenderedPageBreak/>
        <w:tab/>
      </w:r>
      <w:r w:rsidR="00C02497" w:rsidRPr="001F3341">
        <w:rPr>
          <w:lang w:val="fr-FR"/>
        </w:rPr>
        <w:t>Ils doivent être conformes à la norme ISO 6722-1:2011</w:t>
      </w:r>
      <w:r w:rsidR="00610954">
        <w:rPr>
          <w:lang w:val="fr-FR"/>
        </w:rPr>
        <w:t xml:space="preserve"> +</w:t>
      </w:r>
      <w:r w:rsidR="00610954" w:rsidRPr="001F3341">
        <w:rPr>
          <w:lang w:val="fr-FR"/>
        </w:rPr>
        <w:t xml:space="preserve"> </w:t>
      </w:r>
      <w:r w:rsidR="00C02497" w:rsidRPr="001F3341">
        <w:rPr>
          <w:lang w:val="fr-FR"/>
        </w:rPr>
        <w:t>Cor 01:2012 ou ISO 6722-2:2013.</w:t>
      </w:r>
    </w:p>
    <w:p w:rsidR="00C02497" w:rsidRPr="001F3341" w:rsidRDefault="00B97237" w:rsidP="00BE3F8F">
      <w:pPr>
        <w:pStyle w:val="SingleTxtG"/>
        <w:tabs>
          <w:tab w:val="left" w:pos="1985"/>
        </w:tabs>
        <w:rPr>
          <w:lang w:val="fr-FR"/>
        </w:rPr>
      </w:pPr>
      <w:r>
        <w:rPr>
          <w:lang w:val="fr-FR"/>
        </w:rPr>
        <w:tab/>
      </w:r>
      <w:r w:rsidR="00C02497" w:rsidRPr="001F3341">
        <w:rPr>
          <w:lang w:val="fr-FR"/>
        </w:rPr>
        <w:t xml:space="preserve">Les </w:t>
      </w:r>
      <w:r w:rsidR="00C02497">
        <w:rPr>
          <w:lang w:val="fr-FR"/>
        </w:rPr>
        <w:t>câbles</w:t>
      </w:r>
      <w:r w:rsidR="00C02497" w:rsidRPr="001F3341">
        <w:rPr>
          <w:lang w:val="fr-FR"/>
        </w:rPr>
        <w:t xml:space="preserve"> doivent être solidement attachés et placés de façon à être protégés contre les agressions mécaniques et thermiques.</w:t>
      </w:r>
    </w:p>
    <w:p w:rsidR="00C02497" w:rsidRPr="001F3341" w:rsidRDefault="00C02497" w:rsidP="00BE3F8F">
      <w:pPr>
        <w:pStyle w:val="SingleTxtG"/>
        <w:tabs>
          <w:tab w:val="left" w:pos="1985"/>
        </w:tabs>
        <w:rPr>
          <w:b/>
          <w:lang w:val="fr-FR"/>
        </w:rPr>
      </w:pPr>
      <w:r w:rsidRPr="001F3341">
        <w:rPr>
          <w:b/>
          <w:lang w:val="fr-FR"/>
        </w:rPr>
        <w:t>9.2.2.2.2</w:t>
      </w:r>
      <w:r w:rsidRPr="001F3341">
        <w:rPr>
          <w:b/>
          <w:lang w:val="fr-FR"/>
        </w:rPr>
        <w:tab/>
        <w:t xml:space="preserve">Protection </w:t>
      </w:r>
      <w:r>
        <w:rPr>
          <w:b/>
          <w:lang w:val="fr-FR"/>
        </w:rPr>
        <w:t>sup</w:t>
      </w:r>
      <w:r w:rsidRPr="001F3341">
        <w:rPr>
          <w:b/>
          <w:lang w:val="fr-FR"/>
        </w:rPr>
        <w:t>plémentaire</w:t>
      </w:r>
    </w:p>
    <w:p w:rsidR="00C02497" w:rsidRPr="001F3341" w:rsidRDefault="00B97237" w:rsidP="00BE3F8F">
      <w:pPr>
        <w:pStyle w:val="SingleTxtG"/>
        <w:tabs>
          <w:tab w:val="left" w:pos="1985"/>
        </w:tabs>
        <w:rPr>
          <w:lang w:val="fr-FR"/>
        </w:rPr>
      </w:pPr>
      <w:r>
        <w:rPr>
          <w:lang w:val="fr-FR"/>
        </w:rPr>
        <w:tab/>
      </w:r>
      <w:r w:rsidR="00C02497" w:rsidRPr="001F3341">
        <w:rPr>
          <w:lang w:val="fr-FR"/>
        </w:rPr>
        <w:t>Les câbles situés à l’arrière de la cabine de conduite et sur les remorques doivent</w:t>
      </w:r>
      <w:r w:rsidR="00C02497">
        <w:rPr>
          <w:lang w:val="fr-FR"/>
        </w:rPr>
        <w:t xml:space="preserve"> en outre</w:t>
      </w:r>
      <w:r w:rsidR="00C02497" w:rsidRPr="001F3341">
        <w:rPr>
          <w:lang w:val="fr-FR"/>
        </w:rPr>
        <w:t xml:space="preserve"> être protégés de façon à réduire au minimum les risques d’in</w:t>
      </w:r>
      <w:r w:rsidR="00C02497">
        <w:rPr>
          <w:lang w:val="fr-FR"/>
        </w:rPr>
        <w:t>flammation</w:t>
      </w:r>
      <w:r w:rsidR="00C02497" w:rsidRPr="001F3341">
        <w:rPr>
          <w:lang w:val="fr-FR"/>
        </w:rPr>
        <w:t xml:space="preserve"> ou de court-circuit accidentel en cas de choc ou de déformation.</w:t>
      </w:r>
    </w:p>
    <w:p w:rsidR="00C02497" w:rsidRPr="001F3341" w:rsidRDefault="00B97237" w:rsidP="00BE3F8F">
      <w:pPr>
        <w:pStyle w:val="SingleTxtG"/>
        <w:tabs>
          <w:tab w:val="left" w:pos="1985"/>
        </w:tabs>
        <w:rPr>
          <w:lang w:val="fr-FR"/>
        </w:rPr>
      </w:pPr>
      <w:r>
        <w:rPr>
          <w:lang w:val="fr-FR"/>
        </w:rPr>
        <w:tab/>
      </w:r>
      <w:r w:rsidR="00C02497" w:rsidRPr="001F3341">
        <w:rPr>
          <w:lang w:val="fr-FR"/>
        </w:rPr>
        <w:t xml:space="preserve">Cette protection </w:t>
      </w:r>
      <w:r w:rsidR="00C02497">
        <w:rPr>
          <w:lang w:val="fr-FR"/>
        </w:rPr>
        <w:t>sup</w:t>
      </w:r>
      <w:r w:rsidR="00C02497" w:rsidRPr="001F3341">
        <w:rPr>
          <w:lang w:val="fr-FR"/>
        </w:rPr>
        <w:t>plémentaire doit être adaptée aux conditions normales d’utilisation du véhicule.</w:t>
      </w:r>
      <w:r w:rsidR="00C02497">
        <w:rPr>
          <w:lang w:val="fr-FR"/>
        </w:rPr>
        <w:t xml:space="preserve"> </w:t>
      </w:r>
    </w:p>
    <w:p w:rsidR="00C02497" w:rsidRDefault="00B97237" w:rsidP="00BE3F8F">
      <w:pPr>
        <w:pStyle w:val="SingleTxtG"/>
        <w:tabs>
          <w:tab w:val="left" w:pos="1985"/>
        </w:tabs>
        <w:rPr>
          <w:lang w:val="fr-FR"/>
        </w:rPr>
      </w:pPr>
      <w:r>
        <w:rPr>
          <w:lang w:val="fr-FR"/>
        </w:rPr>
        <w:tab/>
      </w:r>
      <w:r w:rsidR="00C02497" w:rsidRPr="001F3341">
        <w:rPr>
          <w:lang w:val="fr-FR"/>
        </w:rPr>
        <w:t xml:space="preserve">La protection </w:t>
      </w:r>
      <w:r w:rsidR="00C02497">
        <w:rPr>
          <w:lang w:val="fr-FR"/>
        </w:rPr>
        <w:t>sup</w:t>
      </w:r>
      <w:r w:rsidR="00C02497" w:rsidRPr="001F3341">
        <w:rPr>
          <w:lang w:val="fr-FR"/>
        </w:rPr>
        <w:t>plémentaire est assurée lorsqu’on utilise des câbles multifilaires conformes à la norme ISO 14572:2011</w:t>
      </w:r>
      <w:r w:rsidR="00C02497">
        <w:rPr>
          <w:lang w:val="fr-FR"/>
        </w:rPr>
        <w:t>,</w:t>
      </w:r>
      <w:r w:rsidR="00C02497" w:rsidRPr="001F3341">
        <w:rPr>
          <w:lang w:val="fr-FR"/>
        </w:rPr>
        <w:t xml:space="preserve"> </w:t>
      </w:r>
      <w:r w:rsidR="00C02497">
        <w:rPr>
          <w:lang w:val="fr-FR"/>
        </w:rPr>
        <w:t>ou un d</w:t>
      </w:r>
      <w:r w:rsidR="00C02497" w:rsidRPr="001F3341">
        <w:rPr>
          <w:lang w:val="fr-FR"/>
        </w:rPr>
        <w:t xml:space="preserve">es exemples des figures </w:t>
      </w:r>
      <w:r w:rsidR="00A21EDE" w:rsidRPr="00341810">
        <w:rPr>
          <w:iCs/>
          <w:spacing w:val="-2"/>
          <w:lang w:val="fr-FR"/>
        </w:rPr>
        <w:t>9.2.2.2.2.1 à 9.2.2.2.2.4</w:t>
      </w:r>
      <w:r w:rsidR="00C02497" w:rsidRPr="001F3341">
        <w:rPr>
          <w:lang w:val="fr-FR"/>
        </w:rPr>
        <w:t xml:space="preserve"> ci-après, ou toute autre configuration offrant une protection comparable.</w:t>
      </w:r>
    </w:p>
    <w:p w:rsidR="00814F45" w:rsidRPr="004536BE" w:rsidRDefault="00814F45" w:rsidP="00BE3F8F">
      <w:pPr>
        <w:pStyle w:val="SingleTxtG"/>
        <w:tabs>
          <w:tab w:val="left" w:pos="1985"/>
        </w:tabs>
        <w:rPr>
          <w:i/>
          <w:iCs/>
          <w:spacing w:val="-2"/>
          <w:lang w:val="fr-FR"/>
        </w:rPr>
      </w:pPr>
      <w:r w:rsidRPr="004536BE">
        <w:rPr>
          <w:i/>
          <w:iCs/>
          <w:spacing w:val="-2"/>
          <w:lang w:val="fr-FR"/>
        </w:rPr>
        <w:t xml:space="preserve">[Insérer </w:t>
      </w:r>
      <w:r>
        <w:rPr>
          <w:i/>
          <w:iCs/>
          <w:spacing w:val="-2"/>
          <w:lang w:val="fr-FR"/>
        </w:rPr>
        <w:t>à cet emplacement les figures</w:t>
      </w:r>
      <w:r w:rsidRPr="004536BE">
        <w:rPr>
          <w:i/>
          <w:iCs/>
          <w:spacing w:val="-2"/>
          <w:lang w:val="fr-FR"/>
        </w:rPr>
        <w:t xml:space="preserve"> existant</w:t>
      </w:r>
      <w:r>
        <w:rPr>
          <w:i/>
          <w:iCs/>
          <w:spacing w:val="-2"/>
          <w:lang w:val="fr-FR"/>
        </w:rPr>
        <w:t>es du 9.2.2.6</w:t>
      </w:r>
      <w:r w:rsidRPr="004536BE">
        <w:rPr>
          <w:i/>
          <w:iCs/>
          <w:spacing w:val="-2"/>
          <w:lang w:val="fr-FR"/>
        </w:rPr>
        <w:t xml:space="preserve"> renuméroté</w:t>
      </w:r>
      <w:r>
        <w:rPr>
          <w:i/>
          <w:iCs/>
          <w:spacing w:val="-2"/>
          <w:lang w:val="fr-FR"/>
        </w:rPr>
        <w:t>es</w:t>
      </w:r>
      <w:r w:rsidRPr="004536BE">
        <w:rPr>
          <w:i/>
          <w:iCs/>
          <w:spacing w:val="-2"/>
          <w:lang w:val="fr-FR"/>
        </w:rPr>
        <w:t xml:space="preserve"> </w:t>
      </w:r>
      <w:r>
        <w:rPr>
          <w:i/>
          <w:iCs/>
          <w:spacing w:val="-2"/>
          <w:lang w:val="fr-FR"/>
        </w:rPr>
        <w:t>respectivement 9.2.2.2.</w:t>
      </w:r>
      <w:r w:rsidR="00A21EDE">
        <w:rPr>
          <w:i/>
          <w:iCs/>
          <w:spacing w:val="-2"/>
          <w:lang w:val="fr-FR"/>
        </w:rPr>
        <w:t>2.</w:t>
      </w:r>
      <w:r>
        <w:rPr>
          <w:i/>
          <w:iCs/>
          <w:spacing w:val="-2"/>
          <w:lang w:val="fr-FR"/>
        </w:rPr>
        <w:t>1 à 9.2.2.2.</w:t>
      </w:r>
      <w:r w:rsidR="00A21EDE">
        <w:rPr>
          <w:i/>
          <w:iCs/>
          <w:spacing w:val="-2"/>
          <w:lang w:val="fr-FR"/>
        </w:rPr>
        <w:t>2.</w:t>
      </w:r>
      <w:r>
        <w:rPr>
          <w:i/>
          <w:iCs/>
          <w:spacing w:val="-2"/>
          <w:lang w:val="fr-FR"/>
        </w:rPr>
        <w:t>4</w:t>
      </w:r>
      <w:r w:rsidRPr="004536BE">
        <w:rPr>
          <w:i/>
          <w:iCs/>
          <w:spacing w:val="-2"/>
          <w:lang w:val="fr-FR"/>
        </w:rPr>
        <w:t>.]</w:t>
      </w:r>
    </w:p>
    <w:p w:rsidR="00C02497" w:rsidRPr="001F3341" w:rsidRDefault="00BE3F8F" w:rsidP="00BE3F8F">
      <w:pPr>
        <w:pStyle w:val="SingleTxtG"/>
        <w:tabs>
          <w:tab w:val="left" w:pos="1985"/>
        </w:tabs>
        <w:rPr>
          <w:lang w:val="fr-FR"/>
        </w:rPr>
      </w:pPr>
      <w:r>
        <w:rPr>
          <w:lang w:val="fr-FR"/>
        </w:rPr>
        <w:tab/>
      </w:r>
      <w:r w:rsidR="00C02497" w:rsidRPr="001F3341">
        <w:rPr>
          <w:lang w:val="fr-FR"/>
        </w:rPr>
        <w:t xml:space="preserve">Il n’est pas nécessaire de prévoir une protection </w:t>
      </w:r>
      <w:r w:rsidR="00C02497">
        <w:rPr>
          <w:lang w:val="fr-FR"/>
        </w:rPr>
        <w:t>sup</w:t>
      </w:r>
      <w:r w:rsidR="00C02497" w:rsidRPr="001F3341">
        <w:rPr>
          <w:lang w:val="fr-FR"/>
        </w:rPr>
        <w:t>plémentaire pour les câbles des capteurs de vitesse des roues.</w:t>
      </w:r>
    </w:p>
    <w:p w:rsidR="00C02497" w:rsidRPr="001F3341" w:rsidRDefault="00BE3F8F" w:rsidP="00BE3F8F">
      <w:pPr>
        <w:pStyle w:val="SingleTxtG"/>
        <w:tabs>
          <w:tab w:val="left" w:pos="1985"/>
        </w:tabs>
        <w:rPr>
          <w:lang w:val="fr-FR"/>
        </w:rPr>
      </w:pPr>
      <w:r>
        <w:rPr>
          <w:lang w:val="fr-FR"/>
        </w:rPr>
        <w:tab/>
      </w:r>
      <w:r w:rsidR="00C02497" w:rsidRPr="00A21EDE">
        <w:rPr>
          <w:lang w:val="fr-FR"/>
        </w:rPr>
        <w:t>Les véhicules EX/II</w:t>
      </w:r>
      <w:r w:rsidR="00A21EDE">
        <w:rPr>
          <w:lang w:val="fr-FR"/>
        </w:rPr>
        <w:t xml:space="preserve"> qui sont des </w:t>
      </w:r>
      <w:r w:rsidR="00C02497" w:rsidRPr="00A21EDE">
        <w:rPr>
          <w:lang w:val="fr-FR"/>
        </w:rPr>
        <w:t>fourgons construits en une seule étape sur lesquels les canalisations à l’arrière de la cabine de conduite sont protégées par la carrosserie</w:t>
      </w:r>
      <w:r w:rsidR="00A21EDE">
        <w:rPr>
          <w:lang w:val="fr-FR"/>
        </w:rPr>
        <w:t>,</w:t>
      </w:r>
      <w:r w:rsidR="00A21EDE" w:rsidRPr="00A21EDE">
        <w:rPr>
          <w:lang w:val="fr-FR"/>
        </w:rPr>
        <w:t xml:space="preserve"> satisfont à l’exigence de protection supplémentaire</w:t>
      </w:r>
      <w:r w:rsidR="00C02497" w:rsidRPr="00A21EDE">
        <w:rPr>
          <w:lang w:val="fr-FR"/>
        </w:rPr>
        <w:t>.</w:t>
      </w:r>
      <w:r w:rsidR="00C02497">
        <w:rPr>
          <w:lang w:val="fr-FR"/>
        </w:rPr>
        <w:t xml:space="preserve"> </w:t>
      </w:r>
    </w:p>
    <w:p w:rsidR="00C02497" w:rsidRPr="001F3341" w:rsidRDefault="00C02497" w:rsidP="00BE3F8F">
      <w:pPr>
        <w:pStyle w:val="SingleTxtG"/>
        <w:tabs>
          <w:tab w:val="left" w:pos="1985"/>
        </w:tabs>
        <w:rPr>
          <w:b/>
          <w:lang w:val="fr-FR"/>
        </w:rPr>
      </w:pPr>
      <w:r w:rsidRPr="001F3341">
        <w:rPr>
          <w:b/>
          <w:lang w:val="fr-FR"/>
        </w:rPr>
        <w:t>9.2.2.3</w:t>
      </w:r>
      <w:r w:rsidRPr="001F3341">
        <w:rPr>
          <w:b/>
          <w:lang w:val="fr-FR"/>
        </w:rPr>
        <w:tab/>
        <w:t>Fusibles et disjoncteurs</w:t>
      </w:r>
    </w:p>
    <w:p w:rsidR="00C02497" w:rsidRPr="001F3341" w:rsidRDefault="00BE3F8F" w:rsidP="00BE3F8F">
      <w:pPr>
        <w:pStyle w:val="SingleTxtG"/>
        <w:tabs>
          <w:tab w:val="left" w:pos="1985"/>
        </w:tabs>
        <w:rPr>
          <w:lang w:val="fr-FR"/>
        </w:rPr>
      </w:pPr>
      <w:r>
        <w:rPr>
          <w:lang w:val="fr-FR"/>
        </w:rPr>
        <w:tab/>
      </w:r>
      <w:r w:rsidR="00C02497" w:rsidRPr="001F3341">
        <w:rPr>
          <w:lang w:val="fr-FR"/>
        </w:rPr>
        <w:t>Tous les circuits doivent être protégés par des fusibles ou des disjoncteurs automatiques, à l’exception des circuits suivants</w:t>
      </w:r>
      <w:r w:rsidR="00C02497">
        <w:rPr>
          <w:lang w:val="fr-FR"/>
        </w:rPr>
        <w:t> :</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d</w:t>
      </w:r>
      <w:r w:rsidR="00C02497" w:rsidRPr="001F3341">
        <w:rPr>
          <w:lang w:val="fr-FR"/>
        </w:rPr>
        <w:t>e la batterie de démarrage au système de démarrage à froid;</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d</w:t>
      </w:r>
      <w:r w:rsidR="00C02497" w:rsidRPr="001F3341">
        <w:rPr>
          <w:lang w:val="fr-FR"/>
        </w:rPr>
        <w:t>e la batterie de démarrage à l’alternateur;</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d</w:t>
      </w:r>
      <w:r w:rsidR="00C02497" w:rsidRPr="001F3341">
        <w:rPr>
          <w:lang w:val="fr-FR"/>
        </w:rPr>
        <w:t>e l’alternateur à la boîte de fusibles ou de disjoncteurs;</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d</w:t>
      </w:r>
      <w:r w:rsidR="00C02497" w:rsidRPr="001F3341">
        <w:rPr>
          <w:lang w:val="fr-FR"/>
        </w:rPr>
        <w:t>e la batterie de démarrage au démarreur du moteur;</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d</w:t>
      </w:r>
      <w:r w:rsidR="00C02497" w:rsidRPr="001F3341">
        <w:rPr>
          <w:lang w:val="fr-FR"/>
        </w:rPr>
        <w:t>e la batterie de démarrage au boîtier de commande de puissance du dispositif de freinage d’endurance (voir 9.2.3.1.2), si ce dispositif est électrique ou électromagnétique;</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d</w:t>
      </w:r>
      <w:r w:rsidR="00C02497" w:rsidRPr="001F3341">
        <w:rPr>
          <w:lang w:val="fr-FR"/>
        </w:rPr>
        <w:t xml:space="preserve">e la batterie de démarrage au mécanisme de levage </w:t>
      </w:r>
      <w:r w:rsidR="00C02497">
        <w:rPr>
          <w:lang w:val="fr-FR"/>
        </w:rPr>
        <w:t>électrique de l’essieu de bogie.</w:t>
      </w:r>
    </w:p>
    <w:p w:rsidR="00C02497" w:rsidRPr="001F3341" w:rsidRDefault="00BE3F8F" w:rsidP="00BE3F8F">
      <w:pPr>
        <w:pStyle w:val="SingleTxtG"/>
        <w:tabs>
          <w:tab w:val="left" w:pos="1985"/>
        </w:tabs>
        <w:rPr>
          <w:lang w:val="fr-FR"/>
        </w:rPr>
      </w:pPr>
      <w:r>
        <w:rPr>
          <w:lang w:val="fr-FR"/>
        </w:rPr>
        <w:tab/>
      </w:r>
      <w:r w:rsidR="00C02497" w:rsidRPr="001F3341">
        <w:rPr>
          <w:lang w:val="fr-FR"/>
        </w:rPr>
        <w:t>Les circuits non protégés ci-dessus doivent être les plus courts possible.</w:t>
      </w:r>
    </w:p>
    <w:p w:rsidR="00C02497" w:rsidRPr="001F3341" w:rsidRDefault="00C02497" w:rsidP="00BE3F8F">
      <w:pPr>
        <w:pStyle w:val="SingleTxtG"/>
        <w:tabs>
          <w:tab w:val="left" w:pos="1985"/>
        </w:tabs>
        <w:rPr>
          <w:b/>
          <w:lang w:val="fr-FR"/>
        </w:rPr>
      </w:pPr>
      <w:r w:rsidRPr="001F3341">
        <w:rPr>
          <w:b/>
          <w:lang w:val="fr-FR"/>
        </w:rPr>
        <w:t>9.2.2.4</w:t>
      </w:r>
      <w:r w:rsidRPr="001F3341">
        <w:rPr>
          <w:b/>
          <w:lang w:val="fr-FR"/>
        </w:rPr>
        <w:tab/>
        <w:t>Batteries</w:t>
      </w:r>
    </w:p>
    <w:p w:rsidR="00C02497" w:rsidRPr="001F3341" w:rsidRDefault="00BE3F8F" w:rsidP="00BE3F8F">
      <w:pPr>
        <w:pStyle w:val="SingleTxtG"/>
        <w:tabs>
          <w:tab w:val="left" w:pos="1985"/>
        </w:tabs>
        <w:rPr>
          <w:lang w:val="fr-FR"/>
        </w:rPr>
      </w:pPr>
      <w:r>
        <w:rPr>
          <w:lang w:val="fr-FR"/>
        </w:rPr>
        <w:tab/>
      </w:r>
      <w:r w:rsidR="00C02497" w:rsidRPr="001F3341">
        <w:rPr>
          <w:lang w:val="fr-FR"/>
        </w:rPr>
        <w:t>Les bornes des batteries doivent être isolées électriquement</w:t>
      </w:r>
      <w:r w:rsidR="00C02497">
        <w:rPr>
          <w:lang w:val="fr-FR"/>
        </w:rPr>
        <w:t xml:space="preserve"> ou</w:t>
      </w:r>
      <w:r w:rsidR="00C02497" w:rsidRPr="001F3341">
        <w:rPr>
          <w:lang w:val="fr-FR"/>
        </w:rPr>
        <w:t xml:space="preserve"> </w:t>
      </w:r>
      <w:r w:rsidR="00C02497">
        <w:rPr>
          <w:lang w:val="fr-FR"/>
        </w:rPr>
        <w:t>l</w:t>
      </w:r>
      <w:r w:rsidR="00C02497" w:rsidRPr="001F3341">
        <w:rPr>
          <w:lang w:val="fr-FR"/>
        </w:rPr>
        <w:t xml:space="preserve">a batterie </w:t>
      </w:r>
      <w:r w:rsidR="00C02497">
        <w:rPr>
          <w:lang w:val="fr-FR"/>
        </w:rPr>
        <w:t>doit</w:t>
      </w:r>
      <w:r w:rsidR="00C02497" w:rsidRPr="001F3341">
        <w:rPr>
          <w:lang w:val="fr-FR"/>
        </w:rPr>
        <w:t xml:space="preserve"> être couverte par un couvercle isolant.</w:t>
      </w:r>
    </w:p>
    <w:p w:rsidR="00C02497" w:rsidRPr="001F3341" w:rsidRDefault="00BE3F8F" w:rsidP="00BE3F8F">
      <w:pPr>
        <w:pStyle w:val="SingleTxtG"/>
        <w:tabs>
          <w:tab w:val="left" w:pos="1985"/>
        </w:tabs>
        <w:rPr>
          <w:lang w:val="fr-FR"/>
        </w:rPr>
      </w:pPr>
      <w:r>
        <w:rPr>
          <w:lang w:val="fr-FR"/>
        </w:rPr>
        <w:tab/>
      </w:r>
      <w:r w:rsidR="00C02497" w:rsidRPr="001F3341">
        <w:rPr>
          <w:lang w:val="fr-FR"/>
        </w:rPr>
        <w:t xml:space="preserve">Les batteries qui peuvent dégager des gaz inflammables et qui ne se trouvent pas sous le capot moteur doivent être installées dans un </w:t>
      </w:r>
      <w:r w:rsidR="00C02497">
        <w:rPr>
          <w:lang w:val="fr-FR"/>
        </w:rPr>
        <w:t>coffre</w:t>
      </w:r>
      <w:r w:rsidR="00C02497" w:rsidRPr="001F3341">
        <w:rPr>
          <w:lang w:val="fr-FR"/>
        </w:rPr>
        <w:t xml:space="preserve"> ventilé.</w:t>
      </w:r>
    </w:p>
    <w:p w:rsidR="00C02497" w:rsidRPr="001F3341" w:rsidRDefault="00C02497" w:rsidP="00BE3F8F">
      <w:pPr>
        <w:pStyle w:val="SingleTxtG"/>
        <w:tabs>
          <w:tab w:val="left" w:pos="1985"/>
        </w:tabs>
        <w:rPr>
          <w:b/>
          <w:lang w:val="fr-FR"/>
        </w:rPr>
      </w:pPr>
      <w:r w:rsidRPr="001F3341">
        <w:rPr>
          <w:b/>
          <w:lang w:val="fr-FR"/>
        </w:rPr>
        <w:t>9.2.2.5</w:t>
      </w:r>
      <w:r w:rsidRPr="001F3341">
        <w:rPr>
          <w:b/>
          <w:lang w:val="fr-FR"/>
        </w:rPr>
        <w:tab/>
        <w:t>Éclairage</w:t>
      </w:r>
    </w:p>
    <w:p w:rsidR="00C02497" w:rsidRPr="001F3341" w:rsidRDefault="00C02497" w:rsidP="00BE3F8F">
      <w:pPr>
        <w:pStyle w:val="SingleTxtG"/>
        <w:tabs>
          <w:tab w:val="left" w:pos="1985"/>
        </w:tabs>
        <w:rPr>
          <w:lang w:val="fr-FR"/>
        </w:rPr>
      </w:pPr>
      <w:r w:rsidRPr="001F3341">
        <w:rPr>
          <w:lang w:val="fr-FR"/>
        </w:rPr>
        <w:t>Les sources lumineuses pourvues d’un culot à vis ne doivent pas être utilisées.</w:t>
      </w:r>
    </w:p>
    <w:p w:rsidR="00C02497" w:rsidRPr="001F3341" w:rsidRDefault="00C02497" w:rsidP="00BE3F8F">
      <w:pPr>
        <w:pStyle w:val="SingleTxtG"/>
        <w:tabs>
          <w:tab w:val="left" w:pos="1985"/>
        </w:tabs>
        <w:rPr>
          <w:b/>
          <w:lang w:val="fr-FR"/>
        </w:rPr>
      </w:pPr>
      <w:r w:rsidRPr="001F3341">
        <w:rPr>
          <w:b/>
          <w:lang w:val="fr-FR"/>
        </w:rPr>
        <w:t>9.2.2.6</w:t>
      </w:r>
      <w:r w:rsidRPr="001F3341">
        <w:rPr>
          <w:b/>
          <w:lang w:val="fr-FR"/>
        </w:rPr>
        <w:tab/>
        <w:t>Connexions électriques</w:t>
      </w:r>
      <w:r w:rsidRPr="00B87F8E">
        <w:rPr>
          <w:b/>
          <w:lang w:val="fr-FR"/>
        </w:rPr>
        <w:t xml:space="preserve"> entre les véhicules à moteur et les remorques</w:t>
      </w:r>
    </w:p>
    <w:p w:rsidR="00C02497" w:rsidRDefault="00C02497" w:rsidP="00BE3F8F">
      <w:pPr>
        <w:pStyle w:val="SingleTxtG"/>
        <w:tabs>
          <w:tab w:val="left" w:pos="1985"/>
        </w:tabs>
        <w:rPr>
          <w:lang w:val="fr-FR"/>
        </w:rPr>
      </w:pPr>
      <w:r w:rsidRPr="001F3341">
        <w:rPr>
          <w:lang w:val="fr-FR"/>
        </w:rPr>
        <w:lastRenderedPageBreak/>
        <w:t>9.2.2.6.1</w:t>
      </w:r>
      <w:r>
        <w:rPr>
          <w:lang w:val="fr-FR"/>
        </w:rPr>
        <w:tab/>
      </w:r>
      <w:r w:rsidRPr="001F3341">
        <w:rPr>
          <w:lang w:val="fr-FR"/>
        </w:rPr>
        <w:t>Les connexions électriques doivent être conçues de façon à prévenir</w:t>
      </w:r>
      <w:r>
        <w:rPr>
          <w:lang w:val="fr-FR"/>
        </w:rPr>
        <w:t> :</w:t>
      </w:r>
    </w:p>
    <w:p w:rsidR="00C02497" w:rsidRPr="001F3341" w:rsidRDefault="00BE3F8F" w:rsidP="00BE3F8F">
      <w:pPr>
        <w:pStyle w:val="SingleTxtG"/>
        <w:tabs>
          <w:tab w:val="left" w:pos="1985"/>
        </w:tabs>
        <w:rPr>
          <w:lang w:val="fr-FR"/>
        </w:rPr>
      </w:pPr>
      <w:r>
        <w:rPr>
          <w:lang w:val="fr-FR"/>
        </w:rPr>
        <w:tab/>
        <w:t>-</w:t>
      </w:r>
      <w:r>
        <w:rPr>
          <w:lang w:val="fr-FR"/>
        </w:rPr>
        <w:tab/>
      </w:r>
      <w:r w:rsidR="00F70CE8">
        <w:rPr>
          <w:lang w:val="fr-FR"/>
        </w:rPr>
        <w:t>la pénétration</w:t>
      </w:r>
      <w:r w:rsidR="00C02497" w:rsidRPr="001F3341">
        <w:rPr>
          <w:lang w:val="fr-FR"/>
        </w:rPr>
        <w:t xml:space="preserve"> d’humidité et d’impuretés; </w:t>
      </w:r>
      <w:r w:rsidR="00F70CE8">
        <w:rPr>
          <w:lang w:val="fr-FR"/>
        </w:rPr>
        <w:t>les parties connectées doivent avoir un degré de protection au moins</w:t>
      </w:r>
      <w:r w:rsidR="00C02497" w:rsidRPr="001F3341">
        <w:rPr>
          <w:lang w:val="fr-FR"/>
        </w:rPr>
        <w:t xml:space="preserve"> IP 54 conformément à la norme CEI 60529;</w:t>
      </w:r>
    </w:p>
    <w:p w:rsidR="00C02497" w:rsidRPr="001F3341" w:rsidRDefault="00BE3F8F" w:rsidP="00BE3F8F">
      <w:pPr>
        <w:pStyle w:val="SingleTxtG"/>
        <w:tabs>
          <w:tab w:val="left" w:pos="1985"/>
        </w:tabs>
        <w:rPr>
          <w:lang w:val="fr-FR"/>
        </w:rPr>
      </w:pPr>
      <w:r>
        <w:rPr>
          <w:lang w:val="fr-FR"/>
        </w:rPr>
        <w:tab/>
        <w:t>-</w:t>
      </w:r>
      <w:r>
        <w:rPr>
          <w:lang w:val="fr-FR"/>
        </w:rPr>
        <w:tab/>
      </w:r>
      <w:r w:rsidR="00F70CE8">
        <w:rPr>
          <w:lang w:val="fr-FR"/>
        </w:rPr>
        <w:t>un débranchement accidentel</w:t>
      </w:r>
      <w:r w:rsidR="00C02497" w:rsidRPr="001F3341">
        <w:rPr>
          <w:lang w:val="fr-FR"/>
        </w:rPr>
        <w:t xml:space="preserve">; les connecteurs doivent satisfaire aux prescriptions de </w:t>
      </w:r>
      <w:r w:rsidR="00F70CE8">
        <w:rPr>
          <w:lang w:val="fr-FR"/>
        </w:rPr>
        <w:t>l’article</w:t>
      </w:r>
      <w:r w:rsidR="00C02497" w:rsidRPr="001F3341">
        <w:rPr>
          <w:lang w:val="fr-FR"/>
        </w:rPr>
        <w:t xml:space="preserve"> 5.6 de la norme ISO 4091:2003.</w:t>
      </w:r>
    </w:p>
    <w:p w:rsidR="00C02497" w:rsidRDefault="00C02497" w:rsidP="00BE3F8F">
      <w:pPr>
        <w:pStyle w:val="SingleTxtG"/>
        <w:tabs>
          <w:tab w:val="left" w:pos="1985"/>
        </w:tabs>
        <w:rPr>
          <w:lang w:val="fr-FR"/>
        </w:rPr>
      </w:pPr>
      <w:r w:rsidRPr="001F3341">
        <w:rPr>
          <w:lang w:val="fr-FR"/>
        </w:rPr>
        <w:t>9.2.2.6.2</w:t>
      </w:r>
      <w:r>
        <w:rPr>
          <w:lang w:val="fr-FR"/>
        </w:rPr>
        <w:tab/>
      </w:r>
      <w:r w:rsidRPr="001F3341">
        <w:rPr>
          <w:lang w:val="fr-FR"/>
        </w:rPr>
        <w:t xml:space="preserve">Les prescriptions du 9.2.2.6.1 sont </w:t>
      </w:r>
      <w:r w:rsidR="00F70CE8">
        <w:rPr>
          <w:lang w:val="fr-FR"/>
        </w:rPr>
        <w:t>réputées satisfaites</w:t>
      </w:r>
      <w:r>
        <w:rPr>
          <w:lang w:val="fr-FR"/>
        </w:rPr>
        <w:t> :</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d</w:t>
      </w:r>
      <w:r w:rsidR="00C02497" w:rsidRPr="001F3341">
        <w:rPr>
          <w:lang w:val="fr-FR"/>
        </w:rPr>
        <w:t>ans le cas des connecteurs répondant à des besoins spécifiques conformément aux normes ISO 12098:2004</w:t>
      </w:r>
      <w:r w:rsidR="00C02497" w:rsidRPr="00785B27">
        <w:rPr>
          <w:vertAlign w:val="superscript"/>
          <w:lang w:val="fr-FR"/>
        </w:rPr>
        <w:footnoteReference w:id="2"/>
      </w:r>
      <w:r w:rsidR="00C02497" w:rsidRPr="001F3341">
        <w:rPr>
          <w:lang w:val="fr-FR"/>
        </w:rPr>
        <w:t>, ISO 7638:</w:t>
      </w:r>
      <w:r w:rsidR="00367E36" w:rsidRPr="001F3341">
        <w:rPr>
          <w:lang w:val="fr-FR"/>
        </w:rPr>
        <w:t>2003</w:t>
      </w:r>
      <w:r w:rsidR="00367E36">
        <w:rPr>
          <w:vertAlign w:val="superscript"/>
          <w:lang w:val="fr-FR"/>
        </w:rPr>
        <w:t>1</w:t>
      </w:r>
      <w:r w:rsidR="00C02497" w:rsidRPr="001F3341">
        <w:rPr>
          <w:lang w:val="fr-FR"/>
        </w:rPr>
        <w:t>, EN 15207:</w:t>
      </w:r>
      <w:r w:rsidR="00367E36" w:rsidRPr="001F3341">
        <w:rPr>
          <w:lang w:val="fr-FR"/>
        </w:rPr>
        <w:t>2014</w:t>
      </w:r>
      <w:r w:rsidR="00367E36">
        <w:rPr>
          <w:vertAlign w:val="superscript"/>
          <w:lang w:val="fr-FR"/>
        </w:rPr>
        <w:t>1</w:t>
      </w:r>
      <w:r w:rsidR="00367E36" w:rsidRPr="001F3341">
        <w:rPr>
          <w:lang w:val="fr-FR"/>
        </w:rPr>
        <w:t xml:space="preserve"> </w:t>
      </w:r>
      <w:r w:rsidR="00C02497" w:rsidRPr="001F3341">
        <w:rPr>
          <w:lang w:val="fr-FR"/>
        </w:rPr>
        <w:t>ou ISO 25981:</w:t>
      </w:r>
      <w:r w:rsidR="00367E36" w:rsidRPr="001F3341">
        <w:rPr>
          <w:lang w:val="fr-FR"/>
        </w:rPr>
        <w:t>2008</w:t>
      </w:r>
      <w:r w:rsidR="00367E36">
        <w:rPr>
          <w:vertAlign w:val="superscript"/>
          <w:lang w:val="fr-FR"/>
        </w:rPr>
        <w:t>1</w:t>
      </w:r>
      <w:r w:rsidR="00C02497" w:rsidRPr="001F3341">
        <w:rPr>
          <w:lang w:val="fr-FR"/>
        </w:rPr>
        <w:t>;</w:t>
      </w:r>
    </w:p>
    <w:p w:rsidR="00C02497" w:rsidRPr="001F3341" w:rsidRDefault="00BE3F8F" w:rsidP="00BE3F8F">
      <w:pPr>
        <w:pStyle w:val="SingleTxtG"/>
        <w:tabs>
          <w:tab w:val="left" w:pos="1985"/>
        </w:tabs>
        <w:rPr>
          <w:lang w:val="fr-FR"/>
        </w:rPr>
      </w:pPr>
      <w:r>
        <w:rPr>
          <w:lang w:val="fr-FR"/>
        </w:rPr>
        <w:tab/>
        <w:t>-</w:t>
      </w:r>
      <w:r>
        <w:rPr>
          <w:lang w:val="fr-FR"/>
        </w:rPr>
        <w:tab/>
      </w:r>
      <w:r w:rsidR="00C02497">
        <w:rPr>
          <w:lang w:val="fr-FR"/>
        </w:rPr>
        <w:t>l</w:t>
      </w:r>
      <w:r w:rsidR="00C02497" w:rsidRPr="001F3341">
        <w:rPr>
          <w:lang w:val="fr-FR"/>
        </w:rPr>
        <w:t xml:space="preserve">orsque les connexions électriques font partie d’un dispositif d’attelage automatique (voir le Règlement </w:t>
      </w:r>
      <w:r w:rsidR="00C02497">
        <w:rPr>
          <w:lang w:val="fr-FR"/>
        </w:rPr>
        <w:t xml:space="preserve">ECE No </w:t>
      </w:r>
      <w:r w:rsidR="00C02497" w:rsidRPr="001F3341">
        <w:rPr>
          <w:lang w:val="fr-FR"/>
        </w:rPr>
        <w:t>55</w:t>
      </w:r>
      <w:r w:rsidR="00D81DF1" w:rsidRPr="00B73012">
        <w:rPr>
          <w:vertAlign w:val="superscript"/>
          <w:lang w:val="fr-FR"/>
        </w:rPr>
        <w:t>2</w:t>
      </w:r>
      <w:r w:rsidR="00C02497" w:rsidRPr="001F3341">
        <w:rPr>
          <w:lang w:val="fr-FR"/>
        </w:rPr>
        <w:t>).</w:t>
      </w:r>
    </w:p>
    <w:p w:rsidR="00C02497" w:rsidRDefault="00C02497" w:rsidP="00BE3F8F">
      <w:pPr>
        <w:pStyle w:val="SingleTxtG"/>
        <w:tabs>
          <w:tab w:val="left" w:pos="1985"/>
        </w:tabs>
        <w:rPr>
          <w:lang w:val="fr-FR"/>
        </w:rPr>
      </w:pPr>
      <w:r w:rsidRPr="001F3341">
        <w:rPr>
          <w:lang w:val="fr-FR"/>
        </w:rPr>
        <w:t>9.2.2.6.3</w:t>
      </w:r>
      <w:r>
        <w:rPr>
          <w:lang w:val="fr-FR"/>
        </w:rPr>
        <w:tab/>
      </w:r>
      <w:r w:rsidRPr="001F3341">
        <w:rPr>
          <w:lang w:val="fr-FR"/>
        </w:rPr>
        <w:t>Les autres connexions électriques servant au bon fonctionnement des véhicules ou de leur équipement peuvent être utilisées à condition de satisfaire aux prescriptions du 9.2.2.6.1.</w:t>
      </w:r>
    </w:p>
    <w:p w:rsidR="00C02497" w:rsidRPr="001F3341" w:rsidRDefault="00C02497" w:rsidP="00BE3F8F">
      <w:pPr>
        <w:pStyle w:val="SingleTxtG"/>
        <w:tabs>
          <w:tab w:val="left" w:pos="1985"/>
        </w:tabs>
        <w:rPr>
          <w:b/>
          <w:lang w:val="fr-FR"/>
        </w:rPr>
      </w:pPr>
      <w:r w:rsidRPr="001F3341">
        <w:rPr>
          <w:b/>
          <w:lang w:val="fr-FR"/>
        </w:rPr>
        <w:t>9.2.2.7</w:t>
      </w:r>
      <w:r w:rsidRPr="001F3341">
        <w:rPr>
          <w:b/>
          <w:lang w:val="fr-FR"/>
        </w:rPr>
        <w:tab/>
        <w:t>Tension</w:t>
      </w:r>
    </w:p>
    <w:p w:rsidR="00C02497" w:rsidRPr="00F70CE8" w:rsidRDefault="00BE3F8F" w:rsidP="00BE3F8F">
      <w:pPr>
        <w:pStyle w:val="SingleTxtG"/>
        <w:tabs>
          <w:tab w:val="left" w:pos="1985"/>
        </w:tabs>
        <w:rPr>
          <w:lang w:val="fr-FR"/>
        </w:rPr>
      </w:pPr>
      <w:r>
        <w:rPr>
          <w:lang w:val="fr-FR"/>
        </w:rPr>
        <w:tab/>
      </w:r>
      <w:r w:rsidR="00C02497" w:rsidRPr="00F70CE8">
        <w:rPr>
          <w:lang w:val="fr-FR"/>
        </w:rPr>
        <w:t xml:space="preserve">La tension nominale du </w:t>
      </w:r>
      <w:r w:rsidR="00F70CE8">
        <w:rPr>
          <w:lang w:val="fr-FR"/>
        </w:rPr>
        <w:t>système</w:t>
      </w:r>
      <w:r w:rsidR="00F70CE8" w:rsidRPr="00F70CE8">
        <w:rPr>
          <w:lang w:val="fr-FR"/>
        </w:rPr>
        <w:t xml:space="preserve"> </w:t>
      </w:r>
      <w:r w:rsidR="00C02497" w:rsidRPr="00F70CE8">
        <w:rPr>
          <w:lang w:val="fr-FR"/>
        </w:rPr>
        <w:t xml:space="preserve">électrique ne </w:t>
      </w:r>
      <w:r w:rsidRPr="00F70CE8">
        <w:rPr>
          <w:lang w:val="fr-FR"/>
        </w:rPr>
        <w:t>doit pas dépasser 25 V CA ou 60 </w:t>
      </w:r>
      <w:r w:rsidR="00C02497" w:rsidRPr="00F70CE8">
        <w:rPr>
          <w:lang w:val="fr-FR"/>
        </w:rPr>
        <w:t>V CC.</w:t>
      </w:r>
    </w:p>
    <w:p w:rsidR="00C02497" w:rsidRPr="00F70CE8" w:rsidRDefault="00BE3F8F" w:rsidP="00BE3F8F">
      <w:pPr>
        <w:pStyle w:val="SingleTxtG"/>
        <w:tabs>
          <w:tab w:val="left" w:pos="1985"/>
        </w:tabs>
        <w:rPr>
          <w:lang w:val="fr-FR"/>
        </w:rPr>
      </w:pPr>
      <w:r w:rsidRPr="00F70CE8">
        <w:rPr>
          <w:lang w:val="fr-FR"/>
        </w:rPr>
        <w:tab/>
      </w:r>
      <w:r w:rsidR="00C02497" w:rsidRPr="00F70CE8">
        <w:rPr>
          <w:lang w:val="fr-FR"/>
        </w:rPr>
        <w:t xml:space="preserve">Des tensions supérieures sont admises dans les parties </w:t>
      </w:r>
      <w:proofErr w:type="spellStart"/>
      <w:r w:rsidR="00C02497" w:rsidRPr="00F70CE8">
        <w:rPr>
          <w:lang w:val="fr-FR"/>
        </w:rPr>
        <w:t>galvaniquement</w:t>
      </w:r>
      <w:proofErr w:type="spellEnd"/>
      <w:r w:rsidR="00C02497" w:rsidRPr="00F70CE8">
        <w:rPr>
          <w:lang w:val="fr-FR"/>
        </w:rPr>
        <w:t xml:space="preserve"> isolées du </w:t>
      </w:r>
      <w:r w:rsidR="00341810">
        <w:rPr>
          <w:lang w:val="fr-FR"/>
        </w:rPr>
        <w:t>sy</w:t>
      </w:r>
      <w:r w:rsidR="00F70CE8">
        <w:rPr>
          <w:lang w:val="fr-FR"/>
        </w:rPr>
        <w:t>stème</w:t>
      </w:r>
      <w:r w:rsidR="00F70CE8" w:rsidRPr="00F70CE8">
        <w:rPr>
          <w:lang w:val="fr-FR"/>
        </w:rPr>
        <w:t xml:space="preserve"> </w:t>
      </w:r>
      <w:r w:rsidR="00C02497" w:rsidRPr="00F70CE8">
        <w:rPr>
          <w:lang w:val="fr-FR"/>
        </w:rPr>
        <w:t xml:space="preserve">électrique sous réserve que ces parties ne se trouvent pas à moins de 0,5 mètre de l’extérieur du compartiment de chargement ou de la citerne. </w:t>
      </w:r>
    </w:p>
    <w:p w:rsidR="00C02497" w:rsidRPr="00F70CE8" w:rsidRDefault="00BE3F8F" w:rsidP="00BE3F8F">
      <w:pPr>
        <w:pStyle w:val="SingleTxtG"/>
        <w:tabs>
          <w:tab w:val="left" w:pos="1985"/>
        </w:tabs>
        <w:rPr>
          <w:lang w:val="fr-FR"/>
        </w:rPr>
      </w:pPr>
      <w:r w:rsidRPr="00F70CE8">
        <w:rPr>
          <w:lang w:val="fr-FR"/>
        </w:rPr>
        <w:tab/>
      </w:r>
      <w:r w:rsidR="00C02497" w:rsidRPr="00F70CE8">
        <w:rPr>
          <w:lang w:val="fr-FR"/>
        </w:rPr>
        <w:t xml:space="preserve">Les </w:t>
      </w:r>
      <w:r w:rsidR="00F70CE8">
        <w:rPr>
          <w:lang w:val="fr-FR"/>
        </w:rPr>
        <w:t>systèmes</w:t>
      </w:r>
      <w:r w:rsidR="00F70CE8" w:rsidRPr="00F70CE8">
        <w:rPr>
          <w:lang w:val="fr-FR"/>
        </w:rPr>
        <w:t xml:space="preserve"> </w:t>
      </w:r>
      <w:r w:rsidR="00C02497" w:rsidRPr="00F70CE8">
        <w:rPr>
          <w:lang w:val="fr-FR"/>
        </w:rPr>
        <w:t>fonctionnant à une tension supérieure à 1 000 V CA ou 1 500 </w:t>
      </w:r>
      <w:r w:rsidRPr="00F70CE8">
        <w:rPr>
          <w:lang w:val="fr-FR"/>
        </w:rPr>
        <w:t>V </w:t>
      </w:r>
      <w:r w:rsidR="00C02497" w:rsidRPr="00F70CE8">
        <w:rPr>
          <w:lang w:val="fr-FR"/>
        </w:rPr>
        <w:t xml:space="preserve">CC doivent </w:t>
      </w:r>
      <w:r w:rsidR="00F70CE8">
        <w:rPr>
          <w:lang w:val="fr-FR"/>
        </w:rPr>
        <w:t xml:space="preserve">en outre </w:t>
      </w:r>
      <w:r w:rsidR="00C02497" w:rsidRPr="00F70CE8">
        <w:rPr>
          <w:lang w:val="fr-FR"/>
        </w:rPr>
        <w:t>être placés dans un boîtier fermé.</w:t>
      </w:r>
    </w:p>
    <w:p w:rsidR="00C02497" w:rsidRPr="001F3341" w:rsidRDefault="00BE3F8F" w:rsidP="00BE3F8F">
      <w:pPr>
        <w:pStyle w:val="SingleTxtG"/>
        <w:tabs>
          <w:tab w:val="left" w:pos="1985"/>
        </w:tabs>
        <w:rPr>
          <w:lang w:val="fr-FR"/>
        </w:rPr>
      </w:pPr>
      <w:r w:rsidRPr="00F70CE8">
        <w:rPr>
          <w:lang w:val="fr-FR"/>
        </w:rPr>
        <w:tab/>
      </w:r>
      <w:r w:rsidR="00C02497" w:rsidRPr="00F70CE8">
        <w:rPr>
          <w:lang w:val="fr-FR"/>
        </w:rPr>
        <w:t>Si des ampoules au xénon sont utilisées, seules celles dotées d’un starter intégré sont autorisées.</w:t>
      </w:r>
    </w:p>
    <w:p w:rsidR="00C02497" w:rsidRPr="001F3341" w:rsidRDefault="00C02497" w:rsidP="00BE3F8F">
      <w:pPr>
        <w:pStyle w:val="SingleTxtG"/>
        <w:tabs>
          <w:tab w:val="left" w:pos="1985"/>
        </w:tabs>
        <w:rPr>
          <w:b/>
          <w:bCs/>
          <w:i/>
          <w:iCs/>
          <w:lang w:val="fr-FR"/>
        </w:rPr>
      </w:pPr>
      <w:r w:rsidRPr="001F3341">
        <w:rPr>
          <w:b/>
          <w:lang w:val="fr-FR"/>
        </w:rPr>
        <w:t>9.2.2.8</w:t>
      </w:r>
      <w:r w:rsidRPr="001F3341">
        <w:rPr>
          <w:b/>
          <w:lang w:val="fr-FR"/>
        </w:rPr>
        <w:tab/>
        <w:t>Coupe-circuit de batterie</w:t>
      </w:r>
    </w:p>
    <w:p w:rsidR="00C02497" w:rsidRPr="001F3341" w:rsidRDefault="00C02497" w:rsidP="00BE3F8F">
      <w:pPr>
        <w:pStyle w:val="SingleTxtG"/>
        <w:tabs>
          <w:tab w:val="left" w:pos="1985"/>
        </w:tabs>
        <w:rPr>
          <w:lang w:val="fr-FR"/>
        </w:rPr>
      </w:pPr>
      <w:r w:rsidRPr="001F3341">
        <w:rPr>
          <w:lang w:val="fr-FR"/>
        </w:rPr>
        <w:t>9.2.2.8.1</w:t>
      </w:r>
      <w:r w:rsidRPr="001F3341">
        <w:rPr>
          <w:lang w:val="fr-FR"/>
        </w:rPr>
        <w:tab/>
        <w:t xml:space="preserve">Un interrupteur servant à couper les circuits électriques doit être monté aussi près de la batterie que possible. Lorsqu’un interrupteur </w:t>
      </w:r>
      <w:proofErr w:type="spellStart"/>
      <w:r w:rsidRPr="001F3341">
        <w:rPr>
          <w:lang w:val="fr-FR"/>
        </w:rPr>
        <w:t>monopolaire</w:t>
      </w:r>
      <w:proofErr w:type="spellEnd"/>
      <w:r w:rsidRPr="001F3341">
        <w:rPr>
          <w:lang w:val="fr-FR"/>
        </w:rPr>
        <w:t xml:space="preserve"> est employé, il doit être placé sur le fil d’alimentation, et non sur le fil de terre.</w:t>
      </w:r>
    </w:p>
    <w:p w:rsidR="00C02497" w:rsidRPr="001F3341" w:rsidRDefault="00C02497" w:rsidP="00BE3F8F">
      <w:pPr>
        <w:pStyle w:val="SingleTxtG"/>
        <w:tabs>
          <w:tab w:val="left" w:pos="1985"/>
        </w:tabs>
        <w:rPr>
          <w:lang w:val="fr-FR"/>
        </w:rPr>
      </w:pPr>
      <w:r w:rsidRPr="001F3341">
        <w:rPr>
          <w:lang w:val="fr-FR"/>
        </w:rPr>
        <w:t>9.2.2.8.2</w:t>
      </w:r>
      <w:r w:rsidRPr="001F3341">
        <w:rPr>
          <w:lang w:val="fr-FR"/>
        </w:rPr>
        <w:tab/>
        <w:t xml:space="preserve">Un dispositif de commande pour l’ouverture et la fermeture de l’interrupteur doit être installé dans la cabine de conduite. Il doit être facilement accessible au conducteur et signalé distinctement. Il doit être équipé </w:t>
      </w:r>
      <w:r>
        <w:rPr>
          <w:lang w:val="fr-FR"/>
        </w:rPr>
        <w:t xml:space="preserve">soit </w:t>
      </w:r>
      <w:r w:rsidRPr="001F3341">
        <w:rPr>
          <w:lang w:val="fr-FR"/>
        </w:rPr>
        <w:t>d’un couvercle de protection</w:t>
      </w:r>
      <w:r>
        <w:rPr>
          <w:lang w:val="fr-FR"/>
        </w:rPr>
        <w:t>,</w:t>
      </w:r>
      <w:r w:rsidRPr="001F3341">
        <w:rPr>
          <w:lang w:val="fr-FR"/>
        </w:rPr>
        <w:t xml:space="preserve"> </w:t>
      </w:r>
      <w:r>
        <w:rPr>
          <w:lang w:val="fr-FR"/>
        </w:rPr>
        <w:t>soit</w:t>
      </w:r>
      <w:r w:rsidRPr="001F3341">
        <w:rPr>
          <w:lang w:val="fr-FR"/>
        </w:rPr>
        <w:t xml:space="preserve"> d’une commande à mouvement complexe, </w:t>
      </w:r>
      <w:r>
        <w:rPr>
          <w:lang w:val="fr-FR"/>
        </w:rPr>
        <w:t>soit</w:t>
      </w:r>
      <w:r w:rsidRPr="001F3341">
        <w:rPr>
          <w:lang w:val="fr-FR"/>
        </w:rPr>
        <w:t xml:space="preserve"> de tout autre dispositif évitant son déclenchement involontaire. Des dispositifs de commande additionnels peuvent être installés à condition d’être marqués de manière distinctive et protégés contre une manœuvre intempestive. Si le ou les dispositifs de commande sont actionnés électriquement, leurs circuits sont soumis aux prescriptions du 9.2.2.9.</w:t>
      </w:r>
    </w:p>
    <w:p w:rsidR="00C02497" w:rsidRPr="001F3341" w:rsidRDefault="00C02497" w:rsidP="00BE3F8F">
      <w:pPr>
        <w:pStyle w:val="SingleTxtG"/>
        <w:tabs>
          <w:tab w:val="left" w:pos="1985"/>
        </w:tabs>
        <w:rPr>
          <w:lang w:val="fr-FR"/>
        </w:rPr>
      </w:pPr>
      <w:r w:rsidRPr="001F3341">
        <w:rPr>
          <w:lang w:val="fr-FR"/>
        </w:rPr>
        <w:t>9.2.2.8.3</w:t>
      </w:r>
      <w:r w:rsidRPr="001F3341">
        <w:rPr>
          <w:lang w:val="fr-FR"/>
        </w:rPr>
        <w:tab/>
        <w:t>L’interrupteur doit couper les circuits dans les 10 secondes qui suivent l’actionnement du dispositif de commande.</w:t>
      </w:r>
    </w:p>
    <w:p w:rsidR="00C02497" w:rsidRPr="00F70CE8" w:rsidRDefault="00C02497" w:rsidP="00BE3F8F">
      <w:pPr>
        <w:pStyle w:val="SingleTxtG"/>
        <w:tabs>
          <w:tab w:val="left" w:pos="1985"/>
        </w:tabs>
        <w:rPr>
          <w:lang w:val="fr-FR"/>
        </w:rPr>
      </w:pPr>
      <w:r w:rsidRPr="00F70CE8">
        <w:rPr>
          <w:lang w:val="fr-FR"/>
        </w:rPr>
        <w:t>9.2.2.8.4</w:t>
      </w:r>
      <w:r w:rsidRPr="00F70CE8">
        <w:rPr>
          <w:lang w:val="fr-FR"/>
        </w:rPr>
        <w:tab/>
        <w:t xml:space="preserve">L’interrupteur doit être placé dans un boîtier ayant </w:t>
      </w:r>
      <w:r w:rsidR="00F70CE8">
        <w:rPr>
          <w:lang w:val="fr-FR"/>
        </w:rPr>
        <w:t>un degré</w:t>
      </w:r>
      <w:r w:rsidR="00F70CE8" w:rsidRPr="00F70CE8">
        <w:rPr>
          <w:lang w:val="fr-FR"/>
        </w:rPr>
        <w:t xml:space="preserve"> </w:t>
      </w:r>
      <w:r w:rsidRPr="00F70CE8">
        <w:rPr>
          <w:lang w:val="fr-FR"/>
        </w:rPr>
        <w:t>de protection IP 65 conformément à la norme CEI 60529.</w:t>
      </w:r>
    </w:p>
    <w:p w:rsidR="00C02497" w:rsidRPr="001F3341" w:rsidRDefault="00C02497" w:rsidP="00BE3F8F">
      <w:pPr>
        <w:pStyle w:val="SingleTxtG"/>
        <w:tabs>
          <w:tab w:val="left" w:pos="1985"/>
        </w:tabs>
        <w:rPr>
          <w:lang w:val="fr-FR"/>
        </w:rPr>
      </w:pPr>
      <w:r w:rsidRPr="00F70CE8">
        <w:rPr>
          <w:lang w:val="fr-FR"/>
        </w:rPr>
        <w:lastRenderedPageBreak/>
        <w:t>9.2.2.8.5</w:t>
      </w:r>
      <w:r w:rsidRPr="00F70CE8">
        <w:rPr>
          <w:lang w:val="fr-FR"/>
        </w:rPr>
        <w:tab/>
        <w:t xml:space="preserve">Les connexions électriques sur l’interrupteur doivent avoir </w:t>
      </w:r>
      <w:r w:rsidR="00F70CE8">
        <w:rPr>
          <w:lang w:val="fr-FR"/>
        </w:rPr>
        <w:t>un degré</w:t>
      </w:r>
      <w:r w:rsidR="00F70CE8" w:rsidRPr="00F70CE8">
        <w:rPr>
          <w:lang w:val="fr-FR"/>
        </w:rPr>
        <w:t xml:space="preserve"> </w:t>
      </w:r>
      <w:r w:rsidRPr="00F70CE8">
        <w:rPr>
          <w:lang w:val="fr-FR"/>
        </w:rPr>
        <w:t xml:space="preserve">de protection IP 54 conformément à la norme </w:t>
      </w:r>
      <w:r w:rsidR="00F70CE8" w:rsidRPr="00F70CE8">
        <w:rPr>
          <w:lang w:val="fr-FR"/>
        </w:rPr>
        <w:t>CEI 60529</w:t>
      </w:r>
      <w:r w:rsidRPr="00F70CE8">
        <w:rPr>
          <w:lang w:val="fr-FR"/>
        </w:rPr>
        <w:t xml:space="preserve">. Cela n’est toutefois pas exigé si les connexions sont à l’intérieur d’un coffre, qui peut être celui de la batterie. Il suffit alors de protéger ces connexions contre des </w:t>
      </w:r>
      <w:proofErr w:type="spellStart"/>
      <w:r w:rsidRPr="00F70CE8">
        <w:rPr>
          <w:lang w:val="fr-FR"/>
        </w:rPr>
        <w:t>courts-circuits</w:t>
      </w:r>
      <w:proofErr w:type="spellEnd"/>
      <w:r w:rsidRPr="00F70CE8">
        <w:rPr>
          <w:lang w:val="fr-FR"/>
        </w:rPr>
        <w:t>, au moyen d’un couvercle en caoutchouc par exemple.</w:t>
      </w:r>
    </w:p>
    <w:p w:rsidR="00C02497" w:rsidRPr="001F3341" w:rsidRDefault="00C02497" w:rsidP="00BE3F8F">
      <w:pPr>
        <w:pStyle w:val="SingleTxtG"/>
        <w:tabs>
          <w:tab w:val="left" w:pos="1985"/>
        </w:tabs>
        <w:rPr>
          <w:b/>
          <w:lang w:val="fr-FR"/>
        </w:rPr>
      </w:pPr>
      <w:r w:rsidRPr="001F3341">
        <w:rPr>
          <w:b/>
          <w:lang w:val="fr-FR"/>
        </w:rPr>
        <w:t>9.2.2.9</w:t>
      </w:r>
      <w:r w:rsidRPr="001F3341">
        <w:rPr>
          <w:b/>
          <w:lang w:val="fr-FR"/>
        </w:rPr>
        <w:tab/>
        <w:t>Circuits alimentés en permanence</w:t>
      </w:r>
    </w:p>
    <w:p w:rsidR="00C02497" w:rsidRPr="001F3341" w:rsidRDefault="00C02497" w:rsidP="00BE3F8F">
      <w:pPr>
        <w:pStyle w:val="SingleTxtG"/>
        <w:tabs>
          <w:tab w:val="left" w:pos="1985"/>
        </w:tabs>
        <w:rPr>
          <w:lang w:val="fr-FR"/>
        </w:rPr>
      </w:pPr>
      <w:r w:rsidRPr="001F3341">
        <w:rPr>
          <w:lang w:val="fr-FR"/>
        </w:rPr>
        <w:t>9.2.2.9.1</w:t>
      </w:r>
      <w:r w:rsidRPr="001F3341">
        <w:rPr>
          <w:lang w:val="fr-FR"/>
        </w:rPr>
        <w:tab/>
        <w:t>a)</w:t>
      </w:r>
      <w:r w:rsidRPr="001F3341">
        <w:rPr>
          <w:lang w:val="fr-FR"/>
        </w:rPr>
        <w:tab/>
        <w:t xml:space="preserve">Les </w:t>
      </w:r>
      <w:r>
        <w:rPr>
          <w:lang w:val="fr-FR"/>
        </w:rPr>
        <w:t>parties</w:t>
      </w:r>
      <w:r w:rsidRPr="001F3341">
        <w:rPr>
          <w:lang w:val="fr-FR"/>
        </w:rPr>
        <w:t xml:space="preserve"> de l’installation électrique, y compris les fils, qui doivent rester sous tension lorsque le coupe-circuit de batterie est ouvert doivent être </w:t>
      </w:r>
      <w:r>
        <w:rPr>
          <w:lang w:val="fr-FR"/>
        </w:rPr>
        <w:t>de caractéristiques appropriées pour l’</w:t>
      </w:r>
      <w:r w:rsidRPr="001F3341">
        <w:rPr>
          <w:lang w:val="fr-FR"/>
        </w:rPr>
        <w:t>utilis</w:t>
      </w:r>
      <w:r>
        <w:rPr>
          <w:lang w:val="fr-FR"/>
        </w:rPr>
        <w:t>ation</w:t>
      </w:r>
      <w:r w:rsidRPr="001F3341">
        <w:rPr>
          <w:lang w:val="fr-FR"/>
        </w:rPr>
        <w:t xml:space="preserve"> en </w:t>
      </w:r>
      <w:r>
        <w:rPr>
          <w:lang w:val="fr-FR"/>
        </w:rPr>
        <w:t>zone</w:t>
      </w:r>
      <w:r w:rsidRPr="001F3341">
        <w:rPr>
          <w:lang w:val="fr-FR"/>
        </w:rPr>
        <w:t xml:space="preserve"> dangereu</w:t>
      </w:r>
      <w:r>
        <w:rPr>
          <w:lang w:val="fr-FR"/>
        </w:rPr>
        <w:t>se</w:t>
      </w:r>
      <w:r w:rsidRPr="001F3341">
        <w:rPr>
          <w:lang w:val="fr-FR"/>
        </w:rPr>
        <w:t>. Cet équipement doit satisfaire aux dispositions générales de la norme CEI 60079, parties 0 et 14</w:t>
      </w:r>
      <w:r w:rsidR="00807AE7">
        <w:rPr>
          <w:vertAlign w:val="superscript"/>
          <w:lang w:val="fr-FR"/>
        </w:rPr>
        <w:t>3</w:t>
      </w:r>
      <w:r w:rsidR="009D7CD2">
        <w:rPr>
          <w:vertAlign w:val="superscript"/>
          <w:lang w:val="fr-FR"/>
        </w:rPr>
        <w:t xml:space="preserve"> </w:t>
      </w:r>
      <w:r w:rsidRPr="001F3341">
        <w:rPr>
          <w:lang w:val="fr-FR"/>
        </w:rPr>
        <w:t>et aux dispositions additionnelles applicables de cette même norme, parties 1, 2, 5, 6, 7, 11, 15 ou 18;</w:t>
      </w:r>
    </w:p>
    <w:p w:rsidR="00C02497" w:rsidRPr="001F3341" w:rsidRDefault="00C02497" w:rsidP="00BE3F8F">
      <w:pPr>
        <w:pStyle w:val="SingleTxtG"/>
        <w:tabs>
          <w:tab w:val="left" w:pos="1985"/>
        </w:tabs>
        <w:rPr>
          <w:lang w:val="fr-FR"/>
        </w:rPr>
      </w:pPr>
      <w:r>
        <w:rPr>
          <w:lang w:val="fr-FR"/>
        </w:rPr>
        <w:tab/>
      </w:r>
      <w:r>
        <w:rPr>
          <w:lang w:val="fr-FR"/>
        </w:rPr>
        <w:tab/>
      </w:r>
      <w:r w:rsidRPr="001F3341">
        <w:rPr>
          <w:lang w:val="fr-FR"/>
        </w:rPr>
        <w:t>b)</w:t>
      </w:r>
      <w:r w:rsidRPr="001F3341">
        <w:rPr>
          <w:lang w:val="fr-FR"/>
        </w:rPr>
        <w:tab/>
        <w:t>Pour l’application de la norme CEI 60079, partie 14</w:t>
      </w:r>
      <w:r w:rsidRPr="001F3341">
        <w:rPr>
          <w:vertAlign w:val="superscript"/>
          <w:lang w:val="fr-FR"/>
        </w:rPr>
        <w:t>3</w:t>
      </w:r>
      <w:r w:rsidRPr="001F3341">
        <w:rPr>
          <w:lang w:val="fr-FR"/>
        </w:rPr>
        <w:t>, la classification suivante doit être respectée</w:t>
      </w:r>
      <w:r>
        <w:rPr>
          <w:lang w:val="fr-FR"/>
        </w:rPr>
        <w:t> :</w:t>
      </w:r>
    </w:p>
    <w:p w:rsidR="00C02497" w:rsidRPr="001F3341" w:rsidRDefault="00C02497" w:rsidP="00BE3F8F">
      <w:pPr>
        <w:pStyle w:val="SingleTxtG"/>
        <w:tabs>
          <w:tab w:val="left" w:pos="1985"/>
        </w:tabs>
        <w:rPr>
          <w:lang w:val="fr-FR"/>
        </w:rPr>
      </w:pPr>
      <w:r>
        <w:rPr>
          <w:lang w:val="fr-FR"/>
        </w:rPr>
        <w:tab/>
      </w:r>
      <w:r>
        <w:rPr>
          <w:lang w:val="fr-FR"/>
        </w:rPr>
        <w:tab/>
      </w:r>
      <w:r w:rsidRPr="001F3341">
        <w:rPr>
          <w:lang w:val="fr-FR"/>
        </w:rPr>
        <w:t xml:space="preserve">L’équipement électrique sous tension en permanence, y compris les fils, qui n’est pas soumis aux prescriptions des </w:t>
      </w:r>
      <w:r w:rsidRPr="003B33A7">
        <w:rPr>
          <w:lang w:val="fr-FR"/>
        </w:rPr>
        <w:t>9.2.2.4 et 9.2.2.8</w:t>
      </w:r>
      <w:r w:rsidRPr="001F3341">
        <w:rPr>
          <w:lang w:val="fr-FR"/>
        </w:rPr>
        <w:t xml:space="preserve"> doit satisfaire aux prescriptions applicables à la zone 1 pour l’équipement électrique en général, ou aux prescriptions applicables à la zone 2 pour l’équipement électrique situé dans la cabine de conduite. Il doit répondre aux prescriptions applicables au groupe d’explosion IIC, classe de température T6.</w:t>
      </w:r>
    </w:p>
    <w:p w:rsidR="00C02497" w:rsidRPr="001F3341" w:rsidRDefault="00C02497" w:rsidP="00BE3F8F">
      <w:pPr>
        <w:pStyle w:val="SingleTxtG"/>
        <w:tabs>
          <w:tab w:val="left" w:pos="1985"/>
        </w:tabs>
        <w:rPr>
          <w:lang w:val="fr-FR"/>
        </w:rPr>
      </w:pPr>
      <w:r>
        <w:rPr>
          <w:lang w:val="fr-FR"/>
        </w:rPr>
        <w:tab/>
      </w:r>
      <w:r>
        <w:rPr>
          <w:lang w:val="fr-FR"/>
        </w:rPr>
        <w:tab/>
      </w:r>
      <w:r w:rsidRPr="001F3341">
        <w:rPr>
          <w:lang w:val="fr-FR"/>
        </w:rPr>
        <w:t xml:space="preserve">Cependant, pour </w:t>
      </w:r>
      <w:r w:rsidRPr="00367E36">
        <w:rPr>
          <w:lang w:val="fr-FR"/>
        </w:rPr>
        <w:t>l’équipement électrique sous tension en permanence situé dans un environnement où la température engendrée par le matériel non électrique situé dans ce même environnement dépasse la limite de température T6, la classe de température de l’équipement électrique sous tension en permanence doit être au moins celle de la classe T4.</w:t>
      </w:r>
    </w:p>
    <w:p w:rsidR="00C02497" w:rsidRPr="001F3341" w:rsidRDefault="00C02497" w:rsidP="00BE3F8F">
      <w:pPr>
        <w:pStyle w:val="SingleTxtG"/>
        <w:tabs>
          <w:tab w:val="left" w:pos="1985"/>
        </w:tabs>
        <w:rPr>
          <w:lang w:val="fr-FR"/>
        </w:rPr>
      </w:pPr>
      <w:r>
        <w:rPr>
          <w:lang w:val="fr-FR"/>
        </w:rPr>
        <w:tab/>
      </w:r>
      <w:r w:rsidRPr="001F3341">
        <w:rPr>
          <w:lang w:val="fr-FR"/>
        </w:rPr>
        <w:tab/>
        <w:t>c)</w:t>
      </w:r>
      <w:r w:rsidRPr="001F3341">
        <w:rPr>
          <w:lang w:val="fr-FR"/>
        </w:rPr>
        <w:tab/>
        <w:t>Les fils d’alimentation de l’équipement sous tension en permanence doivent, soit être conformes aux dispositions de la norme CEI 60079, partie 7 (</w:t>
      </w:r>
      <w:r>
        <w:t>“</w:t>
      </w:r>
      <w:r w:rsidRPr="001F3341">
        <w:rPr>
          <w:lang w:val="fr-FR"/>
        </w:rPr>
        <w:t xml:space="preserve">Sécurité </w:t>
      </w:r>
      <w:proofErr w:type="spellStart"/>
      <w:r w:rsidRPr="001F3341">
        <w:rPr>
          <w:lang w:val="fr-FR"/>
        </w:rPr>
        <w:t>augmentée</w:t>
      </w:r>
      <w:r>
        <w:rPr>
          <w:rFonts w:ascii="Noteworthy Light" w:hAnsi="Noteworthy Light" w:cs="Noteworthy Light"/>
          <w:lang w:val="fr-FR"/>
        </w:rPr>
        <w:t>ˮ</w:t>
      </w:r>
      <w:proofErr w:type="spellEnd"/>
      <w:r w:rsidRPr="001F3341">
        <w:rPr>
          <w:lang w:val="fr-FR"/>
        </w:rPr>
        <w:t xml:space="preserve">) et être protégés par un fusible ou un disjoncteur automatique placé aussi près que possible de la source de tension, soit, dans le cas d’un équipement </w:t>
      </w:r>
      <w:r>
        <w:t>“</w:t>
      </w:r>
      <w:r w:rsidRPr="001F3341">
        <w:rPr>
          <w:lang w:val="fr-FR"/>
        </w:rPr>
        <w:t xml:space="preserve">intrinsèquement </w:t>
      </w:r>
      <w:proofErr w:type="spellStart"/>
      <w:r w:rsidRPr="001F3341">
        <w:rPr>
          <w:lang w:val="fr-FR"/>
        </w:rPr>
        <w:t>sû</w:t>
      </w:r>
      <w:r>
        <w:rPr>
          <w:lang w:val="fr-FR"/>
        </w:rPr>
        <w:t>r</w:t>
      </w:r>
      <w:r>
        <w:rPr>
          <w:rFonts w:ascii="Noteworthy Light" w:hAnsi="Noteworthy Light" w:cs="Noteworthy Light"/>
          <w:lang w:val="fr-FR"/>
        </w:rPr>
        <w:t>ˮ</w:t>
      </w:r>
      <w:proofErr w:type="spellEnd"/>
      <w:r w:rsidRPr="001F3341">
        <w:rPr>
          <w:lang w:val="fr-FR"/>
        </w:rPr>
        <w:t>, être protégés par une barrière de sécurité placée aussi près que possible de la source de tension.</w:t>
      </w:r>
    </w:p>
    <w:p w:rsidR="00C02497" w:rsidRDefault="00C02497" w:rsidP="00BE3F8F">
      <w:pPr>
        <w:pStyle w:val="SingleTxtG"/>
        <w:tabs>
          <w:tab w:val="left" w:pos="1985"/>
        </w:tabs>
        <w:rPr>
          <w:lang w:val="fr-FR"/>
        </w:rPr>
      </w:pPr>
      <w:r w:rsidRPr="001F3341">
        <w:rPr>
          <w:lang w:val="fr-FR"/>
        </w:rPr>
        <w:t>9.2.2.9.2</w:t>
      </w:r>
      <w:r w:rsidRPr="001F3341">
        <w:rPr>
          <w:lang w:val="fr-FR"/>
        </w:rPr>
        <w:tab/>
        <w:t>Les connexions en dérivation sur le coupe-circuit de batterie pour l’équipement électrique qui doit demeurer sous tension lorsque le coupe-circuit</w:t>
      </w:r>
      <w:r>
        <w:rPr>
          <w:lang w:val="fr-FR"/>
        </w:rPr>
        <w:t xml:space="preserve"> de batterie</w:t>
      </w:r>
      <w:r w:rsidRPr="001F3341">
        <w:rPr>
          <w:lang w:val="fr-FR"/>
        </w:rPr>
        <w:t xml:space="preserve"> est ouvert doivent être protégées contre une surchauffe par un moyen approprié tel qu’un fusible, un coupe-circuit ou un dispositif de sécurité (limiteur de courant).».</w:t>
      </w:r>
    </w:p>
    <w:p w:rsidR="00B97237" w:rsidRDefault="00B97237" w:rsidP="00B97237">
      <w:pPr>
        <w:tabs>
          <w:tab w:val="left" w:pos="2410"/>
        </w:tabs>
        <w:spacing w:after="120"/>
        <w:ind w:left="1134" w:right="1134"/>
        <w:jc w:val="both"/>
        <w:rPr>
          <w:i/>
          <w:iCs/>
          <w:snapToGrid w:val="0"/>
          <w:lang w:val="fr-FR"/>
        </w:rPr>
      </w:pPr>
      <w:r>
        <w:rPr>
          <w:i/>
          <w:iCs/>
          <w:snapToGrid w:val="0"/>
          <w:lang w:val="fr-FR"/>
        </w:rPr>
        <w:t>(Document de référence: ECE/TRANS/WP.15/2015/15</w:t>
      </w:r>
      <w:r w:rsidR="00174DD1">
        <w:rPr>
          <w:i/>
          <w:iCs/>
          <w:snapToGrid w:val="0"/>
          <w:lang w:val="fr-FR"/>
        </w:rPr>
        <w:t xml:space="preserve"> tel que modifié</w:t>
      </w:r>
      <w:r>
        <w:rPr>
          <w:i/>
          <w:iCs/>
          <w:snapToGrid w:val="0"/>
          <w:lang w:val="fr-FR"/>
        </w:rPr>
        <w:t>)</w:t>
      </w:r>
    </w:p>
    <w:p w:rsidR="005E261B" w:rsidRDefault="003B646B" w:rsidP="0009473E">
      <w:pPr>
        <w:pStyle w:val="SingleTxtG"/>
        <w:rPr>
          <w:lang w:val="fr-FR"/>
        </w:rPr>
      </w:pPr>
      <w:r w:rsidRPr="00367E36">
        <w:rPr>
          <w:lang w:val="fr-FR"/>
        </w:rPr>
        <w:t xml:space="preserve">9.2.3.1.1 </w:t>
      </w:r>
      <w:proofErr w:type="gramStart"/>
      <w:r w:rsidRPr="00367E36">
        <w:rPr>
          <w:lang w:val="fr-FR"/>
        </w:rPr>
        <w:t>et</w:t>
      </w:r>
      <w:proofErr w:type="gramEnd"/>
      <w:r w:rsidRPr="00367E36">
        <w:rPr>
          <w:lang w:val="fr-FR"/>
        </w:rPr>
        <w:t xml:space="preserve"> 9.2.3.1.2</w:t>
      </w:r>
      <w:r w:rsidRPr="00367E36">
        <w:rPr>
          <w:lang w:val="fr-FR"/>
        </w:rPr>
        <w:tab/>
      </w:r>
      <w:r w:rsidR="003B33A7">
        <w:rPr>
          <w:lang w:val="fr-FR"/>
        </w:rPr>
        <w:tab/>
      </w:r>
      <w:r w:rsidR="005E261B" w:rsidRPr="00367E36">
        <w:rPr>
          <w:lang w:val="fr-FR"/>
        </w:rPr>
        <w:t xml:space="preserve">Renuméroter </w:t>
      </w:r>
      <w:r w:rsidRPr="00367E36">
        <w:rPr>
          <w:lang w:val="fr-FR"/>
        </w:rPr>
        <w:t>la note</w:t>
      </w:r>
      <w:r w:rsidR="005E261B" w:rsidRPr="00367E36">
        <w:rPr>
          <w:lang w:val="fr-FR"/>
        </w:rPr>
        <w:t xml:space="preserve"> de bas de page 3 en tant que 4.</w:t>
      </w:r>
      <w:r w:rsidR="005E261B">
        <w:rPr>
          <w:lang w:val="fr-FR"/>
        </w:rPr>
        <w:t xml:space="preserve"> </w:t>
      </w:r>
    </w:p>
    <w:p w:rsidR="0009473E" w:rsidRDefault="0009473E" w:rsidP="0009473E">
      <w:pPr>
        <w:pStyle w:val="SingleTxtG"/>
        <w:rPr>
          <w:lang w:val="fr-FR"/>
        </w:rPr>
      </w:pPr>
      <w:r>
        <w:rPr>
          <w:lang w:val="fr-FR"/>
        </w:rPr>
        <w:t>9.2.3.1.2</w:t>
      </w:r>
      <w:r>
        <w:rPr>
          <w:lang w:val="fr-FR"/>
        </w:rPr>
        <w:tab/>
        <w:t>Supprimer «</w:t>
      </w:r>
      <w:r>
        <w:rPr>
          <w:rFonts w:ascii="TimesNewRomanPSMT" w:hAnsi="TimesNewRomanPSMT" w:cs="TimesNewRomanPSMT"/>
          <w:lang w:val="fr-FR" w:eastAsia="fr-FR"/>
        </w:rPr>
        <w:t>, OX</w:t>
      </w:r>
      <w:r>
        <w:rPr>
          <w:lang w:val="fr-FR"/>
        </w:rPr>
        <w:t>».</w:t>
      </w:r>
    </w:p>
    <w:p w:rsidR="0009473E" w:rsidRPr="004E7359" w:rsidRDefault="0009473E" w:rsidP="0009473E">
      <w:pPr>
        <w:pStyle w:val="SingleTxtG"/>
        <w:rPr>
          <w:rFonts w:cs="Arial"/>
          <w:i/>
          <w:szCs w:val="22"/>
          <w:lang w:val="fr-FR"/>
        </w:rPr>
      </w:pPr>
      <w:r>
        <w:rPr>
          <w:i/>
        </w:rPr>
        <w:t>(</w:t>
      </w:r>
      <w:r w:rsidRPr="004E7359">
        <w:rPr>
          <w:i/>
        </w:rPr>
        <w:t>Document de référence</w:t>
      </w:r>
      <w:r w:rsidRPr="004E7359">
        <w:rPr>
          <w:rFonts w:cs="Arial"/>
          <w:i/>
          <w:szCs w:val="22"/>
          <w:lang w:val="fr-FR"/>
        </w:rPr>
        <w:t>: document informel INF.</w:t>
      </w:r>
      <w:r>
        <w:rPr>
          <w:rFonts w:cs="Arial"/>
          <w:i/>
          <w:szCs w:val="22"/>
          <w:lang w:val="fr-FR"/>
        </w:rPr>
        <w:t>8</w:t>
      </w:r>
      <w:r w:rsidRPr="004E7359">
        <w:rPr>
          <w:rFonts w:cs="Arial"/>
          <w:i/>
          <w:szCs w:val="22"/>
          <w:lang w:val="fr-FR"/>
        </w:rPr>
        <w:t>)</w:t>
      </w:r>
    </w:p>
    <w:p w:rsidR="00F45602" w:rsidRDefault="00F45602" w:rsidP="0009473E">
      <w:pPr>
        <w:pStyle w:val="SingleTxtG"/>
        <w:rPr>
          <w:lang w:val="fr-FR"/>
        </w:rPr>
      </w:pPr>
      <w:r>
        <w:rPr>
          <w:lang w:val="fr-FR"/>
        </w:rPr>
        <w:t>9.2.4.2</w:t>
      </w:r>
      <w:r>
        <w:rPr>
          <w:lang w:val="fr-FR"/>
        </w:rPr>
        <w:tab/>
      </w:r>
      <w:r>
        <w:rPr>
          <w:lang w:val="fr-FR"/>
        </w:rPr>
        <w:tab/>
      </w:r>
      <w:r w:rsidRPr="00F45602">
        <w:rPr>
          <w:lang w:val="fr-FR"/>
        </w:rPr>
        <w:t>Supprimer et remplacer le texte actuel par la mention «</w:t>
      </w:r>
      <w:r w:rsidRPr="003B33A7">
        <w:rPr>
          <w:i/>
          <w:lang w:val="fr-FR"/>
        </w:rPr>
        <w:t>Supprimé</w:t>
      </w:r>
      <w:r w:rsidRPr="00F45602">
        <w:rPr>
          <w:lang w:val="fr-FR"/>
        </w:rPr>
        <w:t>».</w:t>
      </w:r>
    </w:p>
    <w:p w:rsidR="00F45602" w:rsidRDefault="00F45602" w:rsidP="00F45602">
      <w:pPr>
        <w:tabs>
          <w:tab w:val="left" w:pos="2410"/>
        </w:tabs>
        <w:spacing w:after="120"/>
        <w:ind w:left="1134" w:right="1134"/>
        <w:jc w:val="both"/>
        <w:rPr>
          <w:i/>
          <w:iCs/>
          <w:snapToGrid w:val="0"/>
          <w:lang w:val="fr-FR"/>
        </w:rPr>
      </w:pPr>
      <w:r>
        <w:rPr>
          <w:i/>
          <w:iCs/>
          <w:snapToGrid w:val="0"/>
          <w:lang w:val="fr-FR"/>
        </w:rPr>
        <w:t>(Document de référence: ECE/TRANS/WP.15/2015/15)</w:t>
      </w:r>
    </w:p>
    <w:p w:rsidR="0009473E" w:rsidRDefault="0009473E" w:rsidP="0009473E">
      <w:pPr>
        <w:pStyle w:val="SingleTxtG"/>
        <w:rPr>
          <w:lang w:val="fr-FR"/>
        </w:rPr>
      </w:pPr>
      <w:r>
        <w:rPr>
          <w:lang w:val="fr-FR"/>
        </w:rPr>
        <w:t xml:space="preserve">9.2.4.3 </w:t>
      </w:r>
      <w:r>
        <w:rPr>
          <w:lang w:val="fr-FR"/>
        </w:rPr>
        <w:tab/>
        <w:t>Modifier pour lire comme suit:</w:t>
      </w:r>
    </w:p>
    <w:p w:rsidR="0009473E" w:rsidRDefault="0009473E" w:rsidP="0009473E">
      <w:pPr>
        <w:pStyle w:val="SingleTxtG"/>
        <w:rPr>
          <w:lang w:val="fr-FR"/>
        </w:rPr>
      </w:pPr>
      <w:r>
        <w:rPr>
          <w:lang w:val="fr-FR"/>
        </w:rPr>
        <w:t>«</w:t>
      </w:r>
      <w:r>
        <w:rPr>
          <w:b/>
          <w:lang w:val="fr-FR"/>
        </w:rPr>
        <w:t>9.2.4.3</w:t>
      </w:r>
      <w:r>
        <w:rPr>
          <w:b/>
          <w:lang w:val="fr-FR"/>
        </w:rPr>
        <w:tab/>
      </w:r>
      <w:r>
        <w:rPr>
          <w:b/>
          <w:i/>
          <w:lang w:val="fr-FR"/>
        </w:rPr>
        <w:t>Réservoirs et bouteilles de carburant</w:t>
      </w:r>
    </w:p>
    <w:p w:rsidR="0009473E" w:rsidRDefault="0009473E" w:rsidP="0009473E">
      <w:pPr>
        <w:pStyle w:val="SingleTxtG"/>
        <w:rPr>
          <w:lang w:val="fr-FR"/>
        </w:rPr>
      </w:pPr>
      <w:r>
        <w:rPr>
          <w:lang w:val="fr-FR"/>
        </w:rPr>
        <w:t>Les réservoirs et bouteilles de carburant pour l’alimentation du moteur du véhicule doivent répondre aux prescriptions suivantes:</w:t>
      </w:r>
    </w:p>
    <w:p w:rsidR="0009473E" w:rsidRDefault="0009473E" w:rsidP="0009473E">
      <w:pPr>
        <w:pStyle w:val="SingleTxtG"/>
        <w:rPr>
          <w:lang w:val="fr-FR"/>
        </w:rPr>
      </w:pPr>
      <w:r>
        <w:rPr>
          <w:lang w:val="fr-FR"/>
        </w:rPr>
        <w:lastRenderedPageBreak/>
        <w:t>a)</w:t>
      </w:r>
      <w:r>
        <w:rPr>
          <w:lang w:val="fr-FR"/>
        </w:rPr>
        <w:tab/>
        <w:t>En cas de fuite survenant dans des conditions normales de transport, le carburant liquide ou la phase liquide d’un carburant gazeux doit s’écouler sur le sol et ne doit pas venir au contact du chargement ni de parties chaudes du véhicule;</w:t>
      </w:r>
    </w:p>
    <w:p w:rsidR="0009473E" w:rsidRDefault="0009473E" w:rsidP="0009473E">
      <w:pPr>
        <w:tabs>
          <w:tab w:val="left" w:pos="2410"/>
        </w:tabs>
        <w:spacing w:after="120"/>
        <w:ind w:left="1170" w:right="1134"/>
        <w:jc w:val="both"/>
        <w:rPr>
          <w:i/>
          <w:iCs/>
          <w:snapToGrid w:val="0"/>
          <w:lang w:val="fr-FR"/>
        </w:rPr>
      </w:pPr>
      <w:r>
        <w:rPr>
          <w:i/>
          <w:iCs/>
          <w:snapToGrid w:val="0"/>
          <w:lang w:val="fr-FR"/>
        </w:rPr>
        <w:t>(Document de référence: ECE/TRANS/WP.15/2015/16)</w:t>
      </w:r>
    </w:p>
    <w:p w:rsidR="0009473E" w:rsidRDefault="0009473E" w:rsidP="0009473E">
      <w:pPr>
        <w:pStyle w:val="SingleTxtG"/>
        <w:rPr>
          <w:lang w:val="fr-FR"/>
        </w:rPr>
      </w:pPr>
      <w:r>
        <w:rPr>
          <w:lang w:val="fr-FR"/>
        </w:rPr>
        <w:t>b)</w:t>
      </w:r>
      <w:r>
        <w:rPr>
          <w:lang w:val="fr-FR"/>
        </w:rPr>
        <w:tab/>
        <w:t xml:space="preserve">Les réservoirs de carburant pour les combustibles liquides doivent être conformes aux dispositions du Règlement </w:t>
      </w:r>
      <w:r w:rsidRPr="002A1244">
        <w:rPr>
          <w:rFonts w:ascii="TimesNewRomanPSMT" w:hAnsi="TimesNewRomanPSMT" w:cs="TimesNewRomanPSMT"/>
          <w:lang w:val="fr-FR" w:eastAsia="zh-CN"/>
        </w:rPr>
        <w:t xml:space="preserve">ECE No </w:t>
      </w:r>
      <w:r w:rsidR="00B3116D">
        <w:rPr>
          <w:lang w:val="fr-FR"/>
        </w:rPr>
        <w:t>34</w:t>
      </w:r>
      <w:r w:rsidR="004E315A">
        <w:rPr>
          <w:vertAlign w:val="superscript"/>
          <w:lang w:val="fr-FR"/>
        </w:rPr>
        <w:t>5</w:t>
      </w:r>
      <w:r>
        <w:rPr>
          <w:lang w:val="fr-FR"/>
        </w:rPr>
        <w:t>; les réservoirs contenant de l’essence doivent être équipés d’un dispositif coupe-flammes efficace s’adaptant à l’orifice de remplissage ou d’un dispositif permettant de maintenir l’orifice de remplissage hermétiquement fermé.</w:t>
      </w:r>
      <w:r>
        <w:rPr>
          <w:i/>
          <w:lang w:val="fr-FR"/>
        </w:rPr>
        <w:t xml:space="preserve"> </w:t>
      </w:r>
      <w:r>
        <w:rPr>
          <w:lang w:val="fr-FR"/>
        </w:rPr>
        <w:t xml:space="preserve">Les réservoirs de GPL et les bouteilles de GNC doivent satisfaire aux prescriptions pertinentes du Règlement </w:t>
      </w:r>
      <w:r w:rsidRPr="002A1244">
        <w:rPr>
          <w:rFonts w:ascii="TimesNewRomanPSMT" w:hAnsi="TimesNewRomanPSMT" w:cs="TimesNewRomanPSMT"/>
          <w:lang w:val="fr-FR" w:eastAsia="zh-CN"/>
        </w:rPr>
        <w:t xml:space="preserve">ECE No </w:t>
      </w:r>
      <w:r w:rsidR="00B3116D">
        <w:rPr>
          <w:lang w:val="fr-FR"/>
        </w:rPr>
        <w:t>110</w:t>
      </w:r>
      <w:r w:rsidR="004E315A">
        <w:rPr>
          <w:vertAlign w:val="superscript"/>
          <w:lang w:val="fr-FR"/>
        </w:rPr>
        <w:t>6</w:t>
      </w:r>
      <w:r>
        <w:rPr>
          <w:lang w:val="fr-FR"/>
        </w:rPr>
        <w:t xml:space="preserve">. Les réservoirs de GPL doivent satisfaire aux prescriptions pertinentes du Règlement </w:t>
      </w:r>
      <w:r w:rsidRPr="002A1244">
        <w:rPr>
          <w:rFonts w:ascii="TimesNewRomanPSMT" w:hAnsi="TimesNewRomanPSMT" w:cs="TimesNewRomanPSMT"/>
          <w:lang w:val="fr-FR" w:eastAsia="zh-CN"/>
        </w:rPr>
        <w:t xml:space="preserve">ECE No </w:t>
      </w:r>
      <w:r w:rsidR="00B3116D">
        <w:rPr>
          <w:lang w:val="fr-FR"/>
        </w:rPr>
        <w:t>67</w:t>
      </w:r>
      <w:r w:rsidR="004E315A">
        <w:rPr>
          <w:vertAlign w:val="superscript"/>
          <w:lang w:val="fr-FR"/>
        </w:rPr>
        <w:t>7</w:t>
      </w:r>
      <w:r>
        <w:rPr>
          <w:lang w:val="fr-FR"/>
        </w:rPr>
        <w:t>;</w:t>
      </w:r>
    </w:p>
    <w:p w:rsidR="0009473E" w:rsidRDefault="0009473E" w:rsidP="0009473E">
      <w:pPr>
        <w:tabs>
          <w:tab w:val="left" w:pos="2410"/>
        </w:tabs>
        <w:spacing w:after="120"/>
        <w:ind w:left="1170" w:right="1134"/>
        <w:jc w:val="both"/>
        <w:rPr>
          <w:i/>
          <w:iCs/>
          <w:snapToGrid w:val="0"/>
          <w:lang w:val="fr-FR"/>
        </w:rPr>
      </w:pPr>
      <w:r>
        <w:rPr>
          <w:i/>
          <w:iCs/>
          <w:snapToGrid w:val="0"/>
          <w:lang w:val="fr-FR"/>
        </w:rPr>
        <w:t>(Document de référence: ECE/TRANS/WP.15/2015/16 tel que modifié)</w:t>
      </w:r>
    </w:p>
    <w:p w:rsidR="0009473E" w:rsidRDefault="0009473E" w:rsidP="0009473E">
      <w:pPr>
        <w:tabs>
          <w:tab w:val="left" w:pos="1560"/>
        </w:tabs>
        <w:spacing w:after="120"/>
        <w:ind w:left="1170" w:right="1134"/>
        <w:jc w:val="both"/>
        <w:rPr>
          <w:snapToGrid w:val="0"/>
          <w:lang w:val="fr-FR"/>
        </w:rPr>
      </w:pPr>
      <w:r>
        <w:rPr>
          <w:snapToGrid w:val="0"/>
          <w:lang w:val="fr-FR"/>
        </w:rPr>
        <w:t>c)</w:t>
      </w:r>
      <w:r>
        <w:rPr>
          <w:snapToGrid w:val="0"/>
          <w:lang w:val="fr-FR"/>
        </w:rPr>
        <w:tab/>
      </w:r>
      <w:r w:rsidR="00834D3A">
        <w:rPr>
          <w:snapToGrid w:val="0"/>
          <w:lang w:val="fr-FR"/>
        </w:rPr>
        <w:t>L</w:t>
      </w:r>
      <w:r>
        <w:rPr>
          <w:snapToGrid w:val="0"/>
          <w:lang w:val="fr-FR"/>
        </w:rPr>
        <w:t>es ouvertures de vidange des dispositifs</w:t>
      </w:r>
      <w:r w:rsidR="00834D3A">
        <w:rPr>
          <w:snapToGrid w:val="0"/>
          <w:lang w:val="fr-FR"/>
        </w:rPr>
        <w:t xml:space="preserve"> de décompression</w:t>
      </w:r>
      <w:r>
        <w:rPr>
          <w:snapToGrid w:val="0"/>
          <w:lang w:val="fr-FR"/>
        </w:rPr>
        <w:t xml:space="preserve"> ou </w:t>
      </w:r>
      <w:r w:rsidR="00834D3A">
        <w:rPr>
          <w:snapToGrid w:val="0"/>
          <w:lang w:val="fr-FR"/>
        </w:rPr>
        <w:t xml:space="preserve">des </w:t>
      </w:r>
      <w:r>
        <w:rPr>
          <w:snapToGrid w:val="0"/>
          <w:lang w:val="fr-FR"/>
        </w:rPr>
        <w:t xml:space="preserve">soupapes des réservoirs de carburant contenant des combustibles gazeux doivent être orientées dans une direction autre que celle des prises d’air, des réservoirs de carburant, du chargement </w:t>
      </w:r>
      <w:r w:rsidR="00834D3A">
        <w:rPr>
          <w:snapToGrid w:val="0"/>
          <w:lang w:val="fr-FR"/>
        </w:rPr>
        <w:t xml:space="preserve">ou </w:t>
      </w:r>
      <w:r>
        <w:rPr>
          <w:snapToGrid w:val="0"/>
          <w:lang w:val="fr-FR"/>
        </w:rPr>
        <w:t xml:space="preserve">des parties chaudes du véhicule </w:t>
      </w:r>
      <w:r w:rsidR="00657968">
        <w:t xml:space="preserve">et ne doivent pas </w:t>
      </w:r>
      <w:r w:rsidR="00834D3A">
        <w:t>affecter</w:t>
      </w:r>
      <w:r w:rsidR="00657968">
        <w:t xml:space="preserve"> les surfaces fermées, les autres véhicules, les systèmes montés à l’extérieur avec une prise d’air (</w:t>
      </w:r>
      <w:r w:rsidR="00834D3A">
        <w:t>par</w:t>
      </w:r>
      <w:r w:rsidR="00657968">
        <w:t xml:space="preserve"> exemple les systèmes de climatisation</w:t>
      </w:r>
      <w:r w:rsidR="00834D3A">
        <w:t>)</w:t>
      </w:r>
      <w:r w:rsidR="00657968">
        <w:t xml:space="preserve">, </w:t>
      </w:r>
      <w:r w:rsidR="00834D3A">
        <w:t>l’admission</w:t>
      </w:r>
      <w:r w:rsidR="00657968">
        <w:t xml:space="preserve"> du moteur, l’échappement du moteur</w:t>
      </w:r>
      <w:r>
        <w:rPr>
          <w:snapToGrid w:val="0"/>
          <w:lang w:val="fr-FR"/>
        </w:rPr>
        <w:t xml:space="preserve">. Les tuyaux du circuit </w:t>
      </w:r>
      <w:r w:rsidR="00834D3A">
        <w:rPr>
          <w:snapToGrid w:val="0"/>
          <w:lang w:val="fr-FR"/>
        </w:rPr>
        <w:t>d’alimentation</w:t>
      </w:r>
      <w:r>
        <w:rPr>
          <w:snapToGrid w:val="0"/>
          <w:lang w:val="fr-FR"/>
        </w:rPr>
        <w:t xml:space="preserve"> ne doivent pas être fixés sur le réservoir contenant le chargement.».</w:t>
      </w:r>
    </w:p>
    <w:p w:rsidR="0009473E" w:rsidRDefault="0009473E" w:rsidP="0009473E">
      <w:pPr>
        <w:tabs>
          <w:tab w:val="left" w:pos="2410"/>
        </w:tabs>
        <w:spacing w:after="120"/>
        <w:ind w:left="1170" w:right="1134"/>
        <w:jc w:val="both"/>
        <w:rPr>
          <w:i/>
          <w:iCs/>
          <w:snapToGrid w:val="0"/>
          <w:lang w:val="fr-FR"/>
        </w:rPr>
      </w:pPr>
      <w:r>
        <w:rPr>
          <w:i/>
          <w:iCs/>
          <w:snapToGrid w:val="0"/>
          <w:lang w:val="fr-FR"/>
        </w:rPr>
        <w:t>(Document de référence: ECE/TRANS/WP.15/2015/17 tel que modifié)</w:t>
      </w:r>
    </w:p>
    <w:p w:rsidR="0009473E" w:rsidRDefault="0009473E" w:rsidP="0009473E">
      <w:pPr>
        <w:pStyle w:val="SingleTxtG"/>
        <w:rPr>
          <w:lang w:val="fr-FR"/>
        </w:rPr>
      </w:pPr>
      <w:r>
        <w:rPr>
          <w:lang w:val="fr-FR"/>
        </w:rPr>
        <w:t>9.2.4.4</w:t>
      </w:r>
      <w:r>
        <w:rPr>
          <w:lang w:val="fr-FR"/>
        </w:rPr>
        <w:tab/>
      </w:r>
      <w:r>
        <w:rPr>
          <w:lang w:val="fr-FR"/>
        </w:rPr>
        <w:tab/>
        <w:t>Modifier pour lire comme suit:</w:t>
      </w:r>
    </w:p>
    <w:p w:rsidR="0009473E" w:rsidRDefault="0009473E" w:rsidP="0009473E">
      <w:pPr>
        <w:pStyle w:val="SingleTxtG"/>
        <w:rPr>
          <w:lang w:val="fr-FR"/>
        </w:rPr>
      </w:pPr>
      <w:r>
        <w:rPr>
          <w:lang w:val="fr-FR"/>
        </w:rPr>
        <w:t>«</w:t>
      </w:r>
      <w:r>
        <w:rPr>
          <w:b/>
          <w:lang w:val="fr-FR"/>
        </w:rPr>
        <w:t>9.2.4.4</w:t>
      </w:r>
      <w:r>
        <w:rPr>
          <w:b/>
          <w:lang w:val="fr-FR"/>
        </w:rPr>
        <w:tab/>
      </w:r>
      <w:r>
        <w:rPr>
          <w:b/>
          <w:i/>
          <w:lang w:val="fr-FR"/>
        </w:rPr>
        <w:t>Moteur</w:t>
      </w:r>
    </w:p>
    <w:p w:rsidR="0009473E" w:rsidRDefault="0009473E" w:rsidP="0009473E">
      <w:pPr>
        <w:pStyle w:val="SingleTxtG"/>
        <w:rPr>
          <w:lang w:val="fr-FR"/>
        </w:rPr>
      </w:pPr>
      <w:r>
        <w:rPr>
          <w:lang w:val="fr-FR"/>
        </w:rPr>
        <w:tab/>
        <w:t xml:space="preserve">Les moteurs entraînant les véhicules doivent être équipés et placés de façon à éviter tout danger pour le chargement à la suite d’échauffement ou d’inflammation. </w:t>
      </w:r>
      <w:r w:rsidR="0002540D" w:rsidRPr="004C0390">
        <w:rPr>
          <w:lang w:val="fr-FR"/>
        </w:rPr>
        <w:t xml:space="preserve">L’utilisation de GNC ou GNL comme carburant ne doit être admise que si les organes spéciaux pour le GNC et le GNL sont homologués conformément au Règlement </w:t>
      </w:r>
      <w:r w:rsidR="0002540D">
        <w:rPr>
          <w:lang w:val="fr-FR"/>
        </w:rPr>
        <w:t>ECE No</w:t>
      </w:r>
      <w:r w:rsidR="0002540D" w:rsidRPr="004C0390">
        <w:rPr>
          <w:lang w:val="fr-FR"/>
        </w:rPr>
        <w:t>110</w:t>
      </w:r>
      <w:r w:rsidR="004E315A">
        <w:rPr>
          <w:vertAlign w:val="superscript"/>
          <w:lang w:val="fr-FR"/>
        </w:rPr>
        <w:t>6</w:t>
      </w:r>
      <w:r w:rsidR="0002540D" w:rsidRPr="004C0390">
        <w:rPr>
          <w:lang w:val="fr-FR"/>
        </w:rPr>
        <w:t xml:space="preserve"> et satisfont aux prescriptions du 9.2.2. L’installation sur le véhicule doit être conforme aux prescriptions techniques </w:t>
      </w:r>
      <w:r w:rsidR="00834D3A" w:rsidRPr="004C0390">
        <w:rPr>
          <w:lang w:val="fr-FR"/>
        </w:rPr>
        <w:t>du 9.2.2</w:t>
      </w:r>
      <w:r w:rsidR="00834D3A">
        <w:rPr>
          <w:lang w:val="fr-FR"/>
        </w:rPr>
        <w:t xml:space="preserve"> et du </w:t>
      </w:r>
      <w:r w:rsidR="0002540D" w:rsidRPr="004C0390">
        <w:rPr>
          <w:lang w:val="fr-FR"/>
        </w:rPr>
        <w:t xml:space="preserve">Règlement </w:t>
      </w:r>
      <w:r w:rsidR="00834D3A">
        <w:rPr>
          <w:lang w:val="fr-FR"/>
        </w:rPr>
        <w:t>ECE No</w:t>
      </w:r>
      <w:r w:rsidR="00834D3A" w:rsidRPr="004C0390">
        <w:rPr>
          <w:lang w:val="fr-FR"/>
        </w:rPr>
        <w:t>110</w:t>
      </w:r>
      <w:r w:rsidR="00834D3A">
        <w:rPr>
          <w:vertAlign w:val="superscript"/>
          <w:lang w:val="fr-FR"/>
        </w:rPr>
        <w:t>6</w:t>
      </w:r>
      <w:r w:rsidR="0002540D" w:rsidRPr="004C0390">
        <w:rPr>
          <w:lang w:val="fr-FR"/>
        </w:rPr>
        <w:t xml:space="preserve">. L’utilisation de GPL comme carburant ne doit être admise que si les organes spéciaux pour le GPL sont homologués conformément au Règlement </w:t>
      </w:r>
      <w:r w:rsidR="0002540D">
        <w:rPr>
          <w:lang w:val="fr-FR"/>
        </w:rPr>
        <w:t xml:space="preserve">ECE No </w:t>
      </w:r>
      <w:r w:rsidR="0002540D" w:rsidRPr="004C0390">
        <w:rPr>
          <w:lang w:val="fr-FR"/>
        </w:rPr>
        <w:t>67</w:t>
      </w:r>
      <w:r w:rsidR="004E315A">
        <w:rPr>
          <w:vertAlign w:val="superscript"/>
          <w:lang w:val="fr-FR"/>
        </w:rPr>
        <w:t>7</w:t>
      </w:r>
      <w:r w:rsidR="0002540D" w:rsidRPr="004C0390">
        <w:rPr>
          <w:vertAlign w:val="superscript"/>
          <w:lang w:val="fr-FR"/>
        </w:rPr>
        <w:t xml:space="preserve"> </w:t>
      </w:r>
      <w:r w:rsidR="0002540D" w:rsidRPr="004C0390">
        <w:rPr>
          <w:lang w:val="fr-FR"/>
        </w:rPr>
        <w:t xml:space="preserve">et satisfont aux prescriptions du 9.2.2. L’installation sur le véhicule </w:t>
      </w:r>
      <w:r w:rsidR="0002540D">
        <w:rPr>
          <w:lang w:val="fr-FR"/>
        </w:rPr>
        <w:t>doit</w:t>
      </w:r>
      <w:r w:rsidR="0002540D" w:rsidRPr="004C0390">
        <w:rPr>
          <w:lang w:val="fr-FR"/>
        </w:rPr>
        <w:t xml:space="preserve"> être conforme aux prescriptions techniques du 9.2.2 et du Règlement </w:t>
      </w:r>
      <w:r w:rsidR="0002540D">
        <w:rPr>
          <w:lang w:val="fr-FR"/>
        </w:rPr>
        <w:t xml:space="preserve">ECE No </w:t>
      </w:r>
      <w:r w:rsidR="0002540D" w:rsidRPr="0088735F">
        <w:rPr>
          <w:lang w:val="fr-FR"/>
        </w:rPr>
        <w:t>67</w:t>
      </w:r>
      <w:r w:rsidR="004E315A">
        <w:rPr>
          <w:vertAlign w:val="superscript"/>
          <w:lang w:val="fr-FR"/>
        </w:rPr>
        <w:t>7</w:t>
      </w:r>
      <w:r w:rsidR="0088735F">
        <w:rPr>
          <w:lang w:val="fr-FR"/>
        </w:rPr>
        <w:t>.</w:t>
      </w:r>
      <w:r>
        <w:rPr>
          <w:lang w:val="fr-FR"/>
        </w:rPr>
        <w:t xml:space="preserve"> Dans le cas de véhicules EX/II et EX/III, le moteur doit être à allumage par compression et fonctionner uniquement avec des carburants liquides dont le point d’éclair est supérieur à 55 °C. Les gaz ne doivent pas être utilisés.».</w:t>
      </w:r>
    </w:p>
    <w:p w:rsidR="0009473E" w:rsidRDefault="0009473E" w:rsidP="0009473E">
      <w:pPr>
        <w:pStyle w:val="SingleTxtG"/>
        <w:rPr>
          <w:i/>
          <w:iCs/>
          <w:snapToGrid w:val="0"/>
          <w:lang w:val="fr-FR"/>
        </w:rPr>
      </w:pPr>
      <w:r>
        <w:rPr>
          <w:i/>
          <w:iCs/>
          <w:snapToGrid w:val="0"/>
          <w:lang w:val="fr-FR"/>
        </w:rPr>
        <w:t>(Document de référence: ECE/TRANS/WP.15/2015/16 tel que modifié)</w:t>
      </w:r>
    </w:p>
    <w:p w:rsidR="004E315A" w:rsidRDefault="004E315A" w:rsidP="004E315A">
      <w:pPr>
        <w:pStyle w:val="SingleTxtG"/>
        <w:rPr>
          <w:lang w:val="fr-FR"/>
        </w:rPr>
      </w:pPr>
      <w:r w:rsidRPr="00367E36">
        <w:rPr>
          <w:lang w:val="fr-FR"/>
        </w:rPr>
        <w:t>Les notes de bas de page 5, 6 et 7 ont la teneur suivante:</w:t>
      </w:r>
    </w:p>
    <w:p w:rsidR="004E315A" w:rsidRPr="002A1244" w:rsidRDefault="004E315A" w:rsidP="004E315A">
      <w:pPr>
        <w:tabs>
          <w:tab w:val="left" w:pos="1560"/>
        </w:tabs>
        <w:spacing w:after="120"/>
        <w:ind w:left="1170" w:right="1134"/>
        <w:jc w:val="both"/>
        <w:rPr>
          <w:rStyle w:val="Emphasis"/>
        </w:rPr>
      </w:pPr>
      <w:r w:rsidRPr="002A1244">
        <w:rPr>
          <w:rStyle w:val="Emphasis"/>
          <w:vertAlign w:val="superscript"/>
          <w:lang w:val="fr-FR"/>
        </w:rPr>
        <w:tab/>
      </w:r>
      <w:r>
        <w:rPr>
          <w:rStyle w:val="Emphasis"/>
          <w:vertAlign w:val="superscript"/>
          <w:lang w:val="fr-FR"/>
        </w:rPr>
        <w:t>5</w:t>
      </w:r>
      <w:r w:rsidR="003B33A7">
        <w:rPr>
          <w:rStyle w:val="Emphasis"/>
          <w:vertAlign w:val="superscript"/>
          <w:lang w:val="fr-FR"/>
        </w:rPr>
        <w:tab/>
      </w:r>
      <w:r w:rsidRPr="002A1244">
        <w:rPr>
          <w:rStyle w:val="Emphasis"/>
          <w:lang w:val="fr-FR"/>
        </w:rPr>
        <w:t xml:space="preserve">Règlement </w:t>
      </w:r>
      <w:r>
        <w:rPr>
          <w:rStyle w:val="Emphasis"/>
          <w:lang w:val="fr-FR"/>
        </w:rPr>
        <w:t>ECE No 34</w:t>
      </w:r>
      <w:r w:rsidRPr="002A1244">
        <w:rPr>
          <w:rStyle w:val="Emphasis"/>
          <w:lang w:val="fr-FR"/>
        </w:rPr>
        <w:t xml:space="preserve"> (Prescriptions uniformes relatives à l’homologation des véhicules en ce qui concerne la prévention des risques d’incendie).</w:t>
      </w:r>
    </w:p>
    <w:p w:rsidR="004E315A" w:rsidRPr="002A1244" w:rsidRDefault="004E315A" w:rsidP="004E315A">
      <w:pPr>
        <w:tabs>
          <w:tab w:val="left" w:pos="1560"/>
        </w:tabs>
        <w:spacing w:after="120"/>
        <w:ind w:left="1170" w:right="1134"/>
        <w:jc w:val="both"/>
        <w:rPr>
          <w:rStyle w:val="Emphasis"/>
          <w:lang w:val="fr-FR"/>
        </w:rPr>
      </w:pPr>
      <w:r w:rsidRPr="002A1244">
        <w:rPr>
          <w:rStyle w:val="Emphasis"/>
          <w:vertAlign w:val="superscript"/>
          <w:lang w:val="fr-FR"/>
        </w:rPr>
        <w:tab/>
      </w:r>
      <w:r>
        <w:rPr>
          <w:rStyle w:val="Emphasis"/>
          <w:vertAlign w:val="superscript"/>
          <w:lang w:val="fr-FR"/>
        </w:rPr>
        <w:t>6</w:t>
      </w:r>
      <w:r w:rsidR="003B33A7">
        <w:rPr>
          <w:rStyle w:val="Emphasis"/>
          <w:vertAlign w:val="superscript"/>
          <w:lang w:val="fr-FR"/>
        </w:rPr>
        <w:tab/>
      </w:r>
      <w:r w:rsidRPr="002A1244">
        <w:rPr>
          <w:rStyle w:val="Emphasis"/>
          <w:lang w:val="fr-FR"/>
        </w:rPr>
        <w:t xml:space="preserve">Règlement </w:t>
      </w:r>
      <w:r>
        <w:rPr>
          <w:rStyle w:val="Emphasis"/>
          <w:lang w:val="fr-FR"/>
        </w:rPr>
        <w:t>ECE No 110</w:t>
      </w:r>
      <w:r w:rsidRPr="002A1244">
        <w:rPr>
          <w:rStyle w:val="Emphasis"/>
          <w:lang w:val="fr-FR"/>
        </w:rPr>
        <w:t xml:space="preserve"> (Prescriptions uniformes relatives à l’homologation :</w:t>
      </w:r>
    </w:p>
    <w:p w:rsidR="004E315A" w:rsidRPr="002A1244" w:rsidRDefault="004E315A" w:rsidP="004E315A">
      <w:pPr>
        <w:tabs>
          <w:tab w:val="left" w:pos="1560"/>
        </w:tabs>
        <w:spacing w:after="120"/>
        <w:ind w:left="1170" w:right="1134"/>
        <w:jc w:val="both"/>
        <w:rPr>
          <w:rStyle w:val="Emphasis"/>
          <w:lang w:val="fr-FR"/>
        </w:rPr>
      </w:pPr>
      <w:r w:rsidRPr="002A1244">
        <w:rPr>
          <w:rStyle w:val="Emphasis"/>
          <w:lang w:val="fr-FR"/>
        </w:rPr>
        <w:tab/>
      </w:r>
      <w:r w:rsidRPr="002A1244">
        <w:rPr>
          <w:rStyle w:val="Emphasis"/>
          <w:lang w:val="fr-FR"/>
        </w:rPr>
        <w:tab/>
        <w:t>I.</w:t>
      </w:r>
      <w:r w:rsidRPr="002A1244">
        <w:rPr>
          <w:rStyle w:val="Emphasis"/>
          <w:lang w:val="fr-FR"/>
        </w:rPr>
        <w:tab/>
        <w:t>Des organes spéciaux pour l’alimentation du moteur au gaz naturel comprimé (GNC) ou au gaz naturel liquéfié (GNL) sur les véhicules;</w:t>
      </w:r>
    </w:p>
    <w:p w:rsidR="004E315A" w:rsidRPr="002A1244" w:rsidRDefault="004E315A" w:rsidP="004E315A">
      <w:pPr>
        <w:tabs>
          <w:tab w:val="left" w:pos="1560"/>
        </w:tabs>
        <w:spacing w:after="120"/>
        <w:ind w:left="1170" w:right="1134"/>
        <w:jc w:val="both"/>
        <w:rPr>
          <w:rStyle w:val="Emphasis"/>
          <w:lang w:val="fr-FR"/>
        </w:rPr>
      </w:pPr>
      <w:r w:rsidRPr="002A1244">
        <w:rPr>
          <w:rStyle w:val="Emphasis"/>
          <w:lang w:val="fr-FR"/>
        </w:rPr>
        <w:tab/>
      </w:r>
      <w:r w:rsidRPr="002A1244">
        <w:rPr>
          <w:rStyle w:val="Emphasis"/>
          <w:lang w:val="fr-FR"/>
        </w:rPr>
        <w:tab/>
        <w:t>II.</w:t>
      </w:r>
      <w:r w:rsidRPr="002A1244">
        <w:rPr>
          <w:rStyle w:val="Emphasis"/>
          <w:lang w:val="fr-FR"/>
        </w:rPr>
        <w:tab/>
        <w:t>Des véhicules munis d’organes spéciaux d’un type homologué pour l’alimentation du moteur au gaz naturel comprimé (GNC) ou au gaz naturel liquéfié (GNL) en ce qui concerne l’installation de ces organes).</w:t>
      </w:r>
    </w:p>
    <w:p w:rsidR="004E315A" w:rsidRPr="002A1244" w:rsidRDefault="004E315A" w:rsidP="004E315A">
      <w:pPr>
        <w:tabs>
          <w:tab w:val="left" w:pos="1560"/>
        </w:tabs>
        <w:spacing w:after="120"/>
        <w:ind w:left="1170" w:right="1134"/>
        <w:jc w:val="both"/>
        <w:rPr>
          <w:rStyle w:val="Emphasis"/>
          <w:lang w:val="fr-FR"/>
        </w:rPr>
      </w:pPr>
      <w:r w:rsidRPr="002A1244">
        <w:rPr>
          <w:rStyle w:val="Emphasis"/>
          <w:vertAlign w:val="superscript"/>
          <w:lang w:val="fr-FR"/>
        </w:rPr>
        <w:tab/>
      </w:r>
      <w:r>
        <w:rPr>
          <w:rStyle w:val="Emphasis"/>
          <w:vertAlign w:val="superscript"/>
          <w:lang w:val="fr-FR"/>
        </w:rPr>
        <w:t>7</w:t>
      </w:r>
      <w:r w:rsidR="003B33A7">
        <w:rPr>
          <w:rStyle w:val="Emphasis"/>
          <w:vertAlign w:val="superscript"/>
          <w:lang w:val="fr-FR"/>
        </w:rPr>
        <w:tab/>
      </w:r>
      <w:r w:rsidRPr="002A1244">
        <w:rPr>
          <w:rStyle w:val="Emphasis"/>
          <w:lang w:val="fr-FR"/>
        </w:rPr>
        <w:t xml:space="preserve">Règlement </w:t>
      </w:r>
      <w:r>
        <w:rPr>
          <w:rStyle w:val="Emphasis"/>
          <w:lang w:val="fr-FR"/>
        </w:rPr>
        <w:t>ECE No 67</w:t>
      </w:r>
      <w:r w:rsidRPr="002A1244">
        <w:rPr>
          <w:rStyle w:val="Emphasis"/>
          <w:lang w:val="fr-FR"/>
        </w:rPr>
        <w:t xml:space="preserve"> (Prescriptions uniformes relatives à l’homologation :</w:t>
      </w:r>
    </w:p>
    <w:p w:rsidR="004E315A" w:rsidRPr="002A1244" w:rsidRDefault="004E315A" w:rsidP="004E315A">
      <w:pPr>
        <w:tabs>
          <w:tab w:val="left" w:pos="1560"/>
        </w:tabs>
        <w:spacing w:after="120"/>
        <w:ind w:left="1170" w:right="1134"/>
        <w:jc w:val="both"/>
        <w:rPr>
          <w:rStyle w:val="Emphasis"/>
          <w:lang w:val="fr-FR"/>
        </w:rPr>
      </w:pPr>
      <w:r w:rsidRPr="002A1244">
        <w:rPr>
          <w:rStyle w:val="Emphasis"/>
          <w:lang w:val="fr-FR"/>
        </w:rPr>
        <w:lastRenderedPageBreak/>
        <w:tab/>
      </w:r>
      <w:r w:rsidRPr="002A1244">
        <w:rPr>
          <w:rStyle w:val="Emphasis"/>
          <w:lang w:val="fr-FR"/>
        </w:rPr>
        <w:tab/>
        <w:t>I.</w:t>
      </w:r>
      <w:r w:rsidRPr="002A1244">
        <w:rPr>
          <w:rStyle w:val="Emphasis"/>
          <w:lang w:val="fr-FR"/>
        </w:rPr>
        <w:tab/>
        <w:t>Des équipements spéciaux pour l’alimentation du moteur aux gaz de pétrole liquéfiés sur les véhicules des catégories M et N;</w:t>
      </w:r>
    </w:p>
    <w:p w:rsidR="004E315A" w:rsidRPr="002A1244" w:rsidRDefault="004E315A" w:rsidP="004E315A">
      <w:pPr>
        <w:tabs>
          <w:tab w:val="left" w:pos="1560"/>
        </w:tabs>
        <w:spacing w:after="120"/>
        <w:ind w:left="1170" w:right="1134"/>
        <w:jc w:val="both"/>
        <w:rPr>
          <w:rStyle w:val="Emphasis"/>
          <w:lang w:val="fr-FR"/>
        </w:rPr>
      </w:pPr>
      <w:r w:rsidRPr="002A1244">
        <w:rPr>
          <w:rStyle w:val="Emphasis"/>
          <w:lang w:val="fr-FR"/>
        </w:rPr>
        <w:tab/>
      </w:r>
      <w:r w:rsidRPr="002A1244">
        <w:rPr>
          <w:rStyle w:val="Emphasis"/>
          <w:lang w:val="fr-FR"/>
        </w:rPr>
        <w:tab/>
        <w:t>II.</w:t>
      </w:r>
      <w:r w:rsidRPr="002A1244">
        <w:rPr>
          <w:rStyle w:val="Emphasis"/>
          <w:lang w:val="fr-FR"/>
        </w:rPr>
        <w:tab/>
        <w:t>Des véhicules des catégories M et N munis d’un équipement spécial pour l’alimentation du moteur aux gaz de pétrole liquéfiés, en ce qui concerne l’installation de cet équipement.</w:t>
      </w:r>
    </w:p>
    <w:p w:rsidR="004E315A" w:rsidRPr="00367E36" w:rsidRDefault="004E315A" w:rsidP="00174DD1">
      <w:pPr>
        <w:pStyle w:val="SingleTxtG"/>
        <w:rPr>
          <w:lang w:val="fr-FR"/>
        </w:rPr>
      </w:pPr>
      <w:r w:rsidRPr="00367E36">
        <w:rPr>
          <w:lang w:val="fr-FR"/>
        </w:rPr>
        <w:t>9.2.4.7.1</w:t>
      </w:r>
      <w:r w:rsidRPr="00367E36">
        <w:rPr>
          <w:lang w:val="fr-FR"/>
        </w:rPr>
        <w:tab/>
        <w:t>La note de bas de page 4 est renumérotée 8.</w:t>
      </w:r>
    </w:p>
    <w:p w:rsidR="004E315A" w:rsidRDefault="004E315A" w:rsidP="00174DD1">
      <w:pPr>
        <w:pStyle w:val="SingleTxtG"/>
        <w:rPr>
          <w:lang w:val="fr-FR"/>
        </w:rPr>
      </w:pPr>
      <w:r w:rsidRPr="00367E36">
        <w:rPr>
          <w:lang w:val="fr-FR"/>
        </w:rPr>
        <w:t>9.2.5</w:t>
      </w:r>
      <w:r w:rsidRPr="00367E36">
        <w:rPr>
          <w:lang w:val="fr-FR"/>
        </w:rPr>
        <w:tab/>
        <w:t>La note de bas de page 5 est renumérotée 9.</w:t>
      </w:r>
    </w:p>
    <w:p w:rsidR="00174DD1" w:rsidRPr="001F3341" w:rsidRDefault="00174DD1" w:rsidP="00174DD1">
      <w:pPr>
        <w:pStyle w:val="SingleTxtG"/>
        <w:rPr>
          <w:lang w:val="fr-FR"/>
        </w:rPr>
      </w:pPr>
      <w:r w:rsidRPr="001F3341">
        <w:rPr>
          <w:lang w:val="fr-FR"/>
        </w:rPr>
        <w:t>Modifier le 9.2.6 comme suit</w:t>
      </w:r>
      <w:r>
        <w:rPr>
          <w:lang w:val="fr-FR"/>
        </w:rPr>
        <w:t> :</w:t>
      </w:r>
    </w:p>
    <w:p w:rsidR="00174DD1" w:rsidRPr="001F3341" w:rsidRDefault="00174DD1" w:rsidP="00174DD1">
      <w:pPr>
        <w:pStyle w:val="SingleTxtG"/>
        <w:rPr>
          <w:b/>
          <w:lang w:val="fr-FR"/>
        </w:rPr>
      </w:pPr>
      <w:r>
        <w:rPr>
          <w:lang w:val="fr-FR"/>
        </w:rPr>
        <w:t>«</w:t>
      </w:r>
      <w:r w:rsidRPr="001F3341">
        <w:rPr>
          <w:lang w:val="fr-FR"/>
        </w:rPr>
        <w:t>9.2.6</w:t>
      </w:r>
      <w:r w:rsidRPr="001F3341">
        <w:rPr>
          <w:lang w:val="fr-FR"/>
        </w:rPr>
        <w:tab/>
      </w:r>
      <w:r>
        <w:rPr>
          <w:lang w:val="fr-FR"/>
        </w:rPr>
        <w:tab/>
      </w:r>
      <w:r w:rsidRPr="001F3341">
        <w:rPr>
          <w:b/>
          <w:lang w:val="fr-FR"/>
        </w:rPr>
        <w:t xml:space="preserve">Dispositifs d’attelage </w:t>
      </w:r>
      <w:r>
        <w:rPr>
          <w:b/>
          <w:lang w:val="fr-FR"/>
        </w:rPr>
        <w:t>d</w:t>
      </w:r>
      <w:r w:rsidRPr="001F3341">
        <w:rPr>
          <w:b/>
          <w:lang w:val="fr-FR"/>
        </w:rPr>
        <w:t xml:space="preserve">es </w:t>
      </w:r>
      <w:r>
        <w:rPr>
          <w:b/>
          <w:lang w:val="fr-FR"/>
        </w:rPr>
        <w:t xml:space="preserve">véhicules à moteur et des </w:t>
      </w:r>
      <w:r w:rsidRPr="001F3341">
        <w:rPr>
          <w:b/>
          <w:lang w:val="fr-FR"/>
        </w:rPr>
        <w:t>remorques</w:t>
      </w:r>
    </w:p>
    <w:p w:rsidR="00174DD1" w:rsidRDefault="00174DD1" w:rsidP="00174DD1">
      <w:pPr>
        <w:pStyle w:val="SingleTxtG"/>
        <w:rPr>
          <w:lang w:val="fr-FR"/>
        </w:rPr>
      </w:pPr>
      <w:r>
        <w:rPr>
          <w:lang w:val="fr-FR"/>
        </w:rPr>
        <w:tab/>
      </w:r>
      <w:r w:rsidRPr="001F3341">
        <w:rPr>
          <w:lang w:val="fr-FR"/>
        </w:rPr>
        <w:tab/>
        <w:t xml:space="preserve">Les dispositifs d’attelage des </w:t>
      </w:r>
      <w:r>
        <w:rPr>
          <w:lang w:val="fr-FR"/>
        </w:rPr>
        <w:t xml:space="preserve">véhicules à moteur et des </w:t>
      </w:r>
      <w:r w:rsidRPr="001F3341">
        <w:rPr>
          <w:lang w:val="fr-FR"/>
        </w:rPr>
        <w:t>remorques doivent être conformes aux prescriptions techniques du Règlement E</w:t>
      </w:r>
      <w:r>
        <w:rPr>
          <w:lang w:val="fr-FR"/>
        </w:rPr>
        <w:t>C</w:t>
      </w:r>
      <w:r w:rsidRPr="001F3341">
        <w:rPr>
          <w:lang w:val="fr-FR"/>
        </w:rPr>
        <w:t xml:space="preserve">E </w:t>
      </w:r>
      <w:r>
        <w:rPr>
          <w:lang w:val="fr-FR"/>
        </w:rPr>
        <w:t>No </w:t>
      </w:r>
      <w:r w:rsidRPr="001F3341">
        <w:rPr>
          <w:lang w:val="fr-FR"/>
        </w:rPr>
        <w:t>55</w:t>
      </w:r>
      <w:r w:rsidR="003B646B" w:rsidRPr="003B33A7">
        <w:rPr>
          <w:vertAlign w:val="superscript"/>
          <w:lang w:val="fr-FR"/>
        </w:rPr>
        <w:t>2</w:t>
      </w:r>
      <w:r w:rsidRPr="001F3341">
        <w:rPr>
          <w:lang w:val="fr-FR"/>
        </w:rPr>
        <w:t xml:space="preserve"> tel que modifié, </w:t>
      </w:r>
      <w:r>
        <w:rPr>
          <w:lang w:val="fr-FR"/>
        </w:rPr>
        <w:t>conformément aux</w:t>
      </w:r>
      <w:r w:rsidRPr="001F3341">
        <w:rPr>
          <w:lang w:val="fr-FR"/>
        </w:rPr>
        <w:t xml:space="preserve"> dates d’application qui y sont spécifiées.</w:t>
      </w:r>
      <w:r>
        <w:rPr>
          <w:lang w:val="fr-FR"/>
        </w:rPr>
        <w:t>»</w:t>
      </w:r>
      <w:r w:rsidRPr="001F3341">
        <w:rPr>
          <w:lang w:val="fr-FR"/>
        </w:rPr>
        <w:t>.</w:t>
      </w:r>
    </w:p>
    <w:p w:rsidR="00174DD1" w:rsidRDefault="00174DD1" w:rsidP="00174DD1">
      <w:pPr>
        <w:pStyle w:val="SingleTxtG"/>
        <w:rPr>
          <w:i/>
          <w:iCs/>
          <w:snapToGrid w:val="0"/>
          <w:lang w:val="fr-FR"/>
        </w:rPr>
      </w:pPr>
      <w:r>
        <w:rPr>
          <w:i/>
          <w:iCs/>
          <w:snapToGrid w:val="0"/>
          <w:lang w:val="fr-FR"/>
        </w:rPr>
        <w:t>(Document de référence: ECE/TRANS/WP.15/2015/15 tel que modifié)</w:t>
      </w:r>
    </w:p>
    <w:p w:rsidR="0009473E" w:rsidRDefault="0009473E" w:rsidP="0009473E">
      <w:pPr>
        <w:pStyle w:val="SingleTxtG"/>
        <w:rPr>
          <w:lang w:val="fr-FR"/>
        </w:rPr>
      </w:pPr>
      <w:r>
        <w:rPr>
          <w:lang w:val="fr-FR"/>
        </w:rPr>
        <w:t>Ajouter la nouvelle section 9.2.7:</w:t>
      </w:r>
    </w:p>
    <w:p w:rsidR="0009473E" w:rsidRDefault="0009473E" w:rsidP="0009473E">
      <w:pPr>
        <w:pStyle w:val="SingleTxtG"/>
        <w:rPr>
          <w:snapToGrid w:val="0"/>
          <w:lang w:val="fr-CA"/>
        </w:rPr>
      </w:pPr>
      <w:r>
        <w:t>«</w:t>
      </w:r>
      <w:r w:rsidRPr="002A1244">
        <w:rPr>
          <w:b/>
        </w:rPr>
        <w:t>9.2.7</w:t>
      </w:r>
      <w:r w:rsidRPr="002A1244">
        <w:rPr>
          <w:b/>
        </w:rPr>
        <w:tab/>
      </w:r>
      <w:r w:rsidRPr="002A1244">
        <w:rPr>
          <w:b/>
        </w:rPr>
        <w:tab/>
        <w:t>Prévention des autres risques dus aux carburants</w:t>
      </w:r>
    </w:p>
    <w:p w:rsidR="0009473E" w:rsidRDefault="0009473E" w:rsidP="0009473E">
      <w:pPr>
        <w:pStyle w:val="SingleTxtG"/>
        <w:rPr>
          <w:snapToGrid w:val="0"/>
        </w:rPr>
      </w:pPr>
      <w:r>
        <w:t>9.2.7.1</w:t>
      </w:r>
      <w:r>
        <w:tab/>
      </w:r>
      <w:r>
        <w:tab/>
        <w:t xml:space="preserve">Les </w:t>
      </w:r>
      <w:r>
        <w:rPr>
          <w:snapToGrid w:val="0"/>
          <w:lang w:val="fr-FR"/>
        </w:rPr>
        <w:t>circuits de carburant de moteurs propuls</w:t>
      </w:r>
      <w:r>
        <w:rPr>
          <w:lang w:val="fr-FR"/>
        </w:rPr>
        <w:t>é</w:t>
      </w:r>
      <w:r>
        <w:rPr>
          <w:snapToGrid w:val="0"/>
          <w:lang w:val="fr-FR"/>
        </w:rPr>
        <w:t>s au GNL d</w:t>
      </w:r>
      <w:r>
        <w:t>es véhicules doivent être équipés et placés de façon à éviter tout danger pour le chargement qui pourrait être causé par le fait que le gaz est réfrigéré.».</w:t>
      </w:r>
    </w:p>
    <w:p w:rsidR="0009473E" w:rsidRDefault="0009473E" w:rsidP="0009473E">
      <w:pPr>
        <w:pStyle w:val="SingleTxtG"/>
        <w:rPr>
          <w:i/>
          <w:iCs/>
          <w:snapToGrid w:val="0"/>
          <w:lang w:val="fr-FR"/>
        </w:rPr>
      </w:pPr>
      <w:r>
        <w:rPr>
          <w:i/>
          <w:iCs/>
          <w:snapToGrid w:val="0"/>
          <w:lang w:val="fr-FR"/>
        </w:rPr>
        <w:t>(Reference document: ECE/TRANS/WP.15/2015/17 tel que modifié)</w:t>
      </w:r>
    </w:p>
    <w:p w:rsidR="00EE08A7" w:rsidRDefault="00EE08A7" w:rsidP="00EE08A7">
      <w:pPr>
        <w:pStyle w:val="H1G"/>
        <w:rPr>
          <w:lang w:val="fr-FR"/>
        </w:rPr>
      </w:pPr>
      <w:r>
        <w:rPr>
          <w:lang w:val="fr-FR"/>
        </w:rPr>
        <w:tab/>
      </w:r>
      <w:r>
        <w:rPr>
          <w:lang w:val="fr-FR"/>
        </w:rPr>
        <w:tab/>
        <w:t>Chapitre 9.3</w:t>
      </w:r>
    </w:p>
    <w:p w:rsidR="00665611" w:rsidRPr="001F3341" w:rsidRDefault="00665611" w:rsidP="00665611">
      <w:pPr>
        <w:pStyle w:val="SingleTxtG"/>
        <w:rPr>
          <w:lang w:val="fr-FR"/>
        </w:rPr>
      </w:pPr>
      <w:r>
        <w:rPr>
          <w:lang w:val="fr-FR"/>
        </w:rPr>
        <w:t>9.3.7</w:t>
      </w:r>
      <w:r>
        <w:rPr>
          <w:lang w:val="fr-FR"/>
        </w:rPr>
        <w:tab/>
      </w:r>
      <w:r w:rsidRPr="001F3341">
        <w:rPr>
          <w:lang w:val="fr-FR"/>
        </w:rPr>
        <w:t xml:space="preserve">Modifier </w:t>
      </w:r>
      <w:r>
        <w:rPr>
          <w:lang w:val="fr-FR"/>
        </w:rPr>
        <w:t>pour lire</w:t>
      </w:r>
      <w:r w:rsidRPr="001F3341">
        <w:rPr>
          <w:lang w:val="fr-FR"/>
        </w:rPr>
        <w:t xml:space="preserve"> comme suit</w:t>
      </w:r>
      <w:r>
        <w:rPr>
          <w:lang w:val="fr-FR"/>
        </w:rPr>
        <w:t>:</w:t>
      </w:r>
    </w:p>
    <w:p w:rsidR="00665611" w:rsidRPr="001F3341" w:rsidRDefault="00EE08A7" w:rsidP="00665611">
      <w:pPr>
        <w:pStyle w:val="SingleTxtG"/>
        <w:tabs>
          <w:tab w:val="left" w:pos="1985"/>
        </w:tabs>
        <w:rPr>
          <w:lang w:val="fr-FR"/>
        </w:rPr>
      </w:pPr>
      <w:r>
        <w:rPr>
          <w:lang w:val="fr-FR"/>
        </w:rPr>
        <w:t>«</w:t>
      </w:r>
      <w:r w:rsidR="00665611" w:rsidRPr="00EE08A7">
        <w:rPr>
          <w:b/>
          <w:lang w:val="fr-FR"/>
        </w:rPr>
        <w:t>9.3.7</w:t>
      </w:r>
      <w:r w:rsidR="00665611" w:rsidRPr="00EE08A7">
        <w:rPr>
          <w:b/>
          <w:lang w:val="fr-FR"/>
        </w:rPr>
        <w:tab/>
        <w:t>Équipement électrique</w:t>
      </w:r>
    </w:p>
    <w:p w:rsidR="00665611" w:rsidRPr="001F3341" w:rsidRDefault="00665611" w:rsidP="00665611">
      <w:pPr>
        <w:pStyle w:val="SingleTxtG"/>
        <w:tabs>
          <w:tab w:val="left" w:pos="1985"/>
        </w:tabs>
        <w:rPr>
          <w:lang w:val="fr-FR"/>
        </w:rPr>
      </w:pPr>
      <w:r w:rsidRPr="001F3341">
        <w:rPr>
          <w:lang w:val="fr-FR"/>
        </w:rPr>
        <w:t>9.3.7.1</w:t>
      </w:r>
      <w:r w:rsidRPr="001F3341">
        <w:rPr>
          <w:lang w:val="fr-FR"/>
        </w:rPr>
        <w:tab/>
        <w:t>L’installation électrique doit satisfaire aux prescriptions pertinentes des 9.2.2.1, 9.2.2.2, 9.2.2.3, 9.2.2.4, 9.2.2.5, 9.2.2.6, 9.2.2.7, 9.2.2.8 et 9.2.2.9.</w:t>
      </w:r>
      <w:r>
        <w:rPr>
          <w:lang w:val="fr-FR"/>
        </w:rPr>
        <w:t>2</w:t>
      </w:r>
      <w:r w:rsidRPr="001F3341">
        <w:rPr>
          <w:lang w:val="fr-FR"/>
        </w:rPr>
        <w:t>.</w:t>
      </w:r>
    </w:p>
    <w:p w:rsidR="00665611" w:rsidRPr="001F3341" w:rsidRDefault="00665611" w:rsidP="00665611">
      <w:pPr>
        <w:pStyle w:val="SingleTxtG"/>
        <w:tabs>
          <w:tab w:val="left" w:pos="1985"/>
        </w:tabs>
        <w:rPr>
          <w:lang w:val="fr-FR"/>
        </w:rPr>
      </w:pPr>
      <w:r w:rsidRPr="00834D3A">
        <w:rPr>
          <w:lang w:val="fr-FR"/>
        </w:rPr>
        <w:t>9.3.7.2</w:t>
      </w:r>
      <w:r w:rsidRPr="00834D3A">
        <w:rPr>
          <w:lang w:val="fr-FR"/>
        </w:rPr>
        <w:tab/>
        <w:t xml:space="preserve">L’installation électrique située dans le compartiment de chargement doit être protégée contre les poussières </w:t>
      </w:r>
      <w:r w:rsidR="00834D3A" w:rsidRPr="00834D3A">
        <w:rPr>
          <w:lang w:val="fr-FR"/>
        </w:rPr>
        <w:t>avec un degré de protection au moins</w:t>
      </w:r>
      <w:r w:rsidRPr="00834D3A">
        <w:rPr>
          <w:lang w:val="fr-FR"/>
        </w:rPr>
        <w:t xml:space="preserve"> IP 54 </w:t>
      </w:r>
      <w:r w:rsidR="00834D3A">
        <w:rPr>
          <w:lang w:val="fr-FR"/>
        </w:rPr>
        <w:t>selon</w:t>
      </w:r>
      <w:r w:rsidR="00834D3A" w:rsidRPr="00834D3A">
        <w:rPr>
          <w:lang w:val="fr-FR"/>
        </w:rPr>
        <w:t xml:space="preserve"> </w:t>
      </w:r>
      <w:r w:rsidRPr="00834D3A">
        <w:rPr>
          <w:lang w:val="fr-FR"/>
        </w:rPr>
        <w:t xml:space="preserve">la norme CEI 60529 ou équivalent. Pour le transport d’articles ou d’objets relevant du groupe de compatibilité J, il faut prévoir une protection </w:t>
      </w:r>
      <w:r w:rsidR="00834D3A">
        <w:rPr>
          <w:lang w:val="fr-FR"/>
        </w:rPr>
        <w:t>au moins</w:t>
      </w:r>
      <w:r w:rsidRPr="00834D3A">
        <w:rPr>
          <w:lang w:val="fr-FR"/>
        </w:rPr>
        <w:t xml:space="preserve"> IP 65 </w:t>
      </w:r>
      <w:r w:rsidR="00834D3A">
        <w:rPr>
          <w:lang w:val="fr-FR"/>
        </w:rPr>
        <w:t>selon</w:t>
      </w:r>
      <w:r w:rsidR="00834D3A" w:rsidRPr="00834D3A">
        <w:rPr>
          <w:lang w:val="fr-FR"/>
        </w:rPr>
        <w:t xml:space="preserve"> la norme CEI 60529</w:t>
      </w:r>
      <w:r w:rsidRPr="00834D3A">
        <w:rPr>
          <w:lang w:val="fr-FR"/>
        </w:rPr>
        <w:t xml:space="preserve"> ou équivalent.</w:t>
      </w:r>
    </w:p>
    <w:p w:rsidR="00665611" w:rsidRDefault="00665611" w:rsidP="00665611">
      <w:pPr>
        <w:pStyle w:val="SingleTxtG"/>
        <w:tabs>
          <w:tab w:val="left" w:pos="1985"/>
        </w:tabs>
        <w:rPr>
          <w:lang w:val="fr-FR"/>
        </w:rPr>
      </w:pPr>
      <w:r w:rsidRPr="001F3341">
        <w:rPr>
          <w:lang w:val="fr-FR"/>
        </w:rPr>
        <w:t>9.3.7.3</w:t>
      </w:r>
      <w:r w:rsidRPr="001F3341">
        <w:rPr>
          <w:lang w:val="fr-FR"/>
        </w:rPr>
        <w:tab/>
        <w:t>Aucun</w:t>
      </w:r>
      <w:r>
        <w:rPr>
          <w:lang w:val="fr-FR"/>
        </w:rPr>
        <w:t>e</w:t>
      </w:r>
      <w:r w:rsidRPr="001F3341">
        <w:rPr>
          <w:lang w:val="fr-FR"/>
        </w:rPr>
        <w:t xml:space="preserve"> </w:t>
      </w:r>
      <w:r>
        <w:rPr>
          <w:lang w:val="fr-FR"/>
        </w:rPr>
        <w:t>canalisation</w:t>
      </w:r>
      <w:r w:rsidRPr="001F3341">
        <w:rPr>
          <w:lang w:val="fr-FR"/>
        </w:rPr>
        <w:t xml:space="preserve"> ne doit se trouver à l’intérieur du compartiment de chargement. L’équipement électrique accessible de l’intérieur du compartiment doit être </w:t>
      </w:r>
      <w:r>
        <w:rPr>
          <w:lang w:val="fr-FR"/>
        </w:rPr>
        <w:t>suffisamment</w:t>
      </w:r>
      <w:r w:rsidRPr="001F3341">
        <w:rPr>
          <w:lang w:val="fr-FR"/>
        </w:rPr>
        <w:t xml:space="preserve"> protégé contre </w:t>
      </w:r>
      <w:r>
        <w:rPr>
          <w:lang w:val="fr-FR"/>
        </w:rPr>
        <w:t>les</w:t>
      </w:r>
      <w:r w:rsidRPr="001F3341">
        <w:rPr>
          <w:lang w:val="fr-FR"/>
        </w:rPr>
        <w:t xml:space="preserve"> choc</w:t>
      </w:r>
      <w:r>
        <w:rPr>
          <w:lang w:val="fr-FR"/>
        </w:rPr>
        <w:t>s</w:t>
      </w:r>
      <w:r w:rsidRPr="001F3341">
        <w:rPr>
          <w:lang w:val="fr-FR"/>
        </w:rPr>
        <w:t xml:space="preserve"> mécanique</w:t>
      </w:r>
      <w:r>
        <w:rPr>
          <w:lang w:val="fr-FR"/>
        </w:rPr>
        <w:t>s</w:t>
      </w:r>
      <w:r w:rsidRPr="001F3341">
        <w:rPr>
          <w:lang w:val="fr-FR"/>
        </w:rPr>
        <w:t xml:space="preserve"> </w:t>
      </w:r>
      <w:r>
        <w:rPr>
          <w:lang w:val="fr-FR"/>
        </w:rPr>
        <w:t xml:space="preserve">de </w:t>
      </w:r>
      <w:r w:rsidRPr="001F3341">
        <w:rPr>
          <w:lang w:val="fr-FR"/>
        </w:rPr>
        <w:t>l’intérieur.</w:t>
      </w:r>
      <w:r>
        <w:rPr>
          <w:lang w:val="fr-FR"/>
        </w:rPr>
        <w:t>»</w:t>
      </w:r>
      <w:r w:rsidRPr="001F3341">
        <w:rPr>
          <w:lang w:val="fr-FR"/>
        </w:rPr>
        <w:t>.</w:t>
      </w:r>
    </w:p>
    <w:p w:rsidR="00665611" w:rsidRDefault="00665611" w:rsidP="00665611">
      <w:pPr>
        <w:pStyle w:val="SingleTxtG"/>
        <w:rPr>
          <w:i/>
          <w:iCs/>
          <w:snapToGrid w:val="0"/>
          <w:lang w:val="fr-FR"/>
        </w:rPr>
      </w:pPr>
      <w:r>
        <w:rPr>
          <w:i/>
          <w:iCs/>
          <w:snapToGrid w:val="0"/>
          <w:lang w:val="fr-FR"/>
        </w:rPr>
        <w:t>(Reference document: ECE/TRANS/WP.15/2015/15 tel que modifié)</w:t>
      </w:r>
    </w:p>
    <w:p w:rsidR="00EE08A7" w:rsidRDefault="00EE08A7" w:rsidP="00EE08A7">
      <w:pPr>
        <w:pStyle w:val="H1G"/>
        <w:rPr>
          <w:lang w:val="fr-FR"/>
        </w:rPr>
      </w:pPr>
      <w:r>
        <w:rPr>
          <w:lang w:val="fr-FR"/>
        </w:rPr>
        <w:tab/>
      </w:r>
      <w:r>
        <w:rPr>
          <w:lang w:val="fr-FR"/>
        </w:rPr>
        <w:tab/>
        <w:t>Chapitre 9.7</w:t>
      </w:r>
    </w:p>
    <w:p w:rsidR="00EE08A7" w:rsidRDefault="00EE08A7" w:rsidP="006973AE">
      <w:pPr>
        <w:pStyle w:val="SingleTxtG"/>
        <w:tabs>
          <w:tab w:val="left" w:pos="1985"/>
        </w:tabs>
        <w:rPr>
          <w:lang w:val="fr-FR"/>
        </w:rPr>
      </w:pPr>
      <w:r w:rsidRPr="001F3341">
        <w:rPr>
          <w:lang w:val="fr-FR"/>
        </w:rPr>
        <w:t xml:space="preserve">Dans le titre du chapitre 9.7, </w:t>
      </w:r>
      <w:proofErr w:type="gramStart"/>
      <w:r w:rsidRPr="001F3341">
        <w:rPr>
          <w:lang w:val="fr-FR"/>
        </w:rPr>
        <w:t>remplacer</w:t>
      </w:r>
      <w:proofErr w:type="gramEnd"/>
      <w:r w:rsidRPr="001F3341">
        <w:rPr>
          <w:lang w:val="fr-FR"/>
        </w:rPr>
        <w:t xml:space="preserve"> </w:t>
      </w:r>
      <w:r w:rsidR="006973AE">
        <w:rPr>
          <w:lang w:val="fr-FR"/>
        </w:rPr>
        <w:t>«</w:t>
      </w:r>
      <w:r w:rsidRPr="001F3341">
        <w:rPr>
          <w:lang w:val="fr-FR"/>
        </w:rPr>
        <w:t>VÉHICULES EX/III, FL, OX et AT</w:t>
      </w:r>
      <w:r>
        <w:rPr>
          <w:lang w:val="fr-FR"/>
        </w:rPr>
        <w:t>»</w:t>
      </w:r>
      <w:r w:rsidRPr="001F3341">
        <w:rPr>
          <w:lang w:val="fr-FR"/>
        </w:rPr>
        <w:t xml:space="preserve"> par </w:t>
      </w:r>
      <w:r w:rsidR="006973AE">
        <w:rPr>
          <w:lang w:val="fr-FR"/>
        </w:rPr>
        <w:t>«</w:t>
      </w:r>
      <w:r w:rsidRPr="001F3341">
        <w:rPr>
          <w:lang w:val="fr-FR"/>
        </w:rPr>
        <w:t>VÉHICULES EX/III, FL et AT</w:t>
      </w:r>
      <w:r>
        <w:rPr>
          <w:lang w:val="fr-FR"/>
        </w:rPr>
        <w:t>»</w:t>
      </w:r>
      <w:r w:rsidRPr="001F3341">
        <w:rPr>
          <w:lang w:val="fr-FR"/>
        </w:rPr>
        <w:t>.</w:t>
      </w:r>
    </w:p>
    <w:p w:rsidR="006973AE" w:rsidRDefault="006973AE" w:rsidP="006973AE">
      <w:pPr>
        <w:pStyle w:val="SingleTxtG"/>
        <w:rPr>
          <w:i/>
          <w:iCs/>
          <w:snapToGrid w:val="0"/>
          <w:lang w:val="fr-FR"/>
        </w:rPr>
      </w:pPr>
      <w:r>
        <w:rPr>
          <w:i/>
          <w:iCs/>
          <w:snapToGrid w:val="0"/>
          <w:lang w:val="fr-FR"/>
        </w:rPr>
        <w:t>(Reference document: ECE/TRANS/WP.15/2015/15 tel que modifié)</w:t>
      </w:r>
    </w:p>
    <w:p w:rsidR="00EE08A7" w:rsidRPr="001F3341" w:rsidRDefault="006973AE" w:rsidP="00EE08A7">
      <w:pPr>
        <w:pStyle w:val="SingleTxtG"/>
        <w:tabs>
          <w:tab w:val="left" w:pos="1985"/>
        </w:tabs>
        <w:rPr>
          <w:lang w:val="fr-FR"/>
        </w:rPr>
      </w:pPr>
      <w:r>
        <w:rPr>
          <w:lang w:val="fr-FR"/>
        </w:rPr>
        <w:t>9.7.8.1</w:t>
      </w:r>
      <w:r>
        <w:rPr>
          <w:lang w:val="fr-FR"/>
        </w:rPr>
        <w:tab/>
      </w:r>
      <w:r w:rsidR="00EE08A7" w:rsidRPr="001F3341">
        <w:rPr>
          <w:lang w:val="fr-FR"/>
        </w:rPr>
        <w:t xml:space="preserve">Modifier la première phrase </w:t>
      </w:r>
      <w:r>
        <w:rPr>
          <w:lang w:val="fr-FR"/>
        </w:rPr>
        <w:t>pour lire</w:t>
      </w:r>
      <w:r w:rsidR="00EE08A7" w:rsidRPr="001F3341">
        <w:rPr>
          <w:lang w:val="fr-FR"/>
        </w:rPr>
        <w:t xml:space="preserve"> comme suit</w:t>
      </w:r>
      <w:r w:rsidR="00EE08A7">
        <w:rPr>
          <w:lang w:val="fr-FR"/>
        </w:rPr>
        <w:t>:</w:t>
      </w:r>
    </w:p>
    <w:p w:rsidR="00EE08A7" w:rsidRDefault="00EE08A7" w:rsidP="00EE08A7">
      <w:pPr>
        <w:pStyle w:val="SingleTxtG"/>
        <w:tabs>
          <w:tab w:val="left" w:pos="1985"/>
        </w:tabs>
        <w:rPr>
          <w:lang w:val="fr-FR"/>
        </w:rPr>
      </w:pPr>
      <w:r>
        <w:rPr>
          <w:lang w:val="fr-FR"/>
        </w:rPr>
        <w:lastRenderedPageBreak/>
        <w:t>«</w:t>
      </w:r>
      <w:r w:rsidRPr="001F3341">
        <w:rPr>
          <w:lang w:val="fr-FR"/>
        </w:rPr>
        <w:t xml:space="preserve">L’installation électrique sur les véhicules FL doit satisfaire aux prescriptions pertinentes </w:t>
      </w:r>
      <w:r w:rsidRPr="00834D3A">
        <w:rPr>
          <w:lang w:val="fr-FR"/>
        </w:rPr>
        <w:t>des 9.2.2.1, 9.2.2.2, 9.2.2.4, 9.2.2.5, 9.2.2.6, 9.2.2.8 et 9.2.2.9.1.».</w:t>
      </w:r>
    </w:p>
    <w:p w:rsidR="006973AE" w:rsidRDefault="006973AE" w:rsidP="006973AE">
      <w:pPr>
        <w:pStyle w:val="SingleTxtG"/>
        <w:rPr>
          <w:i/>
          <w:iCs/>
          <w:snapToGrid w:val="0"/>
          <w:lang w:val="fr-FR"/>
        </w:rPr>
      </w:pPr>
      <w:r>
        <w:rPr>
          <w:i/>
          <w:iCs/>
          <w:snapToGrid w:val="0"/>
          <w:lang w:val="fr-FR"/>
        </w:rPr>
        <w:t>(Reference document: ECE/TRANS/WP.15/2015/15 tel que modifié)</w:t>
      </w:r>
    </w:p>
    <w:p w:rsidR="00107469" w:rsidRDefault="00107469" w:rsidP="00107469">
      <w:pPr>
        <w:pStyle w:val="SingleTxtG"/>
        <w:spacing w:before="360"/>
        <w:rPr>
          <w:sz w:val="24"/>
          <w:lang w:val="fr-FR"/>
        </w:rPr>
      </w:pPr>
      <w:r>
        <w:rPr>
          <w:b/>
          <w:sz w:val="24"/>
          <w:lang w:val="fr-FR"/>
        </w:rPr>
        <w:t xml:space="preserve">Amendements selon ECE/TRANS/WP.15/226, ECE/TRANS/WP.15/228, ECE/TRANS/WP.15/AC.1/138, annexe II et ECE/TRANS/WP.15/AC.1/140/Add.2, tels que repris dans le document informel INF.9 </w:t>
      </w:r>
      <w:r w:rsidRPr="00142B86">
        <w:rPr>
          <w:sz w:val="24"/>
          <w:szCs w:val="24"/>
          <w:lang w:val="fr-FR"/>
        </w:rPr>
        <w:t>adoptés avec les modifications suivantes</w:t>
      </w:r>
      <w:r>
        <w:rPr>
          <w:sz w:val="24"/>
          <w:lang w:val="fr-FR"/>
        </w:rPr>
        <w:t>:</w:t>
      </w:r>
    </w:p>
    <w:p w:rsidR="00107469" w:rsidRDefault="00107469" w:rsidP="00107469">
      <w:pPr>
        <w:pStyle w:val="H1G"/>
      </w:pPr>
      <w:r>
        <w:tab/>
      </w:r>
      <w:r>
        <w:tab/>
        <w:t>Chapitre 1.1</w:t>
      </w:r>
    </w:p>
    <w:p w:rsidR="00107469" w:rsidRDefault="00107469" w:rsidP="00107469">
      <w:pPr>
        <w:pStyle w:val="SingleTxtG"/>
      </w:pPr>
      <w:r w:rsidRPr="00142B86">
        <w:t>1.1.3.3</w:t>
      </w:r>
      <w:r>
        <w:t xml:space="preserve"> (a)</w:t>
      </w:r>
      <w:r w:rsidRPr="00142B86">
        <w:tab/>
        <w:t>L</w:t>
      </w:r>
      <w:r>
        <w:t xml:space="preserve">e deuxième </w:t>
      </w:r>
      <w:r w:rsidRPr="00142B86">
        <w:t xml:space="preserve">amendement doit </w:t>
      </w:r>
      <w:r>
        <w:t xml:space="preserve">se </w:t>
      </w:r>
      <w:r w:rsidRPr="00142B86">
        <w:t xml:space="preserve">lire: </w:t>
      </w:r>
      <w:r w:rsidRPr="00142B86">
        <w:rPr>
          <w:lang w:val="fr-FR"/>
        </w:rPr>
        <w:t>«</w:t>
      </w:r>
      <w:r w:rsidRPr="00142B86">
        <w:t>À l’alinéa a), dans le troisième paragraphe, à la fin de la première phrase, ajouter: «indépendamment du fait que la remorque est remorqué</w:t>
      </w:r>
      <w:r>
        <w:t>e</w:t>
      </w:r>
      <w:r w:rsidRPr="00142B86">
        <w:t xml:space="preserve"> ou transportée sur un autre véhicule».</w:t>
      </w:r>
    </w:p>
    <w:p w:rsidR="00107469" w:rsidRPr="00142B86" w:rsidRDefault="00107469" w:rsidP="00107469">
      <w:pPr>
        <w:pStyle w:val="SingleTxtG"/>
      </w:pPr>
      <w:r w:rsidRPr="00142B86">
        <w:t>1.1.3.3</w:t>
      </w:r>
      <w:r>
        <w:t xml:space="preserve"> (c)</w:t>
      </w:r>
      <w:r>
        <w:tab/>
        <w:t>Supprimer la Note de bas page 1.</w:t>
      </w:r>
    </w:p>
    <w:p w:rsidR="00107469" w:rsidRPr="004B7FB0" w:rsidRDefault="00107469" w:rsidP="00107469">
      <w:pPr>
        <w:pStyle w:val="SingleTxtG"/>
        <w:rPr>
          <w:lang w:val="fr-FR"/>
        </w:rPr>
      </w:pPr>
      <w:r w:rsidRPr="004B7FB0">
        <w:rPr>
          <w:iCs/>
          <w:lang w:val="fr-FR"/>
        </w:rPr>
        <w:t>1.1.3.6.3</w:t>
      </w:r>
      <w:r w:rsidRPr="004B7FB0">
        <w:rPr>
          <w:iCs/>
          <w:lang w:val="fr-FR"/>
        </w:rPr>
        <w:tab/>
      </w:r>
      <w:r w:rsidRPr="004B7FB0">
        <w:t>Le premier amendement doit se lire</w:t>
      </w:r>
      <w:r w:rsidRPr="004B7FB0">
        <w:rPr>
          <w:lang w:val="fr-FR"/>
        </w:rPr>
        <w:t xml:space="preserve"> «</w:t>
      </w:r>
      <w:r w:rsidRPr="004B7FB0">
        <w:rPr>
          <w:iCs/>
          <w:lang w:val="fr-FR"/>
        </w:rPr>
        <w:t xml:space="preserve">Pour la catégorie de transport 0, pour la classe 9, </w:t>
      </w:r>
      <w:proofErr w:type="gramStart"/>
      <w:r w:rsidRPr="004B7FB0">
        <w:rPr>
          <w:lang w:val="fr-FR"/>
        </w:rPr>
        <w:t>remplacer</w:t>
      </w:r>
      <w:proofErr w:type="gramEnd"/>
      <w:r w:rsidRPr="004B7FB0">
        <w:rPr>
          <w:lang w:val="fr-FR"/>
        </w:rPr>
        <w:t xml:space="preserve"> «</w:t>
      </w:r>
      <w:r w:rsidRPr="004B7FB0">
        <w:rPr>
          <w:bCs/>
          <w:iCs/>
          <w:lang w:val="fr-FR"/>
        </w:rPr>
        <w:t>appareil</w:t>
      </w:r>
      <w:r w:rsidRPr="004B7FB0">
        <w:rPr>
          <w:lang w:val="fr-FR"/>
        </w:rPr>
        <w:t>» par «</w:t>
      </w:r>
      <w:r w:rsidRPr="004B7FB0">
        <w:rPr>
          <w:bCs/>
          <w:iCs/>
          <w:lang w:val="fr-FR"/>
        </w:rPr>
        <w:t>objets</w:t>
      </w:r>
      <w:r w:rsidRPr="004B7FB0">
        <w:rPr>
          <w:lang w:val="fr-FR"/>
        </w:rPr>
        <w:t>»».</w:t>
      </w:r>
    </w:p>
    <w:p w:rsidR="00107469" w:rsidRDefault="00107469" w:rsidP="00107469">
      <w:pPr>
        <w:pStyle w:val="H1G"/>
      </w:pPr>
      <w:r>
        <w:tab/>
      </w:r>
      <w:r>
        <w:tab/>
        <w:t>Chapitre 1.2</w:t>
      </w:r>
    </w:p>
    <w:p w:rsidR="00107469" w:rsidRDefault="00107469" w:rsidP="00107469">
      <w:pPr>
        <w:pStyle w:val="SingleTxtG"/>
        <w:rPr>
          <w:lang w:val="fr-FR"/>
        </w:rPr>
      </w:pPr>
      <w:r w:rsidRPr="00F447EE">
        <w:rPr>
          <w:lang w:val="fr-FR"/>
        </w:rPr>
        <w:t>Dans l'amendement concernant la définition d’</w:t>
      </w:r>
      <w:r w:rsidRPr="00F447EE">
        <w:rPr>
          <w:i/>
          <w:iCs/>
          <w:lang w:val="fr-FR"/>
        </w:rPr>
        <w:t>Aérosols ou générateurs d'aérosols,</w:t>
      </w:r>
      <w:r w:rsidRPr="00F447EE">
        <w:rPr>
          <w:lang w:val="fr-FR"/>
        </w:rPr>
        <w:t xml:space="preserve"> </w:t>
      </w:r>
      <w:proofErr w:type="gramStart"/>
      <w:r w:rsidRPr="00F447EE">
        <w:rPr>
          <w:lang w:val="fr-FR"/>
        </w:rPr>
        <w:t>supprimer</w:t>
      </w:r>
      <w:proofErr w:type="gramEnd"/>
      <w:r w:rsidRPr="00F447EE">
        <w:rPr>
          <w:lang w:val="fr-FR"/>
        </w:rPr>
        <w:t xml:space="preserve"> «Dans le texte français, accorder le reste du texte de la définition en conséquence.».</w:t>
      </w:r>
    </w:p>
    <w:p w:rsidR="00107469" w:rsidRPr="00917702" w:rsidRDefault="00107469" w:rsidP="00107469">
      <w:pPr>
        <w:pStyle w:val="SingleTxtG"/>
        <w:rPr>
          <w:lang w:val="fr-FR"/>
        </w:rPr>
      </w:pPr>
      <w:r w:rsidRPr="00917702">
        <w:t xml:space="preserve">La modification concernant </w:t>
      </w:r>
      <w:r w:rsidRPr="00917702">
        <w:rPr>
          <w:lang w:val="fr-FR"/>
        </w:rPr>
        <w:t xml:space="preserve">la définition de </w:t>
      </w:r>
      <w:r w:rsidRPr="00917702">
        <w:rPr>
          <w:i/>
        </w:rPr>
        <w:t>Durée de vie nominale</w:t>
      </w:r>
      <w:r w:rsidRPr="00917702">
        <w:t xml:space="preserve"> ne s’applique pas au texte français.</w:t>
      </w:r>
    </w:p>
    <w:p w:rsidR="00107469" w:rsidRDefault="00107469" w:rsidP="00107469">
      <w:pPr>
        <w:pStyle w:val="H1G"/>
      </w:pPr>
      <w:r>
        <w:tab/>
      </w:r>
      <w:r>
        <w:tab/>
        <w:t>Chapitre 1.6</w:t>
      </w:r>
    </w:p>
    <w:p w:rsidR="00107469" w:rsidRDefault="00107469" w:rsidP="00107469">
      <w:pPr>
        <w:pStyle w:val="SingleTxtG"/>
      </w:pPr>
      <w:r>
        <w:t>1.6.1.20</w:t>
      </w:r>
      <w:r>
        <w:tab/>
      </w:r>
      <w:r w:rsidR="00834D3A">
        <w:t>Après</w:t>
      </w:r>
      <w:r>
        <w:t xml:space="preserve"> </w:t>
      </w:r>
      <w:r w:rsidR="00834D3A">
        <w:t>l’</w:t>
      </w:r>
      <w:r>
        <w:t>amendement, ajouter:</w:t>
      </w:r>
    </w:p>
    <w:p w:rsidR="00107469" w:rsidRDefault="00107469" w:rsidP="00107469">
      <w:pPr>
        <w:pStyle w:val="SingleTxtG"/>
      </w:pPr>
      <w:r w:rsidRPr="00F447EE">
        <w:rPr>
          <w:lang w:val="fr-FR"/>
        </w:rPr>
        <w:t>«</w:t>
      </w:r>
      <w:r>
        <w:t>Amendement de conséquence:</w:t>
      </w:r>
    </w:p>
    <w:p w:rsidR="00107469" w:rsidRDefault="00107469" w:rsidP="00107469">
      <w:pPr>
        <w:pStyle w:val="SingleTxtG"/>
      </w:pPr>
      <w:r>
        <w:t>Paragraphe 1.9.5.3.6, supprimer la note de bas de page 3. Paragraphes 8.6.3.3 et 8.6.4, supprimer la note de bas de page 1.</w:t>
      </w:r>
      <w:r w:rsidRPr="00F447EE">
        <w:rPr>
          <w:lang w:val="fr-FR"/>
        </w:rPr>
        <w:t>»</w:t>
      </w:r>
      <w:r>
        <w:rPr>
          <w:lang w:val="fr-FR"/>
        </w:rPr>
        <w:t>.</w:t>
      </w:r>
    </w:p>
    <w:p w:rsidR="00107469" w:rsidRPr="00F447EE" w:rsidRDefault="00107469" w:rsidP="00107469">
      <w:pPr>
        <w:pStyle w:val="SingleTxtG"/>
      </w:pPr>
      <w:r>
        <w:t>1.6.3.7</w:t>
      </w:r>
      <w:r>
        <w:tab/>
      </w:r>
      <w:r>
        <w:tab/>
      </w:r>
      <w:r w:rsidRPr="00F447EE">
        <w:rPr>
          <w:lang w:val="fr-FR"/>
        </w:rPr>
        <w:t>Supprimer «États parties/».</w:t>
      </w:r>
    </w:p>
    <w:p w:rsidR="00107469" w:rsidRPr="00F447EE" w:rsidRDefault="00107469" w:rsidP="00107469">
      <w:pPr>
        <w:pStyle w:val="SingleTxtG"/>
      </w:pPr>
      <w:r>
        <w:t>1.6.5.17</w:t>
      </w:r>
      <w:r>
        <w:tab/>
      </w:r>
      <w:r>
        <w:rPr>
          <w:lang w:val="fr-FR"/>
        </w:rPr>
        <w:t>Supprimer.</w:t>
      </w:r>
    </w:p>
    <w:p w:rsidR="002A7DEA" w:rsidRDefault="002A7DEA" w:rsidP="002A7DEA">
      <w:pPr>
        <w:pStyle w:val="H1G"/>
      </w:pPr>
      <w:r>
        <w:tab/>
      </w:r>
      <w:r>
        <w:tab/>
        <w:t>Chapitre 1.6</w:t>
      </w:r>
    </w:p>
    <w:p w:rsidR="002A7DEA" w:rsidRDefault="002A7DEA" w:rsidP="002A7DEA">
      <w:pPr>
        <w:spacing w:before="120" w:after="120" w:line="240" w:lineRule="auto"/>
        <w:ind w:left="1134" w:right="1134"/>
        <w:jc w:val="both"/>
      </w:pPr>
      <w:r>
        <w:t>1.9.5.2.2</w:t>
      </w:r>
      <w:r>
        <w:tab/>
      </w:r>
      <w:r w:rsidRPr="00CA2DBB">
        <w:t>L'amendement doit lire:</w:t>
      </w:r>
    </w:p>
    <w:p w:rsidR="002A7DEA" w:rsidRDefault="00013D7C" w:rsidP="002A7DEA">
      <w:pPr>
        <w:spacing w:before="120" w:after="120" w:line="240" w:lineRule="auto"/>
        <w:ind w:left="1134" w:right="1134"/>
        <w:jc w:val="both"/>
        <w:rPr>
          <w:lang w:val="fr-FR"/>
        </w:rPr>
      </w:pPr>
      <w:r>
        <w:rPr>
          <w:lang w:val="fr-FR"/>
        </w:rPr>
        <w:t>«</w:t>
      </w:r>
      <w:r w:rsidR="002A7DEA">
        <w:rPr>
          <w:lang w:val="fr-FR"/>
        </w:rPr>
        <w:t>1.9.5.2.2</w:t>
      </w:r>
      <w:r w:rsidR="002A7DEA">
        <w:rPr>
          <w:lang w:val="fr-FR"/>
        </w:rPr>
        <w:tab/>
        <w:t>Pour la catégorie du tunnel E, modifier le paragraphe ava</w:t>
      </w:r>
      <w:r>
        <w:rPr>
          <w:lang w:val="fr-FR"/>
        </w:rPr>
        <w:t>nt le Nota pour lire comme suit</w:t>
      </w:r>
      <w:r w:rsidR="002A7DEA">
        <w:rPr>
          <w:lang w:val="fr-FR"/>
        </w:rPr>
        <w:t>:</w:t>
      </w:r>
    </w:p>
    <w:p w:rsidR="002A7DEA" w:rsidRPr="001965D7" w:rsidRDefault="002A7DEA" w:rsidP="002A7DEA">
      <w:pPr>
        <w:spacing w:before="120" w:after="120" w:line="240" w:lineRule="auto"/>
        <w:ind w:left="1134" w:right="1134"/>
        <w:jc w:val="both"/>
        <w:rPr>
          <w:lang w:val="fr-FR"/>
        </w:rPr>
      </w:pPr>
      <w:r>
        <w:rPr>
          <w:lang w:val="fr-FR"/>
        </w:rPr>
        <w:t>«</w:t>
      </w:r>
      <w:r w:rsidRPr="001965D7">
        <w:rPr>
          <w:lang w:val="fr-FR"/>
        </w:rPr>
        <w:t>Restriction au transport de toutes les marchandises dangereuses, sauf celles pour lesquelles a été portée la mention “(-)” dans la colonne (15) du tableau A du chapitre 3.2,</w:t>
      </w:r>
      <w:r>
        <w:rPr>
          <w:lang w:val="fr-FR"/>
        </w:rPr>
        <w:t xml:space="preserve"> et au transport de toutes marchandises dangereuses selon les dispositions du chapitre 3.4 si les quantités sont supérieures à 8 tonnes de masse brute totale par unité de transport.».</w:t>
      </w:r>
      <w:r w:rsidR="00013D7C">
        <w:rPr>
          <w:lang w:val="fr-FR"/>
        </w:rPr>
        <w:t>».</w:t>
      </w:r>
    </w:p>
    <w:p w:rsidR="002A7DEA" w:rsidRPr="001965D7" w:rsidRDefault="002A7DEA" w:rsidP="002A7DEA">
      <w:pPr>
        <w:pStyle w:val="SingleTxtG"/>
        <w:rPr>
          <w:iCs/>
          <w:snapToGrid w:val="0"/>
          <w:lang w:val="fr-FR"/>
        </w:rPr>
      </w:pPr>
      <w:r w:rsidRPr="001965D7">
        <w:rPr>
          <w:i/>
          <w:iCs/>
          <w:snapToGrid w:val="0"/>
          <w:lang w:val="fr-FR"/>
        </w:rPr>
        <w:lastRenderedPageBreak/>
        <w:t>(Document de référence: ECE/TRANS/WP.15/2015/</w:t>
      </w:r>
      <w:r>
        <w:rPr>
          <w:i/>
          <w:iCs/>
          <w:snapToGrid w:val="0"/>
          <w:lang w:val="fr-FR"/>
        </w:rPr>
        <w:t>12</w:t>
      </w:r>
      <w:r w:rsidRPr="001965D7">
        <w:rPr>
          <w:i/>
          <w:iCs/>
          <w:snapToGrid w:val="0"/>
          <w:lang w:val="fr-FR"/>
        </w:rPr>
        <w:t xml:space="preserve"> tel que modifié)</w:t>
      </w:r>
    </w:p>
    <w:p w:rsidR="00107469" w:rsidRDefault="00107469" w:rsidP="00107469">
      <w:pPr>
        <w:pStyle w:val="H1G"/>
      </w:pPr>
      <w:r>
        <w:tab/>
      </w:r>
      <w:r>
        <w:tab/>
        <w:t>Chapitre 2.2</w:t>
      </w:r>
    </w:p>
    <w:p w:rsidR="00107469" w:rsidRDefault="00107469" w:rsidP="00107469">
      <w:pPr>
        <w:pStyle w:val="SingleTxtG"/>
      </w:pPr>
      <w:r>
        <w:t>2.2.9.1.2, 2.2.9.1.5</w:t>
      </w:r>
      <w:r>
        <w:tab/>
      </w:r>
      <w:r>
        <w:tab/>
      </w:r>
      <w:r w:rsidRPr="00CA2DBB">
        <w:t xml:space="preserve">L'amendement doit lire: </w:t>
      </w:r>
      <w:r w:rsidRPr="00CA2DBB">
        <w:rPr>
          <w:lang w:val="fr-FR"/>
        </w:rPr>
        <w:t>«</w:t>
      </w:r>
      <w:r w:rsidRPr="00CA2DBB">
        <w:t>R</w:t>
      </w:r>
      <w:proofErr w:type="spellStart"/>
      <w:r w:rsidRPr="00CA2DBB">
        <w:rPr>
          <w:lang w:val="fr-FR"/>
        </w:rPr>
        <w:t>emplacer</w:t>
      </w:r>
      <w:proofErr w:type="spellEnd"/>
      <w:r w:rsidRPr="00CA2DBB">
        <w:rPr>
          <w:lang w:val="fr-FR"/>
        </w:rPr>
        <w:t xml:space="preserve"> «</w:t>
      </w:r>
      <w:r w:rsidRPr="00CA2DBB">
        <w:rPr>
          <w:bCs/>
          <w:iCs/>
          <w:lang w:val="fr-FR"/>
        </w:rPr>
        <w:t>appareil</w:t>
      </w:r>
      <w:r w:rsidRPr="00CA2DBB">
        <w:rPr>
          <w:lang w:val="fr-FR"/>
        </w:rPr>
        <w:t>» par «</w:t>
      </w:r>
      <w:r w:rsidRPr="00CA2DBB">
        <w:rPr>
          <w:bCs/>
          <w:iCs/>
          <w:lang w:val="fr-FR"/>
        </w:rPr>
        <w:t>objets</w:t>
      </w:r>
      <w:r w:rsidRPr="00CA2DBB">
        <w:rPr>
          <w:lang w:val="fr-FR"/>
        </w:rPr>
        <w:t>».».</w:t>
      </w:r>
    </w:p>
    <w:p w:rsidR="00107469" w:rsidRDefault="00107469" w:rsidP="00107469">
      <w:pPr>
        <w:pStyle w:val="SingleTxtG"/>
      </w:pPr>
      <w:r>
        <w:t>2.2.9.1.14</w:t>
      </w:r>
      <w:r>
        <w:tab/>
        <w:t>Ajouter un nouvel amendement pour lire comme suit:</w:t>
      </w:r>
    </w:p>
    <w:p w:rsidR="00107469" w:rsidRDefault="00107469" w:rsidP="00107469">
      <w:pPr>
        <w:pStyle w:val="SingleTxtG"/>
        <w:tabs>
          <w:tab w:val="left" w:pos="2268"/>
        </w:tabs>
        <w:rPr>
          <w:lang w:val="fr-FR"/>
        </w:rPr>
      </w:pPr>
      <w:r w:rsidRPr="00F447EE">
        <w:rPr>
          <w:lang w:val="fr-FR"/>
        </w:rPr>
        <w:t>«</w:t>
      </w:r>
      <w:r>
        <w:rPr>
          <w:lang w:val="fr-FR"/>
        </w:rPr>
        <w:t>2.2.9.1.14</w:t>
      </w:r>
      <w:r>
        <w:rPr>
          <w:lang w:val="fr-FR"/>
        </w:rPr>
        <w:tab/>
        <w:t>Dans les matières énumérées avant le Nota, après «</w:t>
      </w:r>
      <w:r w:rsidRPr="006E3B48">
        <w:rPr>
          <w:lang w:val="fr-FR"/>
        </w:rPr>
        <w:t>Condensateurs électriques à double couche (avec une capacité de stockage d'énergie supérieure à</w:t>
      </w:r>
      <w:r>
        <w:rPr>
          <w:lang w:val="fr-FR"/>
        </w:rPr>
        <w:t xml:space="preserve"> </w:t>
      </w:r>
      <w:r w:rsidRPr="006E3B48">
        <w:rPr>
          <w:lang w:val="fr-FR"/>
        </w:rPr>
        <w:t>0,3 Wh)</w:t>
      </w:r>
      <w:r>
        <w:rPr>
          <w:lang w:val="fr-FR"/>
        </w:rPr>
        <w:t>» ajouter une nouvelle ligne pour lire:</w:t>
      </w:r>
    </w:p>
    <w:p w:rsidR="00107469" w:rsidRDefault="00107469" w:rsidP="00107469">
      <w:pPr>
        <w:pStyle w:val="SingleTxtG"/>
      </w:pPr>
      <w:r>
        <w:rPr>
          <w:lang w:val="fr-FR"/>
        </w:rPr>
        <w:t>«Moteurs et machines à combustion interne».</w:t>
      </w:r>
      <w:r w:rsidRPr="00F447EE">
        <w:rPr>
          <w:lang w:val="fr-FR"/>
        </w:rPr>
        <w:t>»</w:t>
      </w:r>
      <w:r>
        <w:rPr>
          <w:lang w:val="fr-FR"/>
        </w:rPr>
        <w:t>.</w:t>
      </w:r>
    </w:p>
    <w:p w:rsidR="00107469" w:rsidRDefault="00107469" w:rsidP="00107469">
      <w:pPr>
        <w:pStyle w:val="SingleTxtG"/>
      </w:pPr>
      <w:r>
        <w:t>2.2.9.3</w:t>
      </w:r>
      <w:r>
        <w:tab/>
      </w:r>
      <w:r>
        <w:tab/>
        <w:t>Ajouter un nouvel amendement pour lire comme suit:</w:t>
      </w:r>
    </w:p>
    <w:p w:rsidR="00107469" w:rsidRDefault="00107469" w:rsidP="00107469">
      <w:pPr>
        <w:pStyle w:val="SingleTxtG"/>
        <w:rPr>
          <w:lang w:val="fr-FR"/>
        </w:rPr>
      </w:pPr>
      <w:r w:rsidRPr="00485288">
        <w:rPr>
          <w:lang w:val="fr-FR"/>
        </w:rPr>
        <w:t>«</w:t>
      </w:r>
      <w:r w:rsidRPr="00485288">
        <w:t>2.2.9.3</w:t>
      </w:r>
      <w:r w:rsidRPr="00485288">
        <w:tab/>
      </w:r>
      <w:r>
        <w:t>Dans le titre de la branche M2, r</w:t>
      </w:r>
      <w:proofErr w:type="spellStart"/>
      <w:r w:rsidRPr="00485288">
        <w:rPr>
          <w:lang w:val="fr-FR"/>
        </w:rPr>
        <w:t>emplacer</w:t>
      </w:r>
      <w:proofErr w:type="spellEnd"/>
      <w:r w:rsidRPr="00485288">
        <w:rPr>
          <w:lang w:val="fr-FR"/>
        </w:rPr>
        <w:t xml:space="preserve"> «</w:t>
      </w:r>
      <w:r w:rsidRPr="00485288">
        <w:rPr>
          <w:bCs/>
          <w:iCs/>
          <w:lang w:val="fr-FR"/>
        </w:rPr>
        <w:t>appareil</w:t>
      </w:r>
      <w:r w:rsidRPr="00485288">
        <w:rPr>
          <w:lang w:val="fr-FR"/>
        </w:rPr>
        <w:t>» par «</w:t>
      </w:r>
      <w:r w:rsidRPr="00485288">
        <w:rPr>
          <w:bCs/>
          <w:iCs/>
          <w:lang w:val="fr-FR"/>
        </w:rPr>
        <w:t>objets</w:t>
      </w:r>
      <w:r w:rsidRPr="00485288">
        <w:rPr>
          <w:lang w:val="fr-FR"/>
        </w:rPr>
        <w:t>».».</w:t>
      </w:r>
    </w:p>
    <w:p w:rsidR="00107469" w:rsidRPr="00990C1E" w:rsidRDefault="00107469" w:rsidP="00107469">
      <w:pPr>
        <w:pStyle w:val="H1G"/>
      </w:pPr>
      <w:r>
        <w:tab/>
      </w:r>
      <w:r>
        <w:tab/>
      </w:r>
      <w:r w:rsidRPr="00990C1E">
        <w:t>Chapitre 3.2, tableau A</w:t>
      </w:r>
    </w:p>
    <w:p w:rsidR="00107469" w:rsidRPr="00990C1E" w:rsidRDefault="00107469" w:rsidP="00107469">
      <w:pPr>
        <w:pStyle w:val="SingleTxtG"/>
        <w:rPr>
          <w:lang w:val="fr-FR"/>
        </w:rPr>
      </w:pPr>
      <w:r w:rsidRPr="00990C1E">
        <w:rPr>
          <w:lang w:val="fr-FR"/>
        </w:rPr>
        <w:t>Dans l'amendement concernant</w:t>
      </w:r>
      <w:r w:rsidRPr="00990C1E">
        <w:t xml:space="preserve"> les Nos ONU 3257 et 3258, supprimer </w:t>
      </w:r>
      <w:r w:rsidRPr="00990C1E">
        <w:rPr>
          <w:lang w:val="fr-FR"/>
        </w:rPr>
        <w:t>«</w:t>
      </w:r>
      <w:r w:rsidRPr="00990C1E">
        <w:rPr>
          <w:bCs/>
          <w:iCs/>
          <w:lang w:val="fr-FR"/>
        </w:rPr>
        <w:t>3258</w:t>
      </w:r>
      <w:r w:rsidRPr="00990C1E">
        <w:rPr>
          <w:lang w:val="fr-FR"/>
        </w:rPr>
        <w:t>».</w:t>
      </w:r>
    </w:p>
    <w:p w:rsidR="00107469" w:rsidRPr="00990C1E" w:rsidRDefault="00107469" w:rsidP="00107469">
      <w:pPr>
        <w:pStyle w:val="SingleTxtG"/>
        <w:rPr>
          <w:b/>
        </w:rPr>
      </w:pPr>
      <w:r w:rsidRPr="00990C1E">
        <w:rPr>
          <w:b/>
        </w:rPr>
        <w:t>Dans les nouvelles rubriques:</w:t>
      </w:r>
    </w:p>
    <w:p w:rsidR="00107469" w:rsidRDefault="00107469" w:rsidP="00107469">
      <w:pPr>
        <w:pStyle w:val="SingleTxtG"/>
      </w:pPr>
      <w:r w:rsidRPr="00990C1E">
        <w:t xml:space="preserve">No ONU </w:t>
      </w:r>
      <w:r>
        <w:t>0510</w:t>
      </w:r>
      <w:r>
        <w:tab/>
      </w:r>
      <w:r w:rsidRPr="00917702">
        <w:t>La modification ne s’applique pas au texte français.</w:t>
      </w:r>
    </w:p>
    <w:p w:rsidR="00107469" w:rsidRDefault="00107469" w:rsidP="00107469">
      <w:pPr>
        <w:pStyle w:val="SingleTxtG"/>
      </w:pPr>
      <w:r w:rsidRPr="00990C1E">
        <w:t>Pour le Nos ONU 3531, 3532, 3533, 3534</w:t>
      </w:r>
      <w:r w:rsidRPr="00990C1E">
        <w:tab/>
      </w:r>
      <w:r w:rsidRPr="00990C1E">
        <w:tab/>
        <w:t>Supprimer les crochets.</w:t>
      </w:r>
    </w:p>
    <w:p w:rsidR="00107469" w:rsidRPr="00990C1E" w:rsidRDefault="00107469" w:rsidP="00107469">
      <w:pPr>
        <w:pStyle w:val="SingleTxtG"/>
        <w:rPr>
          <w:lang w:val="fr-FR"/>
        </w:rPr>
      </w:pPr>
      <w:r w:rsidRPr="00990C1E">
        <w:t>Pour le Nos ONU 3531, 3532, 3533</w:t>
      </w:r>
      <w:r w:rsidRPr="00990C1E">
        <w:tab/>
      </w:r>
      <w:r w:rsidRPr="00917702">
        <w:t xml:space="preserve">La </w:t>
      </w:r>
      <w:r>
        <w:t xml:space="preserve">deuxième </w:t>
      </w:r>
      <w:r w:rsidRPr="00917702">
        <w:t>modification ne s’applique pas au texte français.</w:t>
      </w:r>
    </w:p>
    <w:p w:rsidR="00107469" w:rsidRDefault="00107469" w:rsidP="00107469">
      <w:pPr>
        <w:pStyle w:val="H1G"/>
      </w:pPr>
      <w:r>
        <w:tab/>
      </w:r>
      <w:r>
        <w:tab/>
        <w:t>Chapitre 3.3</w:t>
      </w:r>
    </w:p>
    <w:p w:rsidR="00107469" w:rsidRDefault="00107469" w:rsidP="00107469">
      <w:pPr>
        <w:pStyle w:val="SingleTxtG"/>
        <w:rPr>
          <w:lang w:val="fr-FR"/>
        </w:rPr>
      </w:pPr>
      <w:r w:rsidRPr="00084E94">
        <w:rPr>
          <w:lang w:val="fr-FR"/>
        </w:rPr>
        <w:t>Disposition spéciale</w:t>
      </w:r>
      <w:r>
        <w:t xml:space="preserve"> 363 f)</w:t>
      </w:r>
      <w:r>
        <w:tab/>
      </w:r>
      <w:r w:rsidRPr="00917702">
        <w:t>La modification ne s’applique pas au texte français.</w:t>
      </w:r>
    </w:p>
    <w:p w:rsidR="00107469" w:rsidRDefault="00107469" w:rsidP="00107469">
      <w:pPr>
        <w:pStyle w:val="SingleTxtG"/>
      </w:pPr>
      <w:r w:rsidRPr="00084E94">
        <w:rPr>
          <w:lang w:val="fr-FR"/>
        </w:rPr>
        <w:t>Disposition spéciale</w:t>
      </w:r>
      <w:r>
        <w:t xml:space="preserve"> 363 g) iv) et v)</w:t>
      </w:r>
      <w:r>
        <w:tab/>
      </w:r>
      <w:r w:rsidRPr="00917702">
        <w:t>La modification ne s’applique pas au texte français.</w:t>
      </w:r>
    </w:p>
    <w:p w:rsidR="00107469" w:rsidRDefault="00107469" w:rsidP="00107469">
      <w:pPr>
        <w:pStyle w:val="SingleTxtG"/>
        <w:rPr>
          <w:lang w:val="fr-FR"/>
        </w:rPr>
      </w:pPr>
      <w:r w:rsidRPr="00084E94">
        <w:rPr>
          <w:lang w:val="fr-FR"/>
        </w:rPr>
        <w:t>Disposition spéciale</w:t>
      </w:r>
      <w:r>
        <w:t xml:space="preserve"> 379</w:t>
      </w:r>
      <w:r>
        <w:tab/>
      </w:r>
      <w:r w:rsidRPr="00917702">
        <w:t>La modification ne s’applique pas au texte français.</w:t>
      </w:r>
    </w:p>
    <w:p w:rsidR="00107469" w:rsidRDefault="00107469" w:rsidP="00107469">
      <w:pPr>
        <w:pStyle w:val="SingleTxtG"/>
      </w:pPr>
      <w:r w:rsidRPr="00084E94">
        <w:rPr>
          <w:lang w:val="fr-FR"/>
        </w:rPr>
        <w:t>Disposition spéciale</w:t>
      </w:r>
      <w:r w:rsidRPr="00084E94">
        <w:t xml:space="preserve"> 636 b)</w:t>
      </w:r>
      <w:r w:rsidRPr="00084E94">
        <w:tab/>
        <w:t>Supprimer l'amendement.</w:t>
      </w:r>
    </w:p>
    <w:p w:rsidR="00107469" w:rsidRPr="00084E94" w:rsidRDefault="00107469" w:rsidP="00107469">
      <w:pPr>
        <w:pStyle w:val="SingleTxtG"/>
      </w:pPr>
      <w:r w:rsidRPr="00084E94">
        <w:rPr>
          <w:lang w:val="fr-FR"/>
        </w:rPr>
        <w:t>Disposition spéciale</w:t>
      </w:r>
      <w:r w:rsidRPr="00084E94">
        <w:t xml:space="preserve"> 666 </w:t>
      </w:r>
      <w:r>
        <w:t>a</w:t>
      </w:r>
      <w:r w:rsidRPr="00084E94">
        <w:t>)</w:t>
      </w:r>
      <w:r>
        <w:t xml:space="preserve"> et b)</w:t>
      </w:r>
      <w:r>
        <w:tab/>
      </w:r>
      <w:r w:rsidRPr="00917702">
        <w:t>La modification ne s’applique pas au texte français.</w:t>
      </w:r>
    </w:p>
    <w:p w:rsidR="00107469" w:rsidRPr="00084E94" w:rsidRDefault="00107469" w:rsidP="00107469">
      <w:pPr>
        <w:pStyle w:val="SingleTxtG"/>
        <w:rPr>
          <w:i/>
        </w:rPr>
      </w:pPr>
      <w:r w:rsidRPr="00084E94">
        <w:rPr>
          <w:lang w:val="fr-FR"/>
        </w:rPr>
        <w:t>Disposition spéciale</w:t>
      </w:r>
      <w:r w:rsidRPr="00084E94">
        <w:t xml:space="preserve"> 666 b)</w:t>
      </w:r>
      <w:r w:rsidRPr="00084E94">
        <w:tab/>
        <w:t>R</w:t>
      </w:r>
      <w:proofErr w:type="spellStart"/>
      <w:r w:rsidRPr="00084E94">
        <w:rPr>
          <w:lang w:val="fr-FR"/>
        </w:rPr>
        <w:t>emplacer</w:t>
      </w:r>
      <w:proofErr w:type="spellEnd"/>
      <w:r w:rsidRPr="00084E94">
        <w:rPr>
          <w:lang w:val="fr-FR"/>
        </w:rPr>
        <w:t xml:space="preserve"> «</w:t>
      </w:r>
      <w:r w:rsidRPr="00084E94">
        <w:rPr>
          <w:bCs/>
          <w:iCs/>
          <w:lang w:val="fr-FR"/>
        </w:rPr>
        <w:t>à gaz</w:t>
      </w:r>
      <w:r w:rsidRPr="00084E94">
        <w:rPr>
          <w:lang w:val="fr-FR"/>
        </w:rPr>
        <w:t>» par «</w:t>
      </w:r>
      <w:r w:rsidRPr="00084E94">
        <w:rPr>
          <w:bCs/>
          <w:iCs/>
          <w:lang w:val="fr-FR"/>
        </w:rPr>
        <w:t>de gaz</w:t>
      </w:r>
      <w:r w:rsidRPr="00084E94">
        <w:rPr>
          <w:lang w:val="fr-FR"/>
        </w:rPr>
        <w:t>».</w:t>
      </w:r>
    </w:p>
    <w:p w:rsidR="00107469" w:rsidRPr="00084E94" w:rsidRDefault="00107469" w:rsidP="00107469">
      <w:pPr>
        <w:pStyle w:val="SingleTxtG"/>
        <w:rPr>
          <w:lang w:val="fr-FR"/>
        </w:rPr>
      </w:pPr>
      <w:r w:rsidRPr="00084E94">
        <w:rPr>
          <w:lang w:val="fr-FR"/>
        </w:rPr>
        <w:t>Disposition spéciale</w:t>
      </w:r>
      <w:r w:rsidRPr="00084E94">
        <w:t xml:space="preserve"> 667 b) i)</w:t>
      </w:r>
      <w:r w:rsidRPr="00084E94">
        <w:tab/>
        <w:t>R</w:t>
      </w:r>
      <w:proofErr w:type="spellStart"/>
      <w:r w:rsidRPr="00084E94">
        <w:rPr>
          <w:lang w:val="fr-FR"/>
        </w:rPr>
        <w:t>emplacer</w:t>
      </w:r>
      <w:proofErr w:type="spellEnd"/>
      <w:r w:rsidRPr="00084E94">
        <w:rPr>
          <w:lang w:val="fr-FR"/>
        </w:rPr>
        <w:t xml:space="preserve"> «</w:t>
      </w:r>
      <w:r w:rsidRPr="00084E94">
        <w:rPr>
          <w:bCs/>
          <w:iCs/>
          <w:lang w:val="fr-FR"/>
        </w:rPr>
        <w:t>656</w:t>
      </w:r>
      <w:r w:rsidRPr="00084E94">
        <w:rPr>
          <w:lang w:val="fr-FR"/>
        </w:rPr>
        <w:t>» par «</w:t>
      </w:r>
      <w:r w:rsidRPr="00084E94">
        <w:rPr>
          <w:bCs/>
          <w:iCs/>
          <w:lang w:val="fr-FR"/>
        </w:rPr>
        <w:t>666</w:t>
      </w:r>
      <w:r w:rsidRPr="00084E94">
        <w:rPr>
          <w:lang w:val="fr-FR"/>
        </w:rPr>
        <w:t>».</w:t>
      </w:r>
    </w:p>
    <w:p w:rsidR="00107469" w:rsidRPr="00084E94" w:rsidRDefault="00107469" w:rsidP="00107469">
      <w:pPr>
        <w:pStyle w:val="SingleTxtG"/>
        <w:rPr>
          <w:lang w:val="fr-FR"/>
        </w:rPr>
      </w:pPr>
      <w:r w:rsidRPr="00084E94">
        <w:rPr>
          <w:lang w:val="fr-FR"/>
        </w:rPr>
        <w:t>Disposition spéciale</w:t>
      </w:r>
      <w:r w:rsidRPr="00084E94">
        <w:t xml:space="preserve"> 668 b)</w:t>
      </w:r>
      <w:r w:rsidRPr="00084E94">
        <w:tab/>
        <w:t>R</w:t>
      </w:r>
      <w:proofErr w:type="spellStart"/>
      <w:r w:rsidRPr="00084E94">
        <w:rPr>
          <w:lang w:val="fr-FR"/>
        </w:rPr>
        <w:t>emplacer</w:t>
      </w:r>
      <w:proofErr w:type="spellEnd"/>
      <w:r w:rsidRPr="00084E94">
        <w:rPr>
          <w:lang w:val="fr-FR"/>
        </w:rPr>
        <w:t xml:space="preserve"> «</w:t>
      </w:r>
      <w:r w:rsidRPr="00084E94">
        <w:rPr>
          <w:bCs/>
          <w:iCs/>
          <w:lang w:val="fr-FR"/>
        </w:rPr>
        <w:t>70 C</w:t>
      </w:r>
      <w:r w:rsidRPr="00084E94">
        <w:rPr>
          <w:lang w:val="fr-FR"/>
        </w:rPr>
        <w:t>» par «</w:t>
      </w:r>
      <w:r w:rsidRPr="00084E94">
        <w:rPr>
          <w:bCs/>
          <w:iCs/>
          <w:lang w:val="fr-FR"/>
        </w:rPr>
        <w:t>70°C</w:t>
      </w:r>
      <w:r w:rsidRPr="00084E94">
        <w:rPr>
          <w:lang w:val="fr-FR"/>
        </w:rPr>
        <w:t>».</w:t>
      </w:r>
    </w:p>
    <w:p w:rsidR="00107469" w:rsidRPr="00084E94" w:rsidRDefault="00107469" w:rsidP="00107469">
      <w:pPr>
        <w:pStyle w:val="H1G"/>
      </w:pPr>
      <w:r w:rsidRPr="00084E94">
        <w:tab/>
      </w:r>
      <w:r w:rsidRPr="00084E94">
        <w:tab/>
        <w:t>Chapitre 4.1</w:t>
      </w:r>
    </w:p>
    <w:p w:rsidR="00107469" w:rsidRDefault="00107469" w:rsidP="00107469">
      <w:pPr>
        <w:pStyle w:val="SingleTxtG"/>
      </w:pPr>
      <w:r>
        <w:t>4.1.1.19.1</w:t>
      </w:r>
      <w:r>
        <w:tab/>
      </w:r>
      <w:r w:rsidRPr="00990C1E">
        <w:t>Supprimer les crochets.</w:t>
      </w:r>
    </w:p>
    <w:p w:rsidR="00107469" w:rsidRPr="00084E94" w:rsidRDefault="00107469" w:rsidP="00107469">
      <w:pPr>
        <w:pStyle w:val="SingleTxtG"/>
        <w:rPr>
          <w:lang w:val="fr-FR"/>
        </w:rPr>
      </w:pPr>
      <w:r w:rsidRPr="00084E94">
        <w:t>4.1.4.1, instruction d’emballage P650 14)</w:t>
      </w:r>
      <w:r w:rsidRPr="00084E94">
        <w:tab/>
        <w:t xml:space="preserve">L'amendement doit lire: </w:t>
      </w:r>
      <w:r w:rsidRPr="00084E94">
        <w:rPr>
          <w:lang w:val="fr-FR"/>
        </w:rPr>
        <w:t>«</w:t>
      </w:r>
      <w:r w:rsidRPr="00084E94">
        <w:t>4.1.4.1, instruction d’emballage P650 14)</w:t>
      </w:r>
      <w:r w:rsidRPr="00084E94">
        <w:tab/>
        <w:t xml:space="preserve">Modifier pour lire comme suit </w:t>
      </w:r>
      <w:r w:rsidRPr="00084E94">
        <w:rPr>
          <w:lang w:val="fr-FR"/>
        </w:rPr>
        <w:t>«</w:t>
      </w:r>
      <w:r w:rsidRPr="00084E94">
        <w:t>Lorsqu'il se produit une fuite de matières et que celles-ci se sont répandue</w:t>
      </w:r>
      <w:r>
        <w:t>s dans l'engin de transport, ce dernier</w:t>
      </w:r>
      <w:r w:rsidRPr="00084E94">
        <w:t xml:space="preserve"> ne peu</w:t>
      </w:r>
      <w:r>
        <w:t>t être réutilisé</w:t>
      </w:r>
      <w:r w:rsidRPr="00084E94">
        <w:t xml:space="preserve"> qu'a</w:t>
      </w:r>
      <w:r>
        <w:t>près avoir été nettoyé</w:t>
      </w:r>
      <w:r w:rsidRPr="00084E94">
        <w:t xml:space="preserve"> à fond</w:t>
      </w:r>
      <w:r>
        <w:t xml:space="preserve"> et, le cas échéant, désinfecté ou décontaminé</w:t>
      </w:r>
      <w:r w:rsidRPr="00084E94">
        <w:t xml:space="preserve">. </w:t>
      </w:r>
      <w:r w:rsidRPr="00084E94">
        <w:lastRenderedPageBreak/>
        <w:t>Toutes les marchandises et objets transportés dans le même engin de transport doivent être contrôlés quant à une éventuelle souillure.</w:t>
      </w:r>
      <w:r w:rsidRPr="00084E94">
        <w:rPr>
          <w:lang w:val="fr-FR"/>
        </w:rPr>
        <w:t>».»</w:t>
      </w:r>
    </w:p>
    <w:p w:rsidR="00107469" w:rsidRPr="00084E94" w:rsidRDefault="00107469" w:rsidP="00107469">
      <w:pPr>
        <w:pStyle w:val="SingleTxtG"/>
        <w:rPr>
          <w:lang w:val="fr-FR"/>
        </w:rPr>
      </w:pPr>
      <w:r w:rsidRPr="00084E94">
        <w:t>4.1.4.1, instruction d’emballage P910 1)</w:t>
      </w:r>
      <w:r w:rsidRPr="00084E94">
        <w:tab/>
        <w:t xml:space="preserve">Dans la premier ligne, remplacer </w:t>
      </w:r>
      <w:r w:rsidRPr="00084E94">
        <w:rPr>
          <w:lang w:val="fr-FR"/>
        </w:rPr>
        <w:t>«</w:t>
      </w:r>
      <w:r w:rsidRPr="00084E94">
        <w:rPr>
          <w:iCs/>
          <w:lang w:val="fr-FR"/>
        </w:rPr>
        <w:t>et de batteries</w:t>
      </w:r>
      <w:r w:rsidRPr="00084E94">
        <w:rPr>
          <w:lang w:val="fr-FR"/>
        </w:rPr>
        <w:t>» par «</w:t>
      </w:r>
      <w:r w:rsidRPr="00084E94">
        <w:rPr>
          <w:iCs/>
          <w:lang w:val="fr-FR"/>
        </w:rPr>
        <w:t>et batteries</w:t>
      </w:r>
      <w:r w:rsidRPr="00084E94">
        <w:rPr>
          <w:lang w:val="fr-FR"/>
        </w:rPr>
        <w:t>».</w:t>
      </w:r>
    </w:p>
    <w:p w:rsidR="00107469" w:rsidRDefault="00107469" w:rsidP="00107469">
      <w:pPr>
        <w:pStyle w:val="SingleTxtG"/>
        <w:rPr>
          <w:iCs/>
          <w:lang w:val="fr-FR"/>
        </w:rPr>
      </w:pPr>
      <w:r w:rsidRPr="00084E94">
        <w:t>4.1.4.1, instruction d’emballage P910</w:t>
      </w:r>
      <w:r w:rsidRPr="00084E94">
        <w:tab/>
        <w:t xml:space="preserve">Dans </w:t>
      </w:r>
      <w:r w:rsidRPr="00084E94">
        <w:rPr>
          <w:iCs/>
          <w:lang w:val="fr-FR"/>
        </w:rPr>
        <w:t xml:space="preserve">Dispositions supplémentaires, troisième tiret, </w:t>
      </w:r>
      <w:r>
        <w:rPr>
          <w:iCs/>
          <w:lang w:val="fr-FR"/>
        </w:rPr>
        <w:t>ajouter</w:t>
      </w:r>
      <w:r w:rsidRPr="00084E94">
        <w:rPr>
          <w:iCs/>
          <w:lang w:val="fr-FR"/>
        </w:rPr>
        <w:t xml:space="preserve"> </w:t>
      </w:r>
      <w:r w:rsidRPr="00084E94">
        <w:rPr>
          <w:lang w:val="fr-FR"/>
        </w:rPr>
        <w:t>«</w:t>
      </w:r>
      <w:r w:rsidRPr="00084E94">
        <w:rPr>
          <w:bCs/>
          <w:iCs/>
          <w:lang w:val="fr-FR"/>
        </w:rPr>
        <w:t>ou</w:t>
      </w:r>
      <w:r w:rsidRPr="00084E94">
        <w:rPr>
          <w:lang w:val="fr-FR"/>
        </w:rPr>
        <w:t>»</w:t>
      </w:r>
      <w:r w:rsidRPr="00084E94">
        <w:rPr>
          <w:b/>
          <w:iCs/>
          <w:lang w:val="fr-FR"/>
        </w:rPr>
        <w:t xml:space="preserve"> </w:t>
      </w:r>
      <w:r w:rsidRPr="00084E94">
        <w:rPr>
          <w:iCs/>
          <w:lang w:val="fr-FR"/>
        </w:rPr>
        <w:t>à la fin.</w:t>
      </w:r>
    </w:p>
    <w:p w:rsidR="00107469" w:rsidRPr="00084E94" w:rsidRDefault="00107469" w:rsidP="00107469">
      <w:pPr>
        <w:pStyle w:val="H1G"/>
      </w:pPr>
      <w:r w:rsidRPr="00084E94">
        <w:tab/>
      </w:r>
      <w:r w:rsidRPr="00084E94">
        <w:tab/>
        <w:t>Chapitre 4.</w:t>
      </w:r>
      <w:r>
        <w:t>3</w:t>
      </w:r>
    </w:p>
    <w:p w:rsidR="00107469" w:rsidRDefault="00107469" w:rsidP="00107469">
      <w:pPr>
        <w:pStyle w:val="SingleTxtG"/>
        <w:rPr>
          <w:iCs/>
          <w:lang w:val="fr-FR"/>
        </w:rPr>
      </w:pPr>
      <w:r>
        <w:t>4.3.3.5</w:t>
      </w:r>
      <w:r>
        <w:tab/>
      </w:r>
      <w:r>
        <w:tab/>
      </w:r>
      <w:r w:rsidRPr="00917702">
        <w:t>La modification ne s’applique pas au texte français.</w:t>
      </w:r>
    </w:p>
    <w:p w:rsidR="00107469" w:rsidRPr="00084E94" w:rsidRDefault="00107469" w:rsidP="00107469">
      <w:pPr>
        <w:pStyle w:val="H1G"/>
      </w:pPr>
      <w:r w:rsidRPr="00084E94">
        <w:tab/>
      </w:r>
      <w:r w:rsidRPr="00084E94">
        <w:tab/>
        <w:t>Chapitre 5.2</w:t>
      </w:r>
    </w:p>
    <w:p w:rsidR="00107469" w:rsidRPr="00084E94" w:rsidRDefault="00107469" w:rsidP="00107469">
      <w:pPr>
        <w:pStyle w:val="SingleTxtG"/>
      </w:pPr>
      <w:r w:rsidRPr="00084E94">
        <w:t>5.2.1.3</w:t>
      </w:r>
      <w:r w:rsidRPr="00084E94">
        <w:tab/>
      </w:r>
      <w:r w:rsidRPr="00084E94">
        <w:tab/>
        <w:t xml:space="preserve">Supprimer </w:t>
      </w:r>
      <w:r w:rsidRPr="00084E94">
        <w:rPr>
          <w:lang w:val="fr-FR"/>
        </w:rPr>
        <w:t>«et dans le Nota,»</w:t>
      </w:r>
    </w:p>
    <w:p w:rsidR="00107469" w:rsidRPr="00990C1E" w:rsidRDefault="00107469" w:rsidP="00107469">
      <w:pPr>
        <w:pStyle w:val="H1G"/>
      </w:pPr>
      <w:r w:rsidRPr="00084E94">
        <w:tab/>
      </w:r>
      <w:r w:rsidRPr="00084E94">
        <w:tab/>
      </w:r>
      <w:r w:rsidRPr="00990C1E">
        <w:t>Chapitre 5.3</w:t>
      </w:r>
    </w:p>
    <w:p w:rsidR="00107469" w:rsidRPr="00990C1E" w:rsidRDefault="00107469" w:rsidP="00107469">
      <w:pPr>
        <w:pStyle w:val="SingleTxtG"/>
        <w:rPr>
          <w:lang w:val="fr-FR"/>
        </w:rPr>
      </w:pPr>
      <w:r w:rsidRPr="00990C1E">
        <w:t>5.3.1.1.4</w:t>
      </w:r>
      <w:r w:rsidRPr="00990C1E">
        <w:tab/>
        <w:t xml:space="preserve">Supprimer </w:t>
      </w:r>
      <w:r w:rsidRPr="00990C1E">
        <w:rPr>
          <w:lang w:val="fr-FR"/>
        </w:rPr>
        <w:t>«</w:t>
      </w:r>
      <w:r w:rsidRPr="00990C1E">
        <w:rPr>
          <w:rFonts w:eastAsia="Calibri"/>
          <w:spacing w:val="4"/>
          <w:w w:val="103"/>
          <w:kern w:val="14"/>
          <w:szCs w:val="22"/>
          <w:lang w:val="fr-CA"/>
        </w:rPr>
        <w:t>les marchandises dangereuses de</w:t>
      </w:r>
      <w:r w:rsidRPr="00990C1E">
        <w:rPr>
          <w:lang w:val="fr-FR"/>
        </w:rPr>
        <w:t>».</w:t>
      </w:r>
    </w:p>
    <w:p w:rsidR="00107469" w:rsidRPr="00990C1E" w:rsidRDefault="00107469" w:rsidP="00107469">
      <w:pPr>
        <w:pStyle w:val="H1G"/>
      </w:pPr>
      <w:r w:rsidRPr="00990C1E">
        <w:tab/>
      </w:r>
      <w:r w:rsidRPr="00990C1E">
        <w:tab/>
        <w:t>Chapitre 5.4</w:t>
      </w:r>
    </w:p>
    <w:p w:rsidR="00107469" w:rsidRDefault="00107469" w:rsidP="00107469">
      <w:pPr>
        <w:pStyle w:val="SingleTxtG"/>
        <w:rPr>
          <w:lang w:val="fr-FR"/>
        </w:rPr>
      </w:pPr>
      <w:r w:rsidRPr="00990C1E">
        <w:rPr>
          <w:lang w:val="fr-FR"/>
        </w:rPr>
        <w:t>5.4.1.1.1 c)</w:t>
      </w:r>
      <w:r w:rsidRPr="00990C1E">
        <w:rPr>
          <w:lang w:val="fr-FR"/>
        </w:rPr>
        <w:tab/>
        <w:t xml:space="preserve">Dans le deuxième amendement </w:t>
      </w:r>
      <w:r>
        <w:rPr>
          <w:lang w:val="fr-FR"/>
        </w:rPr>
        <w:t>ajouter</w:t>
      </w:r>
      <w:r w:rsidRPr="00990C1E">
        <w:rPr>
          <w:lang w:val="fr-FR"/>
        </w:rPr>
        <w:t xml:space="preserve"> </w:t>
      </w:r>
      <w:proofErr w:type="gramStart"/>
      <w:r w:rsidRPr="00990C1E">
        <w:rPr>
          <w:lang w:val="fr-FR"/>
        </w:rPr>
        <w:t>«</w:t>
      </w:r>
      <w:r>
        <w:rPr>
          <w:lang w:val="fr-FR"/>
        </w:rPr>
        <w:t>(</w:t>
      </w:r>
      <w:proofErr w:type="gramEnd"/>
      <w:r w:rsidRPr="00990C1E">
        <w:rPr>
          <w:lang w:val="fr-FR"/>
        </w:rPr>
        <w:t>auparavant troisième tiret</w:t>
      </w:r>
      <w:r>
        <w:rPr>
          <w:lang w:val="fr-FR"/>
        </w:rPr>
        <w:t>)</w:t>
      </w:r>
      <w:r w:rsidRPr="00990C1E">
        <w:rPr>
          <w:lang w:val="fr-FR"/>
        </w:rPr>
        <w:t>» après «du quatrième tiret».</w:t>
      </w:r>
    </w:p>
    <w:p w:rsidR="00107469" w:rsidRPr="00990C1E" w:rsidRDefault="00107469" w:rsidP="00107469">
      <w:pPr>
        <w:pStyle w:val="H1G"/>
      </w:pPr>
      <w:r w:rsidRPr="00990C1E">
        <w:tab/>
      </w:r>
      <w:r w:rsidRPr="00990C1E">
        <w:tab/>
        <w:t xml:space="preserve">Chapitre </w:t>
      </w:r>
      <w:r>
        <w:t>6.2</w:t>
      </w:r>
    </w:p>
    <w:p w:rsidR="00107469" w:rsidRDefault="00107469" w:rsidP="00107469">
      <w:pPr>
        <w:pStyle w:val="SingleTxtG"/>
      </w:pPr>
      <w:r w:rsidRPr="00665F62">
        <w:t>6.2.4.1</w:t>
      </w:r>
      <w:r w:rsidRPr="00665F62">
        <w:tab/>
      </w:r>
      <w:r w:rsidRPr="00665F62">
        <w:tab/>
        <w:t>Supprimer les crochets dans toute la section.</w:t>
      </w:r>
    </w:p>
    <w:p w:rsidR="006F5AD2" w:rsidRPr="005E137D" w:rsidRDefault="006F5AD2" w:rsidP="006F5AD2">
      <w:pPr>
        <w:pStyle w:val="SingleTxtG"/>
        <w:rPr>
          <w:rFonts w:cs="Arial"/>
          <w:bCs/>
          <w:szCs w:val="22"/>
          <w:lang w:val="fr-FR"/>
        </w:rPr>
      </w:pPr>
      <w:r w:rsidRPr="005E137D">
        <w:rPr>
          <w:rFonts w:cs="Arial"/>
          <w:bCs/>
          <w:szCs w:val="22"/>
          <w:lang w:val="fr-FR"/>
        </w:rPr>
        <w:t>6.2.6.4</w:t>
      </w:r>
      <w:r w:rsidRPr="005E137D">
        <w:rPr>
          <w:rFonts w:cs="Arial"/>
          <w:bCs/>
          <w:szCs w:val="22"/>
          <w:lang w:val="fr-FR"/>
        </w:rPr>
        <w:tab/>
      </w:r>
      <w:r w:rsidRPr="005E137D">
        <w:rPr>
          <w:rFonts w:cs="Arial"/>
          <w:bCs/>
          <w:szCs w:val="22"/>
          <w:lang w:val="fr-FR"/>
        </w:rPr>
        <w:tab/>
        <w:t xml:space="preserve">A la fin, remplacer </w:t>
      </w:r>
      <w:proofErr w:type="gramStart"/>
      <w:r w:rsidRPr="005E137D">
        <w:rPr>
          <w:rFonts w:cs="Arial"/>
          <w:bCs/>
          <w:szCs w:val="22"/>
          <w:lang w:val="fr-FR"/>
        </w:rPr>
        <w:t>«</w:t>
      </w:r>
      <w:r w:rsidRPr="005E137D">
        <w:rPr>
          <w:rStyle w:val="Hyperlink"/>
        </w:rPr>
        <w:t>(</w:t>
      </w:r>
      <w:proofErr w:type="gramEnd"/>
      <w:r w:rsidRPr="005E137D">
        <w:rPr>
          <w:rStyle w:val="Hyperlink"/>
        </w:rPr>
        <w:t>sauf clause 9)</w:t>
      </w:r>
      <w:r w:rsidRPr="005E137D">
        <w:rPr>
          <w:rFonts w:cs="Arial"/>
          <w:bCs/>
          <w:szCs w:val="22"/>
          <w:lang w:val="fr-FR"/>
        </w:rPr>
        <w:t>» par «</w:t>
      </w:r>
      <w:r w:rsidRPr="005E137D">
        <w:rPr>
          <w:rStyle w:val="Hyperlink"/>
        </w:rPr>
        <w:t>(sauf article 9)</w:t>
      </w:r>
      <w:r w:rsidRPr="005E137D">
        <w:rPr>
          <w:rFonts w:cs="Arial"/>
          <w:bCs/>
          <w:szCs w:val="22"/>
          <w:lang w:val="fr-FR"/>
        </w:rPr>
        <w:t>»</w:t>
      </w:r>
    </w:p>
    <w:p w:rsidR="00107469" w:rsidRPr="00990C1E" w:rsidRDefault="00107469" w:rsidP="00107469">
      <w:pPr>
        <w:pStyle w:val="H1G"/>
      </w:pPr>
      <w:r w:rsidRPr="00990C1E">
        <w:tab/>
      </w:r>
      <w:r w:rsidRPr="00990C1E">
        <w:tab/>
        <w:t xml:space="preserve">Chapitre </w:t>
      </w:r>
      <w:r>
        <w:t>6.8</w:t>
      </w:r>
    </w:p>
    <w:p w:rsidR="00107469" w:rsidRPr="00280917" w:rsidRDefault="00107469" w:rsidP="00107469">
      <w:pPr>
        <w:pStyle w:val="SingleTxtG"/>
      </w:pPr>
      <w:r w:rsidRPr="00280917">
        <w:t>6.8.2.6.1</w:t>
      </w:r>
      <w:r w:rsidRPr="00280917">
        <w:tab/>
        <w:t xml:space="preserve">Dans l'amendement concernant la norme </w:t>
      </w:r>
      <w:r w:rsidRPr="00280917">
        <w:rPr>
          <w:lang w:val="fr-FR"/>
        </w:rPr>
        <w:t>«</w:t>
      </w:r>
      <w:r w:rsidRPr="00280917">
        <w:rPr>
          <w:rFonts w:cs="Arial"/>
          <w:szCs w:val="22"/>
        </w:rPr>
        <w:t>EN 13094:2008 + AC:2008</w:t>
      </w:r>
      <w:r w:rsidRPr="00280917">
        <w:rPr>
          <w:lang w:val="fr-FR"/>
        </w:rPr>
        <w:t>»</w:t>
      </w:r>
      <w:r w:rsidRPr="00280917">
        <w:t xml:space="preserve">, remplacer </w:t>
      </w:r>
      <w:r w:rsidRPr="00280917">
        <w:rPr>
          <w:lang w:val="fr-FR"/>
        </w:rPr>
        <w:t>«</w:t>
      </w:r>
      <w:r w:rsidRPr="00280917">
        <w:rPr>
          <w:rFonts w:cs="Arial"/>
          <w:szCs w:val="22"/>
          <w:lang w:val="fr-FR"/>
        </w:rPr>
        <w:t>Entre le 1</w:t>
      </w:r>
      <w:r w:rsidRPr="00280917">
        <w:rPr>
          <w:rFonts w:cs="Arial"/>
          <w:szCs w:val="22"/>
          <w:vertAlign w:val="superscript"/>
          <w:lang w:val="fr-FR"/>
        </w:rPr>
        <w:t>er</w:t>
      </w:r>
      <w:r w:rsidRPr="00280917">
        <w:rPr>
          <w:rFonts w:cs="Arial"/>
          <w:szCs w:val="22"/>
          <w:lang w:val="fr-FR"/>
        </w:rPr>
        <w:t> janvier 2011</w:t>
      </w:r>
      <w:r w:rsidRPr="00280917">
        <w:rPr>
          <w:lang w:val="fr-FR"/>
        </w:rPr>
        <w:t>»</w:t>
      </w:r>
      <w:r w:rsidRPr="00280917">
        <w:t xml:space="preserve"> par </w:t>
      </w:r>
      <w:r w:rsidRPr="00280917">
        <w:rPr>
          <w:lang w:val="fr-FR"/>
        </w:rPr>
        <w:t>«</w:t>
      </w:r>
      <w:r w:rsidRPr="00280917">
        <w:rPr>
          <w:rFonts w:cs="Arial"/>
          <w:szCs w:val="22"/>
          <w:lang w:val="fr-FR"/>
        </w:rPr>
        <w:t>Entre le 1</w:t>
      </w:r>
      <w:r w:rsidRPr="00280917">
        <w:rPr>
          <w:rFonts w:cs="Arial"/>
          <w:szCs w:val="22"/>
          <w:vertAlign w:val="superscript"/>
          <w:lang w:val="fr-FR"/>
        </w:rPr>
        <w:t>er</w:t>
      </w:r>
      <w:r w:rsidRPr="00280917">
        <w:rPr>
          <w:rFonts w:cs="Arial"/>
          <w:szCs w:val="22"/>
          <w:lang w:val="fr-FR"/>
        </w:rPr>
        <w:t> janvier 2010</w:t>
      </w:r>
      <w:r w:rsidRPr="00280917">
        <w:rPr>
          <w:lang w:val="fr-FR"/>
        </w:rPr>
        <w:t>»</w:t>
      </w:r>
      <w:r w:rsidRPr="00280917">
        <w:t>.</w:t>
      </w:r>
    </w:p>
    <w:p w:rsidR="00107469" w:rsidRDefault="00107469" w:rsidP="00107469">
      <w:pPr>
        <w:pStyle w:val="SingleTxtG"/>
      </w:pPr>
      <w:r>
        <w:t xml:space="preserve">Dans la nouvelle norme, remplacer </w:t>
      </w:r>
      <w:r w:rsidRPr="00280917">
        <w:rPr>
          <w:lang w:val="fr-FR"/>
        </w:rPr>
        <w:t>«</w:t>
      </w:r>
      <w:r w:rsidRPr="00EB5BE5">
        <w:rPr>
          <w:rFonts w:cs="Arial"/>
          <w:szCs w:val="22"/>
        </w:rPr>
        <w:t>EN 13094:20</w:t>
      </w:r>
      <w:r>
        <w:rPr>
          <w:rFonts w:cs="Arial"/>
          <w:szCs w:val="22"/>
        </w:rPr>
        <w:t>14</w:t>
      </w:r>
      <w:r w:rsidRPr="00990C1E">
        <w:rPr>
          <w:lang w:val="fr-FR"/>
        </w:rPr>
        <w:t>»</w:t>
      </w:r>
      <w:r>
        <w:t xml:space="preserve"> par </w:t>
      </w:r>
      <w:r w:rsidRPr="00280917">
        <w:rPr>
          <w:lang w:val="fr-FR"/>
        </w:rPr>
        <w:t>«</w:t>
      </w:r>
      <w:r w:rsidRPr="00EB5BE5">
        <w:rPr>
          <w:rFonts w:cs="Arial"/>
          <w:szCs w:val="22"/>
        </w:rPr>
        <w:t>EN 13094:20</w:t>
      </w:r>
      <w:r>
        <w:rPr>
          <w:rFonts w:cs="Arial"/>
          <w:szCs w:val="22"/>
        </w:rPr>
        <w:t>15</w:t>
      </w:r>
      <w:r w:rsidRPr="00990C1E">
        <w:rPr>
          <w:lang w:val="fr-FR"/>
        </w:rPr>
        <w:t>»</w:t>
      </w:r>
      <w:r>
        <w:rPr>
          <w:rFonts w:cs="Arial"/>
          <w:szCs w:val="22"/>
        </w:rPr>
        <w:t>.</w:t>
      </w:r>
    </w:p>
    <w:p w:rsidR="006F5AD2" w:rsidRDefault="006F5AD2" w:rsidP="006F5AD2">
      <w:pPr>
        <w:pStyle w:val="SingleTxtG"/>
        <w:rPr>
          <w:rFonts w:cs="Arial"/>
          <w:bCs/>
          <w:szCs w:val="22"/>
          <w:lang w:val="fr-FR"/>
        </w:rPr>
      </w:pPr>
      <w:r>
        <w:t>6.8.2.6.1</w:t>
      </w:r>
      <w:r>
        <w:tab/>
      </w:r>
      <w:r w:rsidRPr="00CC51E9">
        <w:t>Pour</w:t>
      </w:r>
      <w:r w:rsidRPr="00CC51E9">
        <w:rPr>
          <w:rFonts w:cs="Arial"/>
          <w:bCs/>
          <w:szCs w:val="22"/>
          <w:lang w:val="fr-FR"/>
        </w:rPr>
        <w:t xml:space="preserve"> la norme «</w:t>
      </w:r>
      <w:r w:rsidRPr="00CC51E9">
        <w:rPr>
          <w:rFonts w:cs="Arial"/>
          <w:szCs w:val="22"/>
          <w:lang w:val="fr-FR"/>
        </w:rPr>
        <w:t>EN 14432:2014</w:t>
      </w:r>
      <w:r w:rsidRPr="00CC51E9">
        <w:rPr>
          <w:rFonts w:cs="Arial"/>
          <w:bCs/>
          <w:szCs w:val="22"/>
          <w:lang w:val="fr-FR"/>
        </w:rPr>
        <w:t>»</w:t>
      </w:r>
      <w:r w:rsidRPr="00CC51E9">
        <w:rPr>
          <w:rFonts w:cs="Arial"/>
          <w:szCs w:val="22"/>
          <w:lang w:val="fr-FR"/>
        </w:rPr>
        <w:t xml:space="preserve">, dans la colonne (2), modifier le titre pour lire comme suit : </w:t>
      </w:r>
      <w:r w:rsidRPr="00CC51E9">
        <w:rPr>
          <w:rFonts w:cs="Arial"/>
          <w:bCs/>
          <w:szCs w:val="22"/>
          <w:lang w:val="fr-FR"/>
        </w:rPr>
        <w:t>«</w:t>
      </w:r>
      <w:r>
        <w:t>Citernes de transport de matières dangereuses - Équipements de la citerne pour le transport de produits chimiques liquides et de gaz liquéfiés - Vannes de mise en pression de la citerne ou de déchargement du produit</w:t>
      </w:r>
      <w:r w:rsidRPr="00CC51E9">
        <w:rPr>
          <w:rFonts w:cs="Arial"/>
          <w:bCs/>
          <w:szCs w:val="22"/>
          <w:lang w:val="fr-FR"/>
        </w:rPr>
        <w:t>»</w:t>
      </w:r>
      <w:r>
        <w:rPr>
          <w:rFonts w:cs="Arial"/>
          <w:bCs/>
          <w:szCs w:val="22"/>
          <w:lang w:val="fr-FR"/>
        </w:rPr>
        <w:t>.</w:t>
      </w:r>
    </w:p>
    <w:p w:rsidR="00834D3A" w:rsidRDefault="00834D3A" w:rsidP="006F5AD2">
      <w:pPr>
        <w:pStyle w:val="SingleTxtG"/>
        <w:rPr>
          <w:rFonts w:cs="Arial"/>
          <w:i/>
          <w:szCs w:val="22"/>
          <w:lang w:val="fr-FR"/>
        </w:rPr>
      </w:pPr>
      <w:r w:rsidRPr="00CC51E9">
        <w:t>Pour</w:t>
      </w:r>
      <w:r w:rsidRPr="00CC51E9">
        <w:rPr>
          <w:rFonts w:cs="Arial"/>
          <w:bCs/>
          <w:szCs w:val="22"/>
          <w:lang w:val="fr-FR"/>
        </w:rPr>
        <w:t xml:space="preserve"> la norme «</w:t>
      </w:r>
      <w:r w:rsidRPr="00CC51E9">
        <w:rPr>
          <w:rFonts w:cs="Arial"/>
          <w:szCs w:val="22"/>
          <w:lang w:val="fr-FR"/>
        </w:rPr>
        <w:t>EN 1443</w:t>
      </w:r>
      <w:r>
        <w:rPr>
          <w:rFonts w:cs="Arial"/>
          <w:szCs w:val="22"/>
          <w:lang w:val="fr-FR"/>
        </w:rPr>
        <w:t>3</w:t>
      </w:r>
      <w:r w:rsidRPr="00CC51E9">
        <w:rPr>
          <w:rFonts w:cs="Arial"/>
          <w:szCs w:val="22"/>
          <w:lang w:val="fr-FR"/>
        </w:rPr>
        <w:t>:2014</w:t>
      </w:r>
      <w:r w:rsidRPr="00CC51E9">
        <w:rPr>
          <w:rFonts w:cs="Arial"/>
          <w:bCs/>
          <w:szCs w:val="22"/>
          <w:lang w:val="fr-FR"/>
        </w:rPr>
        <w:t>»</w:t>
      </w:r>
      <w:r w:rsidRPr="00CC51E9">
        <w:rPr>
          <w:rFonts w:cs="Arial"/>
          <w:szCs w:val="22"/>
          <w:lang w:val="fr-FR"/>
        </w:rPr>
        <w:t xml:space="preserve">, dans la colonne (2), modifier le titre pour lire comme suit : </w:t>
      </w:r>
      <w:r w:rsidRPr="00CC51E9">
        <w:rPr>
          <w:rFonts w:cs="Arial"/>
          <w:bCs/>
          <w:szCs w:val="22"/>
          <w:lang w:val="fr-FR"/>
        </w:rPr>
        <w:t>«</w:t>
      </w:r>
      <w:r>
        <w:t>Citernes de transport de matières dangereuses - Équipements de la citerne pour le transport de produits chimiques liquides et de gaz liquéfiés – Clapets de fond</w:t>
      </w:r>
      <w:r w:rsidRPr="00CC51E9">
        <w:rPr>
          <w:rFonts w:cs="Arial"/>
          <w:bCs/>
          <w:szCs w:val="22"/>
          <w:lang w:val="fr-FR"/>
        </w:rPr>
        <w:t>»</w:t>
      </w:r>
      <w:r>
        <w:rPr>
          <w:rFonts w:cs="Arial"/>
          <w:bCs/>
          <w:szCs w:val="22"/>
          <w:lang w:val="fr-FR"/>
        </w:rPr>
        <w:t>.</w:t>
      </w:r>
      <w:r w:rsidRPr="004E7359">
        <w:rPr>
          <w:rFonts w:cs="Arial"/>
          <w:i/>
          <w:szCs w:val="22"/>
          <w:lang w:val="fr-FR"/>
        </w:rPr>
        <w:t xml:space="preserve"> </w:t>
      </w:r>
    </w:p>
    <w:p w:rsidR="006F5AD2" w:rsidRPr="00CC51E9" w:rsidRDefault="006F5AD2" w:rsidP="006F5AD2">
      <w:pPr>
        <w:pStyle w:val="SingleTxtG"/>
        <w:rPr>
          <w:rFonts w:cs="Arial"/>
          <w:szCs w:val="22"/>
          <w:lang w:val="fr-FR"/>
        </w:rPr>
      </w:pPr>
      <w:r w:rsidRPr="004E7359">
        <w:rPr>
          <w:rFonts w:cs="Arial"/>
          <w:i/>
          <w:szCs w:val="22"/>
          <w:lang w:val="fr-FR"/>
        </w:rPr>
        <w:t>(</w:t>
      </w:r>
      <w:r w:rsidRPr="004E7359">
        <w:rPr>
          <w:i/>
        </w:rPr>
        <w:t>Document de référence</w:t>
      </w:r>
      <w:r w:rsidRPr="004E7359">
        <w:rPr>
          <w:rFonts w:cs="Arial"/>
          <w:i/>
          <w:szCs w:val="22"/>
          <w:lang w:val="fr-FR"/>
        </w:rPr>
        <w:t>: document informel INF.</w:t>
      </w:r>
      <w:r>
        <w:rPr>
          <w:rFonts w:cs="Arial"/>
          <w:i/>
          <w:szCs w:val="22"/>
          <w:lang w:val="fr-FR"/>
        </w:rPr>
        <w:t>20</w:t>
      </w:r>
      <w:r w:rsidRPr="004E7359">
        <w:rPr>
          <w:rFonts w:cs="Arial"/>
          <w:i/>
          <w:szCs w:val="22"/>
          <w:lang w:val="fr-FR"/>
        </w:rPr>
        <w:t>)</w:t>
      </w:r>
    </w:p>
    <w:p w:rsidR="006F5AD2" w:rsidRPr="006F5AD2" w:rsidRDefault="006F5AD2" w:rsidP="006F5AD2">
      <w:pPr>
        <w:pStyle w:val="SingleTxtG"/>
        <w:rPr>
          <w:lang w:val="fr-FR"/>
        </w:rPr>
      </w:pPr>
      <w:r w:rsidRPr="006F5AD2">
        <w:rPr>
          <w:lang w:val="fr-FR"/>
        </w:rPr>
        <w:t xml:space="preserve">Ajouter les </w:t>
      </w:r>
      <w:r w:rsidRPr="006F5AD2">
        <w:rPr>
          <w:iCs/>
          <w:lang w:val="fr-FR"/>
        </w:rPr>
        <w:t>amendements de conséquence suivants:</w:t>
      </w:r>
    </w:p>
    <w:p w:rsidR="006F5AD2" w:rsidRPr="007336BD" w:rsidRDefault="006F5AD2" w:rsidP="006F5AD2">
      <w:pPr>
        <w:pStyle w:val="SingleTxtG"/>
        <w:ind w:left="1701"/>
        <w:rPr>
          <w:lang w:val="fr-FR"/>
        </w:rPr>
      </w:pPr>
      <w:r w:rsidRPr="007336BD">
        <w:rPr>
          <w:lang w:val="fr-FR"/>
        </w:rPr>
        <w:t>4.3.2.1.7</w:t>
      </w:r>
      <w:r w:rsidRPr="007336BD">
        <w:rPr>
          <w:lang w:val="fr-FR"/>
        </w:rPr>
        <w:tab/>
        <w:t>Re</w:t>
      </w:r>
      <w:r>
        <w:rPr>
          <w:lang w:val="fr-FR"/>
        </w:rPr>
        <w:t>m</w:t>
      </w:r>
      <w:r w:rsidRPr="007336BD">
        <w:rPr>
          <w:lang w:val="fr-FR"/>
        </w:rPr>
        <w:t>place</w:t>
      </w:r>
      <w:r>
        <w:rPr>
          <w:lang w:val="fr-FR"/>
        </w:rPr>
        <w:t>r</w:t>
      </w:r>
      <w:r w:rsidRPr="007336BD">
        <w:rPr>
          <w:lang w:val="fr-FR"/>
        </w:rPr>
        <w:t xml:space="preserve"> </w:t>
      </w:r>
      <w:r w:rsidRPr="00CC51E9">
        <w:rPr>
          <w:rFonts w:cs="Arial"/>
          <w:bCs/>
          <w:szCs w:val="22"/>
          <w:lang w:val="fr-FR"/>
        </w:rPr>
        <w:t>«</w:t>
      </w:r>
      <w:r w:rsidRPr="007336BD">
        <w:rPr>
          <w:lang w:val="fr-FR"/>
        </w:rPr>
        <w:t>6.8.3.4.16</w:t>
      </w:r>
      <w:r w:rsidRPr="00CC51E9">
        <w:rPr>
          <w:rFonts w:cs="Arial"/>
          <w:bCs/>
          <w:szCs w:val="22"/>
          <w:lang w:val="fr-FR"/>
        </w:rPr>
        <w:t>»</w:t>
      </w:r>
      <w:r>
        <w:rPr>
          <w:lang w:val="fr-FR"/>
        </w:rPr>
        <w:t xml:space="preserve"> par</w:t>
      </w:r>
      <w:r w:rsidRPr="007336BD">
        <w:rPr>
          <w:lang w:val="fr-FR"/>
        </w:rPr>
        <w:t xml:space="preserve"> </w:t>
      </w:r>
      <w:r w:rsidRPr="00CC51E9">
        <w:rPr>
          <w:rFonts w:cs="Arial"/>
          <w:bCs/>
          <w:szCs w:val="22"/>
          <w:lang w:val="fr-FR"/>
        </w:rPr>
        <w:t>«</w:t>
      </w:r>
      <w:r w:rsidRPr="007336BD">
        <w:rPr>
          <w:lang w:val="fr-FR"/>
        </w:rPr>
        <w:t>6.8.3.4.18</w:t>
      </w:r>
      <w:r w:rsidRPr="00CC51E9">
        <w:rPr>
          <w:rFonts w:cs="Arial"/>
          <w:bCs/>
          <w:szCs w:val="22"/>
          <w:lang w:val="fr-FR"/>
        </w:rPr>
        <w:t>»</w:t>
      </w:r>
      <w:r w:rsidRPr="007336BD">
        <w:rPr>
          <w:lang w:val="fr-FR"/>
        </w:rPr>
        <w:t>.</w:t>
      </w:r>
    </w:p>
    <w:p w:rsidR="006F5AD2" w:rsidRPr="007336BD" w:rsidRDefault="006F5AD2" w:rsidP="006F5AD2">
      <w:pPr>
        <w:pStyle w:val="SingleTxtG"/>
        <w:ind w:left="1701"/>
        <w:rPr>
          <w:lang w:val="fr-FR"/>
        </w:rPr>
      </w:pPr>
      <w:r w:rsidRPr="007336BD">
        <w:rPr>
          <w:lang w:val="fr-FR"/>
        </w:rPr>
        <w:lastRenderedPageBreak/>
        <w:t>6.8.3.4.12 (</w:t>
      </w:r>
      <w:r>
        <w:rPr>
          <w:lang w:val="fr-FR"/>
        </w:rPr>
        <w:t>auparavant</w:t>
      </w:r>
      <w:r w:rsidRPr="007336BD">
        <w:rPr>
          <w:lang w:val="fr-FR"/>
        </w:rPr>
        <w:t xml:space="preserve"> 6.8.3.4.10)</w:t>
      </w:r>
      <w:r>
        <w:rPr>
          <w:lang w:val="fr-FR"/>
        </w:rPr>
        <w:tab/>
      </w:r>
      <w:r w:rsidRPr="007336BD">
        <w:rPr>
          <w:lang w:val="fr-FR"/>
        </w:rPr>
        <w:tab/>
        <w:t>Re</w:t>
      </w:r>
      <w:r>
        <w:rPr>
          <w:lang w:val="fr-FR"/>
        </w:rPr>
        <w:t>m</w:t>
      </w:r>
      <w:r w:rsidRPr="007336BD">
        <w:rPr>
          <w:lang w:val="fr-FR"/>
        </w:rPr>
        <w:t>place</w:t>
      </w:r>
      <w:r>
        <w:rPr>
          <w:lang w:val="fr-FR"/>
        </w:rPr>
        <w:t>r</w:t>
      </w:r>
      <w:r w:rsidRPr="007336BD">
        <w:rPr>
          <w:lang w:val="fr-FR"/>
        </w:rPr>
        <w:t xml:space="preserve"> </w:t>
      </w:r>
      <w:r w:rsidRPr="00CC51E9">
        <w:rPr>
          <w:rFonts w:cs="Arial"/>
          <w:bCs/>
          <w:szCs w:val="22"/>
          <w:lang w:val="fr-FR"/>
        </w:rPr>
        <w:t>«</w:t>
      </w:r>
      <w:r w:rsidRPr="007336BD">
        <w:rPr>
          <w:lang w:val="fr-FR"/>
        </w:rPr>
        <w:t>6.8.3.4.14</w:t>
      </w:r>
      <w:r w:rsidRPr="00CC51E9">
        <w:rPr>
          <w:rFonts w:cs="Arial"/>
          <w:bCs/>
          <w:szCs w:val="22"/>
          <w:lang w:val="fr-FR"/>
        </w:rPr>
        <w:t>»</w:t>
      </w:r>
      <w:r>
        <w:rPr>
          <w:lang w:val="fr-FR"/>
        </w:rPr>
        <w:t xml:space="preserve"> par</w:t>
      </w:r>
      <w:r w:rsidRPr="007336BD">
        <w:rPr>
          <w:lang w:val="fr-FR"/>
        </w:rPr>
        <w:t xml:space="preserve"> </w:t>
      </w:r>
      <w:r w:rsidRPr="00CC51E9">
        <w:rPr>
          <w:rFonts w:cs="Arial"/>
          <w:bCs/>
          <w:szCs w:val="22"/>
          <w:lang w:val="fr-FR"/>
        </w:rPr>
        <w:t>«</w:t>
      </w:r>
      <w:r w:rsidRPr="007336BD">
        <w:rPr>
          <w:lang w:val="fr-FR"/>
        </w:rPr>
        <w:t>6.8.3.4.16</w:t>
      </w:r>
      <w:r w:rsidRPr="00CC51E9">
        <w:rPr>
          <w:rFonts w:cs="Arial"/>
          <w:bCs/>
          <w:szCs w:val="22"/>
          <w:lang w:val="fr-FR"/>
        </w:rPr>
        <w:t>»</w:t>
      </w:r>
      <w:r w:rsidRPr="007336BD">
        <w:rPr>
          <w:lang w:val="fr-FR"/>
        </w:rPr>
        <w:t>.</w:t>
      </w:r>
    </w:p>
    <w:p w:rsidR="006F5AD2" w:rsidRPr="007336BD" w:rsidRDefault="006F5AD2" w:rsidP="006F5AD2">
      <w:pPr>
        <w:pStyle w:val="SingleTxtG"/>
        <w:ind w:left="1701"/>
        <w:rPr>
          <w:lang w:val="fr-FR"/>
        </w:rPr>
      </w:pPr>
      <w:r w:rsidRPr="007336BD">
        <w:rPr>
          <w:lang w:val="fr-FR"/>
        </w:rPr>
        <w:t>6.8.3.4.16 (</w:t>
      </w:r>
      <w:r>
        <w:rPr>
          <w:lang w:val="fr-FR"/>
        </w:rPr>
        <w:t>auparavant</w:t>
      </w:r>
      <w:r w:rsidRPr="007336BD">
        <w:rPr>
          <w:lang w:val="fr-FR"/>
        </w:rPr>
        <w:t xml:space="preserve"> 6.8.3.4.14)</w:t>
      </w:r>
      <w:r w:rsidRPr="007336BD">
        <w:rPr>
          <w:lang w:val="fr-FR"/>
        </w:rPr>
        <w:tab/>
      </w:r>
      <w:r>
        <w:rPr>
          <w:lang w:val="fr-FR"/>
        </w:rPr>
        <w:tab/>
      </w:r>
      <w:r w:rsidRPr="007336BD">
        <w:rPr>
          <w:lang w:val="fr-FR"/>
        </w:rPr>
        <w:t>Re</w:t>
      </w:r>
      <w:r>
        <w:rPr>
          <w:lang w:val="fr-FR"/>
        </w:rPr>
        <w:t>m</w:t>
      </w:r>
      <w:r w:rsidRPr="007336BD">
        <w:rPr>
          <w:lang w:val="fr-FR"/>
        </w:rPr>
        <w:t>place</w:t>
      </w:r>
      <w:r>
        <w:rPr>
          <w:lang w:val="fr-FR"/>
        </w:rPr>
        <w:t>r</w:t>
      </w:r>
      <w:r w:rsidRPr="007336BD">
        <w:rPr>
          <w:lang w:val="fr-FR"/>
        </w:rPr>
        <w:t xml:space="preserve"> </w:t>
      </w:r>
      <w:r w:rsidRPr="00CC51E9">
        <w:rPr>
          <w:rFonts w:cs="Arial"/>
          <w:bCs/>
          <w:szCs w:val="22"/>
          <w:lang w:val="fr-FR"/>
        </w:rPr>
        <w:t>«</w:t>
      </w:r>
      <w:r w:rsidRPr="007336BD">
        <w:rPr>
          <w:lang w:val="fr-FR"/>
        </w:rPr>
        <w:t>6.8.3.4.15</w:t>
      </w:r>
      <w:r w:rsidRPr="00CC51E9">
        <w:rPr>
          <w:rFonts w:cs="Arial"/>
          <w:bCs/>
          <w:szCs w:val="22"/>
          <w:lang w:val="fr-FR"/>
        </w:rPr>
        <w:t>»</w:t>
      </w:r>
      <w:r>
        <w:rPr>
          <w:lang w:val="fr-FR"/>
        </w:rPr>
        <w:t xml:space="preserve"> par</w:t>
      </w:r>
      <w:r w:rsidRPr="007336BD">
        <w:rPr>
          <w:lang w:val="fr-FR"/>
        </w:rPr>
        <w:t xml:space="preserve"> </w:t>
      </w:r>
      <w:r w:rsidRPr="00CC51E9">
        <w:rPr>
          <w:rFonts w:cs="Arial"/>
          <w:bCs/>
          <w:szCs w:val="22"/>
          <w:lang w:val="fr-FR"/>
        </w:rPr>
        <w:t>«</w:t>
      </w:r>
      <w:r w:rsidRPr="007336BD">
        <w:rPr>
          <w:lang w:val="fr-FR"/>
        </w:rPr>
        <w:t>6.8.3.4.17</w:t>
      </w:r>
      <w:r w:rsidRPr="00CC51E9">
        <w:rPr>
          <w:rFonts w:cs="Arial"/>
          <w:bCs/>
          <w:szCs w:val="22"/>
          <w:lang w:val="fr-FR"/>
        </w:rPr>
        <w:t>»</w:t>
      </w:r>
      <w:r w:rsidRPr="007336BD">
        <w:rPr>
          <w:lang w:val="fr-FR"/>
        </w:rPr>
        <w:t>.</w:t>
      </w:r>
    </w:p>
    <w:p w:rsidR="006F5AD2" w:rsidRPr="007336BD" w:rsidRDefault="006F5AD2" w:rsidP="006F5AD2">
      <w:pPr>
        <w:pStyle w:val="SingleTxtG"/>
        <w:ind w:left="1701"/>
        <w:rPr>
          <w:lang w:val="fr-FR"/>
        </w:rPr>
      </w:pPr>
      <w:r w:rsidRPr="007336BD">
        <w:rPr>
          <w:lang w:val="fr-FR"/>
        </w:rPr>
        <w:t>6.8.3.4.18 (</w:t>
      </w:r>
      <w:r>
        <w:rPr>
          <w:lang w:val="fr-FR"/>
        </w:rPr>
        <w:t>auparavant</w:t>
      </w:r>
      <w:r w:rsidRPr="007336BD">
        <w:rPr>
          <w:lang w:val="fr-FR"/>
        </w:rPr>
        <w:t xml:space="preserve"> 6.8.3.4.16)</w:t>
      </w:r>
      <w:r w:rsidRPr="007336BD">
        <w:rPr>
          <w:lang w:val="fr-FR"/>
        </w:rPr>
        <w:tab/>
      </w:r>
      <w:r>
        <w:rPr>
          <w:lang w:val="fr-FR"/>
        </w:rPr>
        <w:tab/>
      </w:r>
      <w:r w:rsidRPr="007336BD">
        <w:rPr>
          <w:lang w:val="fr-FR"/>
        </w:rPr>
        <w:t>Re</w:t>
      </w:r>
      <w:r>
        <w:rPr>
          <w:lang w:val="fr-FR"/>
        </w:rPr>
        <w:t>m</w:t>
      </w:r>
      <w:r w:rsidRPr="007336BD">
        <w:rPr>
          <w:lang w:val="fr-FR"/>
        </w:rPr>
        <w:t>place</w:t>
      </w:r>
      <w:r>
        <w:rPr>
          <w:lang w:val="fr-FR"/>
        </w:rPr>
        <w:t>r</w:t>
      </w:r>
      <w:r w:rsidRPr="007336BD">
        <w:rPr>
          <w:lang w:val="fr-FR"/>
        </w:rPr>
        <w:t xml:space="preserve"> </w:t>
      </w:r>
      <w:r w:rsidRPr="00CC51E9">
        <w:rPr>
          <w:rFonts w:cs="Arial"/>
          <w:bCs/>
          <w:szCs w:val="22"/>
          <w:lang w:val="fr-FR"/>
        </w:rPr>
        <w:t>«</w:t>
      </w:r>
      <w:r w:rsidRPr="007336BD">
        <w:rPr>
          <w:lang w:val="fr-FR"/>
        </w:rPr>
        <w:t>6.8.3.4.10 to 6.8.3.4.15</w:t>
      </w:r>
      <w:r w:rsidRPr="00CC51E9">
        <w:rPr>
          <w:rFonts w:cs="Arial"/>
          <w:bCs/>
          <w:szCs w:val="22"/>
          <w:lang w:val="fr-FR"/>
        </w:rPr>
        <w:t>»</w:t>
      </w:r>
      <w:r>
        <w:rPr>
          <w:lang w:val="fr-FR"/>
        </w:rPr>
        <w:t xml:space="preserve"> par</w:t>
      </w:r>
      <w:r w:rsidRPr="007336BD">
        <w:rPr>
          <w:lang w:val="fr-FR"/>
        </w:rPr>
        <w:t xml:space="preserve"> </w:t>
      </w:r>
      <w:r w:rsidRPr="00CC51E9">
        <w:rPr>
          <w:rFonts w:cs="Arial"/>
          <w:bCs/>
          <w:szCs w:val="22"/>
          <w:lang w:val="fr-FR"/>
        </w:rPr>
        <w:t>«</w:t>
      </w:r>
      <w:r w:rsidRPr="007336BD">
        <w:rPr>
          <w:lang w:val="fr-FR"/>
        </w:rPr>
        <w:t>6.8.3.4.12 to 6.8.3.4.17</w:t>
      </w:r>
      <w:r w:rsidRPr="00CC51E9">
        <w:rPr>
          <w:rFonts w:cs="Arial"/>
          <w:bCs/>
          <w:szCs w:val="22"/>
          <w:lang w:val="fr-FR"/>
        </w:rPr>
        <w:t>»</w:t>
      </w:r>
      <w:r w:rsidRPr="007336BD">
        <w:rPr>
          <w:lang w:val="fr-FR"/>
        </w:rPr>
        <w:t>.</w:t>
      </w:r>
    </w:p>
    <w:p w:rsidR="006F5AD2" w:rsidRDefault="006F5AD2" w:rsidP="006F5AD2">
      <w:pPr>
        <w:pStyle w:val="SingleTxtG"/>
        <w:ind w:left="1701"/>
        <w:rPr>
          <w:lang w:val="fr-FR"/>
        </w:rPr>
      </w:pPr>
      <w:r w:rsidRPr="009003D9">
        <w:rPr>
          <w:lang w:val="fr-FR"/>
        </w:rPr>
        <w:t>6.8.3.5.10</w:t>
      </w:r>
      <w:r w:rsidRPr="009003D9">
        <w:rPr>
          <w:lang w:val="fr-FR"/>
        </w:rPr>
        <w:tab/>
        <w:t>Dans le pénultième</w:t>
      </w:r>
      <w:r>
        <w:rPr>
          <w:lang w:val="fr-FR"/>
        </w:rPr>
        <w:t xml:space="preserve"> tiret</w:t>
      </w:r>
      <w:r w:rsidRPr="007336BD">
        <w:rPr>
          <w:lang w:val="fr-FR"/>
        </w:rPr>
        <w:t xml:space="preserve">, </w:t>
      </w:r>
      <w:r>
        <w:rPr>
          <w:lang w:val="fr-FR"/>
        </w:rPr>
        <w:t>r</w:t>
      </w:r>
      <w:r w:rsidRPr="007336BD">
        <w:rPr>
          <w:lang w:val="fr-FR"/>
        </w:rPr>
        <w:t>e</w:t>
      </w:r>
      <w:r>
        <w:rPr>
          <w:lang w:val="fr-FR"/>
        </w:rPr>
        <w:t>m</w:t>
      </w:r>
      <w:r w:rsidRPr="007336BD">
        <w:rPr>
          <w:lang w:val="fr-FR"/>
        </w:rPr>
        <w:t>place</w:t>
      </w:r>
      <w:r>
        <w:rPr>
          <w:lang w:val="fr-FR"/>
        </w:rPr>
        <w:t>r</w:t>
      </w:r>
      <w:r w:rsidRPr="007336BD">
        <w:rPr>
          <w:lang w:val="fr-FR"/>
        </w:rPr>
        <w:t xml:space="preserve"> </w:t>
      </w:r>
      <w:r w:rsidRPr="00CC51E9">
        <w:rPr>
          <w:rFonts w:cs="Arial"/>
          <w:bCs/>
          <w:szCs w:val="22"/>
          <w:lang w:val="fr-FR"/>
        </w:rPr>
        <w:t>«</w:t>
      </w:r>
      <w:r w:rsidRPr="007336BD">
        <w:rPr>
          <w:lang w:val="fr-FR"/>
        </w:rPr>
        <w:t>6.8.3.4.10 to 6.8.3.4.13</w:t>
      </w:r>
      <w:r w:rsidRPr="00CC51E9">
        <w:rPr>
          <w:rFonts w:cs="Arial"/>
          <w:bCs/>
          <w:szCs w:val="22"/>
          <w:lang w:val="fr-FR"/>
        </w:rPr>
        <w:t>»</w:t>
      </w:r>
      <w:r w:rsidRPr="007336BD">
        <w:rPr>
          <w:lang w:val="fr-FR"/>
        </w:rPr>
        <w:t xml:space="preserve"> </w:t>
      </w:r>
      <w:r>
        <w:rPr>
          <w:lang w:val="fr-FR"/>
        </w:rPr>
        <w:t>par</w:t>
      </w:r>
      <w:r w:rsidRPr="007336BD">
        <w:rPr>
          <w:lang w:val="fr-FR"/>
        </w:rPr>
        <w:t xml:space="preserve"> </w:t>
      </w:r>
      <w:r w:rsidRPr="00CC51E9">
        <w:rPr>
          <w:rFonts w:cs="Arial"/>
          <w:bCs/>
          <w:szCs w:val="22"/>
          <w:lang w:val="fr-FR"/>
        </w:rPr>
        <w:t>«</w:t>
      </w:r>
      <w:r w:rsidRPr="007336BD">
        <w:rPr>
          <w:lang w:val="fr-FR"/>
        </w:rPr>
        <w:t>6.8.3.4.12 and 6.8.3.4.15</w:t>
      </w:r>
      <w:r w:rsidRPr="00CC51E9">
        <w:rPr>
          <w:rFonts w:cs="Arial"/>
          <w:bCs/>
          <w:szCs w:val="22"/>
          <w:lang w:val="fr-FR"/>
        </w:rPr>
        <w:t>»</w:t>
      </w:r>
      <w:r w:rsidRPr="007336BD">
        <w:rPr>
          <w:lang w:val="fr-FR"/>
        </w:rPr>
        <w:t>.</w:t>
      </w:r>
    </w:p>
    <w:p w:rsidR="006F5AD2" w:rsidRPr="007336BD" w:rsidRDefault="006F5AD2" w:rsidP="006F5AD2">
      <w:pPr>
        <w:pStyle w:val="SingleTxtG"/>
        <w:ind w:left="1701"/>
        <w:rPr>
          <w:lang w:val="fr-FR"/>
        </w:rPr>
      </w:pPr>
      <w:r w:rsidRPr="004E7359">
        <w:rPr>
          <w:rFonts w:cs="Arial"/>
          <w:i/>
          <w:szCs w:val="22"/>
          <w:lang w:val="fr-FR"/>
        </w:rPr>
        <w:t>(</w:t>
      </w:r>
      <w:r w:rsidRPr="004E7359">
        <w:rPr>
          <w:i/>
        </w:rPr>
        <w:t>Document de référence</w:t>
      </w:r>
      <w:r w:rsidRPr="004E7359">
        <w:rPr>
          <w:rFonts w:cs="Arial"/>
          <w:i/>
          <w:szCs w:val="22"/>
          <w:lang w:val="fr-FR"/>
        </w:rPr>
        <w:t>: document informel INF.</w:t>
      </w:r>
      <w:r>
        <w:rPr>
          <w:rFonts w:cs="Arial"/>
          <w:i/>
          <w:szCs w:val="22"/>
          <w:lang w:val="fr-FR"/>
        </w:rPr>
        <w:t>20</w:t>
      </w:r>
      <w:r w:rsidRPr="004E7359">
        <w:rPr>
          <w:rFonts w:cs="Arial"/>
          <w:i/>
          <w:szCs w:val="22"/>
          <w:lang w:val="fr-FR"/>
        </w:rPr>
        <w:t>)</w:t>
      </w:r>
    </w:p>
    <w:p w:rsidR="006F5AD2" w:rsidRPr="007336BD" w:rsidRDefault="006F5AD2" w:rsidP="006F5AD2">
      <w:pPr>
        <w:pStyle w:val="H1G"/>
        <w:rPr>
          <w:lang w:val="fr-FR"/>
        </w:rPr>
      </w:pPr>
      <w:r w:rsidRPr="007336BD">
        <w:rPr>
          <w:lang w:val="fr-FR"/>
        </w:rPr>
        <w:tab/>
      </w:r>
      <w:r w:rsidRPr="007336BD">
        <w:rPr>
          <w:lang w:val="fr-FR"/>
        </w:rPr>
        <w:tab/>
        <w:t>Chapitre 6.11</w:t>
      </w:r>
    </w:p>
    <w:p w:rsidR="006F5AD2" w:rsidRPr="007336BD" w:rsidRDefault="006F5AD2" w:rsidP="006F5AD2">
      <w:pPr>
        <w:pStyle w:val="SingleTxtG"/>
        <w:rPr>
          <w:i/>
          <w:lang w:val="fr-FR"/>
        </w:rPr>
      </w:pPr>
      <w:r w:rsidRPr="007336BD">
        <w:rPr>
          <w:rFonts w:cs="Arial"/>
          <w:szCs w:val="22"/>
          <w:lang w:val="fr-FR"/>
        </w:rPr>
        <w:t>6.11.1</w:t>
      </w:r>
      <w:r w:rsidRPr="007336BD">
        <w:rPr>
          <w:rFonts w:cs="Arial"/>
          <w:szCs w:val="22"/>
          <w:lang w:val="fr-FR"/>
        </w:rPr>
        <w:tab/>
      </w:r>
      <w:r w:rsidRPr="007336BD">
        <w:rPr>
          <w:rFonts w:cs="Arial"/>
          <w:szCs w:val="22"/>
          <w:lang w:val="fr-FR"/>
        </w:rPr>
        <w:tab/>
      </w:r>
      <w:r w:rsidRPr="00917702">
        <w:t>La modification ne s’applique pas au texte français.</w:t>
      </w:r>
    </w:p>
    <w:p w:rsidR="006F5AD2" w:rsidRPr="007336BD" w:rsidRDefault="006F5AD2" w:rsidP="006F5AD2">
      <w:pPr>
        <w:pStyle w:val="H1G"/>
        <w:rPr>
          <w:lang w:val="fr-FR"/>
        </w:rPr>
      </w:pPr>
      <w:r w:rsidRPr="007336BD">
        <w:rPr>
          <w:lang w:val="fr-FR"/>
        </w:rPr>
        <w:tab/>
      </w:r>
      <w:r w:rsidRPr="007336BD">
        <w:rPr>
          <w:lang w:val="fr-FR"/>
        </w:rPr>
        <w:tab/>
        <w:t>Chapitre 7.3</w:t>
      </w:r>
    </w:p>
    <w:p w:rsidR="006F5AD2" w:rsidRPr="007336BD" w:rsidRDefault="006F5AD2" w:rsidP="006F5AD2">
      <w:pPr>
        <w:pStyle w:val="SingleTxtG"/>
        <w:rPr>
          <w:lang w:val="fr-FR"/>
        </w:rPr>
      </w:pPr>
      <w:r w:rsidRPr="007336BD">
        <w:rPr>
          <w:lang w:val="fr-FR"/>
        </w:rPr>
        <w:t>7.3.1.1 (b)</w:t>
      </w:r>
      <w:r w:rsidRPr="007336BD">
        <w:rPr>
          <w:lang w:val="fr-FR"/>
        </w:rPr>
        <w:tab/>
      </w:r>
      <w:r>
        <w:rPr>
          <w:lang w:val="fr-FR"/>
        </w:rPr>
        <w:t xml:space="preserve">Supprimer </w:t>
      </w:r>
      <w:proofErr w:type="gramStart"/>
      <w:r w:rsidRPr="00CC51E9">
        <w:rPr>
          <w:rFonts w:cs="Arial"/>
          <w:bCs/>
          <w:szCs w:val="22"/>
          <w:lang w:val="fr-FR"/>
        </w:rPr>
        <w:t>«</w:t>
      </w:r>
      <w:r>
        <w:t>(</w:t>
      </w:r>
      <w:proofErr w:type="gramEnd"/>
      <w:r>
        <w:t>première phrase actuelle)</w:t>
      </w:r>
      <w:r w:rsidRPr="00CC51E9">
        <w:rPr>
          <w:rFonts w:cs="Arial"/>
          <w:bCs/>
          <w:szCs w:val="22"/>
          <w:lang w:val="fr-FR"/>
        </w:rPr>
        <w:t>»</w:t>
      </w:r>
      <w:r w:rsidRPr="007336BD">
        <w:rPr>
          <w:lang w:val="fr-FR"/>
        </w:rPr>
        <w:t>.</w:t>
      </w:r>
    </w:p>
    <w:p w:rsidR="006F5AD2" w:rsidRPr="007336BD" w:rsidRDefault="006F5AD2" w:rsidP="006F5AD2">
      <w:pPr>
        <w:pStyle w:val="SingleTxtG"/>
        <w:rPr>
          <w:lang w:val="fr-FR"/>
        </w:rPr>
      </w:pPr>
      <w:r w:rsidRPr="007336BD">
        <w:rPr>
          <w:lang w:val="fr-FR"/>
        </w:rPr>
        <w:t>7.3.2.9</w:t>
      </w:r>
      <w:r w:rsidRPr="007336BD">
        <w:rPr>
          <w:lang w:val="fr-FR"/>
        </w:rPr>
        <w:tab/>
      </w:r>
      <w:r w:rsidRPr="007336BD">
        <w:rPr>
          <w:lang w:val="fr-FR"/>
        </w:rPr>
        <w:tab/>
      </w:r>
      <w:r w:rsidRPr="00917702">
        <w:t>La modification ne s’applique pas au texte français.</w:t>
      </w:r>
    </w:p>
    <w:p w:rsidR="006F5AD2" w:rsidRPr="007336BD" w:rsidRDefault="006F5AD2" w:rsidP="006F5AD2">
      <w:pPr>
        <w:pStyle w:val="H1G"/>
        <w:rPr>
          <w:lang w:val="fr-FR"/>
        </w:rPr>
      </w:pPr>
      <w:r w:rsidRPr="007336BD">
        <w:rPr>
          <w:lang w:val="fr-FR"/>
        </w:rPr>
        <w:tab/>
      </w:r>
      <w:r w:rsidRPr="007336BD">
        <w:rPr>
          <w:lang w:val="fr-FR"/>
        </w:rPr>
        <w:tab/>
        <w:t>Chapitre 7.5</w:t>
      </w:r>
    </w:p>
    <w:p w:rsidR="006F5AD2" w:rsidRPr="004B33FC" w:rsidRDefault="006F5AD2" w:rsidP="006F5AD2">
      <w:pPr>
        <w:pStyle w:val="SingleTxtG"/>
        <w:rPr>
          <w:lang w:val="fr-FR"/>
        </w:rPr>
      </w:pPr>
      <w:r w:rsidRPr="004B33FC">
        <w:rPr>
          <w:lang w:val="fr-FR"/>
        </w:rPr>
        <w:t>7.5.11, CV36</w:t>
      </w:r>
      <w:r w:rsidRPr="004B33FC">
        <w:rPr>
          <w:lang w:val="fr-FR"/>
        </w:rPr>
        <w:tab/>
      </w:r>
      <w:r w:rsidRPr="004B33FC">
        <w:rPr>
          <w:lang w:val="fr-FR"/>
        </w:rPr>
        <w:tab/>
      </w:r>
      <w:r w:rsidR="00834D3A">
        <w:rPr>
          <w:lang w:val="fr-FR"/>
        </w:rPr>
        <w:t>Après</w:t>
      </w:r>
      <w:r w:rsidR="00834D3A" w:rsidRPr="004B33FC">
        <w:rPr>
          <w:lang w:val="fr-FR"/>
        </w:rPr>
        <w:t xml:space="preserve"> </w:t>
      </w:r>
      <w:r w:rsidRPr="00CC51E9">
        <w:rPr>
          <w:rFonts w:cs="Arial"/>
          <w:bCs/>
          <w:szCs w:val="22"/>
          <w:lang w:val="fr-FR"/>
        </w:rPr>
        <w:t>«</w:t>
      </w:r>
      <w:r w:rsidRPr="004B33FC">
        <w:t>code IMDG</w:t>
      </w:r>
      <w:r w:rsidRPr="00CC51E9">
        <w:rPr>
          <w:rFonts w:cs="Arial"/>
          <w:bCs/>
          <w:szCs w:val="22"/>
          <w:lang w:val="fr-FR"/>
        </w:rPr>
        <w:t>»</w:t>
      </w:r>
      <w:r w:rsidRPr="004B33FC">
        <w:rPr>
          <w:lang w:val="fr-FR"/>
        </w:rPr>
        <w:t xml:space="preserve">, </w:t>
      </w:r>
      <w:r w:rsidRPr="004B33FC">
        <w:t xml:space="preserve">ajouter une référence à la note de bas de page x </w:t>
      </w:r>
      <w:r w:rsidRPr="00CF4775">
        <w:t>avec</w:t>
      </w:r>
      <w:r w:rsidRPr="004B33FC">
        <w:t xml:space="preserve"> le texte</w:t>
      </w:r>
      <w:r>
        <w:t xml:space="preserve"> approprié</w:t>
      </w:r>
      <w:r w:rsidRPr="004B33FC">
        <w:t xml:space="preserve"> de la disposition spéciale 965 du code IMDG</w:t>
      </w:r>
      <w:r w:rsidRPr="004B33FC">
        <w:rPr>
          <w:lang w:val="fr-FR"/>
        </w:rPr>
        <w:t>.</w:t>
      </w:r>
    </w:p>
    <w:p w:rsidR="00614EFC" w:rsidRDefault="00614EFC">
      <w:pPr>
        <w:suppressAutoHyphens w:val="0"/>
        <w:spacing w:line="240" w:lineRule="auto"/>
      </w:pPr>
      <w:r>
        <w:br w:type="page"/>
      </w:r>
    </w:p>
    <w:p w:rsidR="00614EFC" w:rsidRPr="005915A5" w:rsidRDefault="00614EFC" w:rsidP="00614EFC">
      <w:pPr>
        <w:pStyle w:val="HChG"/>
        <w:rPr>
          <w:lang w:val="fr-FR"/>
        </w:rPr>
      </w:pPr>
      <w:r w:rsidRPr="005915A5">
        <w:rPr>
          <w:lang w:val="fr-FR"/>
        </w:rPr>
        <w:lastRenderedPageBreak/>
        <w:t>Annexe I</w:t>
      </w:r>
      <w:r>
        <w:rPr>
          <w:lang w:val="fr-FR"/>
        </w:rPr>
        <w:t>I</w:t>
      </w:r>
    </w:p>
    <w:p w:rsidR="00614EFC" w:rsidRDefault="00614EFC" w:rsidP="00614EFC">
      <w:pPr>
        <w:pStyle w:val="HChG"/>
        <w:rPr>
          <w:lang w:val="fr-FR"/>
        </w:rPr>
      </w:pPr>
      <w:r w:rsidRPr="005915A5">
        <w:rPr>
          <w:lang w:val="fr-FR"/>
        </w:rPr>
        <w:tab/>
      </w:r>
      <w:r w:rsidRPr="005915A5">
        <w:rPr>
          <w:lang w:val="fr-FR"/>
        </w:rPr>
        <w:tab/>
      </w:r>
      <w:r w:rsidRPr="00614EFC">
        <w:rPr>
          <w:lang w:val="fr-FR"/>
        </w:rPr>
        <w:t xml:space="preserve">Projet de programme de travail pour </w:t>
      </w:r>
      <w:r>
        <w:rPr>
          <w:lang w:val="fr-FR"/>
        </w:rPr>
        <w:t>2016</w:t>
      </w:r>
      <w:r w:rsidRPr="00614EFC">
        <w:rPr>
          <w:lang w:val="fr-FR"/>
        </w:rPr>
        <w:t>-</w:t>
      </w:r>
      <w:r>
        <w:rPr>
          <w:lang w:val="fr-FR"/>
        </w:rPr>
        <w:t>2020</w:t>
      </w:r>
    </w:p>
    <w:p w:rsidR="00117CD8" w:rsidRPr="00BA0BDF" w:rsidRDefault="00117CD8" w:rsidP="00117CD8">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ab/>
      </w:r>
      <w:r w:rsidRPr="00BA0BDF">
        <w:rPr>
          <w:lang w:val="fr-CH"/>
        </w:rPr>
        <w:tab/>
        <w:t xml:space="preserve">Activité 02.7 : Transport des marchandises </w:t>
      </w:r>
      <w:r>
        <w:rPr>
          <w:lang w:val="fr-CH"/>
        </w:rPr>
        <w:br/>
      </w:r>
      <w:r w:rsidRPr="00BA0BDF">
        <w:rPr>
          <w:lang w:val="fr-CH"/>
        </w:rPr>
        <w:t>dangereuses</w:t>
      </w:r>
    </w:p>
    <w:p w:rsidR="00117CD8" w:rsidRPr="00BA0BDF" w:rsidRDefault="00117CD8" w:rsidP="00117CD8">
      <w:pPr>
        <w:pStyle w:val="SingleTxt"/>
        <w:spacing w:after="0" w:line="120" w:lineRule="exact"/>
        <w:rPr>
          <w:sz w:val="10"/>
          <w:lang w:val="fr-CH"/>
        </w:rPr>
      </w:pPr>
    </w:p>
    <w:p w:rsidR="00117CD8" w:rsidRPr="00BA0BDF" w:rsidRDefault="00117CD8" w:rsidP="00117CD8">
      <w:pPr>
        <w:pStyle w:val="SingleTxt"/>
        <w:spacing w:after="0" w:line="120" w:lineRule="exact"/>
        <w:rPr>
          <w:sz w:val="10"/>
          <w:lang w:val="fr-CH"/>
        </w:rPr>
      </w:pPr>
    </w:p>
    <w:p w:rsidR="00117CD8" w:rsidRDefault="00117CD8" w:rsidP="00117C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ab/>
      </w:r>
      <w:r w:rsidRPr="00BA0BDF">
        <w:rPr>
          <w:lang w:val="fr-CH"/>
        </w:rPr>
        <w:tab/>
        <w:t xml:space="preserve">Règlements relatifs au transport des marchandises </w:t>
      </w:r>
      <w:r>
        <w:rPr>
          <w:lang w:val="fr-CH"/>
        </w:rPr>
        <w:br/>
      </w:r>
      <w:r w:rsidRPr="00BA0BDF">
        <w:rPr>
          <w:lang w:val="fr-CH"/>
        </w:rPr>
        <w:t xml:space="preserve">dangereuses par route, chemin de fer, voie de navigation </w:t>
      </w:r>
      <w:r>
        <w:rPr>
          <w:lang w:val="fr-CH"/>
        </w:rPr>
        <w:br/>
      </w:r>
      <w:r w:rsidRPr="00BA0BDF">
        <w:rPr>
          <w:lang w:val="fr-CH"/>
        </w:rPr>
        <w:t>inté</w:t>
      </w:r>
      <w:r>
        <w:rPr>
          <w:lang w:val="fr-CH"/>
        </w:rPr>
        <w:t>rieure et transport combiné</w:t>
      </w:r>
    </w:p>
    <w:p w:rsidR="00117CD8" w:rsidRPr="00C2197D" w:rsidRDefault="00117CD8" w:rsidP="00117C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117CD8" w:rsidRPr="00C2197D" w:rsidRDefault="00117CD8" w:rsidP="00117C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120" w:lineRule="exact"/>
        <w:ind w:left="1267" w:right="1260" w:hanging="1267"/>
        <w:rPr>
          <w:sz w:val="10"/>
          <w:lang w:val="fr-CH"/>
        </w:rPr>
      </w:pPr>
    </w:p>
    <w:p w:rsidR="00117CD8" w:rsidRPr="00BA0BDF" w:rsidRDefault="00117CD8" w:rsidP="00117CD8">
      <w:pPr>
        <w:pStyle w:val="SingleTxt"/>
        <w:jc w:val="right"/>
        <w:rPr>
          <w:lang w:val="fr-CH"/>
        </w:rPr>
      </w:pPr>
      <w:r w:rsidRPr="00BA0BDF">
        <w:rPr>
          <w:lang w:val="fr-CH"/>
        </w:rPr>
        <w:t>Priorité : 1</w:t>
      </w:r>
    </w:p>
    <w:p w:rsidR="00117CD8" w:rsidRPr="00BA0BDF" w:rsidRDefault="00117CD8" w:rsidP="00117CD8">
      <w:pPr>
        <w:pStyle w:val="SingleTxt"/>
        <w:rPr>
          <w:lang w:val="fr-CH"/>
        </w:rPr>
      </w:pPr>
      <w:r w:rsidRPr="00BA0BDF">
        <w:rPr>
          <w:i/>
          <w:lang w:val="fr-CH"/>
        </w:rPr>
        <w:t>Exposé succinct </w:t>
      </w:r>
      <w:r w:rsidRPr="00BA0BDF">
        <w:rPr>
          <w:lang w:val="fr-CH"/>
        </w:rPr>
        <w:t xml:space="preserve">: </w:t>
      </w:r>
    </w:p>
    <w:p w:rsidR="00117CD8" w:rsidRPr="00BA0BDF" w:rsidRDefault="00117CD8" w:rsidP="00117CD8">
      <w:pPr>
        <w:pStyle w:val="SingleTxt"/>
        <w:rPr>
          <w:lang w:val="fr-CH"/>
        </w:rPr>
      </w:pPr>
      <w:r w:rsidRPr="00BA0BDF">
        <w:rPr>
          <w:lang w:val="fr-CH"/>
        </w:rPr>
        <w:t>Examen des règlements et questions techniques concernant le transport international des marchandises dangereuses dans la région. Élaboration de nouveaux accords internationaux et harmonisation des accords en vigueur dans ce domaine afin d’améliorer la sécurité tout en facilitant les échanges, en collaboration avec le Comité d’experts du transport des marchandises dangereuses et du Système général harmonisé de classification et d’étiquetage des produits chimiques, du Conseil économique et social.</w:t>
      </w:r>
    </w:p>
    <w:p w:rsidR="00117CD8" w:rsidRPr="00BA0BDF" w:rsidRDefault="00117CD8" w:rsidP="00117CD8">
      <w:pPr>
        <w:pStyle w:val="SingleTxt"/>
        <w:rPr>
          <w:i/>
          <w:lang w:val="fr-CH"/>
        </w:rPr>
      </w:pPr>
      <w:r w:rsidRPr="00BA0BDF">
        <w:rPr>
          <w:i/>
          <w:lang w:val="fr-CH"/>
        </w:rPr>
        <w:t>Travail à faire </w:t>
      </w:r>
      <w:r w:rsidRPr="00BA0BDF">
        <w:rPr>
          <w:lang w:val="fr-CH"/>
        </w:rPr>
        <w:t>:</w:t>
      </w:r>
      <w:r w:rsidRPr="00BA0BDF">
        <w:rPr>
          <w:i/>
          <w:lang w:val="fr-CH"/>
        </w:rPr>
        <w:t xml:space="preserve"> </w:t>
      </w:r>
    </w:p>
    <w:p w:rsidR="00117CD8" w:rsidRPr="00BA0BDF" w:rsidRDefault="00117CD8" w:rsidP="00117CD8">
      <w:pPr>
        <w:pStyle w:val="SingleTxt"/>
        <w:rPr>
          <w:lang w:val="fr-CH"/>
        </w:rPr>
      </w:pPr>
      <w:r w:rsidRPr="00BA0BDF">
        <w:rPr>
          <w:lang w:val="fr-CH"/>
        </w:rPr>
        <w:t>Par le Groupe de travail des transports de marchandises dangereuses (WP.15)</w:t>
      </w:r>
      <w:r>
        <w:rPr>
          <w:lang w:val="fr-CH"/>
        </w:rPr>
        <w:t>.</w:t>
      </w:r>
    </w:p>
    <w:p w:rsidR="00117CD8" w:rsidRPr="00BA0BDF" w:rsidRDefault="00117CD8" w:rsidP="00117CD8">
      <w:pPr>
        <w:pStyle w:val="SingleTxt"/>
        <w:spacing w:after="0" w:line="120" w:lineRule="exact"/>
        <w:rPr>
          <w:sz w:val="10"/>
          <w:lang w:val="fr-CH"/>
        </w:rPr>
      </w:pPr>
    </w:p>
    <w:p w:rsidR="00117CD8" w:rsidRPr="00BA0BDF" w:rsidRDefault="00117CD8" w:rsidP="00117CD8">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rPr>
          <w:lang w:val="fr-CH"/>
        </w:rPr>
      </w:pPr>
      <w:r w:rsidRPr="00BA0BDF">
        <w:rPr>
          <w:lang w:val="fr-CH"/>
        </w:rPr>
        <w:tab/>
      </w:r>
      <w:r w:rsidRPr="00BA0BDF">
        <w:rPr>
          <w:lang w:val="fr-CH"/>
        </w:rPr>
        <w:tab/>
        <w:t>Activités permanentes</w:t>
      </w:r>
    </w:p>
    <w:p w:rsidR="00117CD8" w:rsidRPr="00BA0BDF" w:rsidRDefault="00117CD8" w:rsidP="00117CD8">
      <w:pPr>
        <w:pStyle w:val="SingleTxt"/>
        <w:spacing w:after="0" w:line="120" w:lineRule="exact"/>
        <w:rPr>
          <w:sz w:val="10"/>
          <w:lang w:val="fr-CH"/>
        </w:rPr>
      </w:pPr>
    </w:p>
    <w:p w:rsidR="00117CD8" w:rsidRPr="00BA0BDF" w:rsidRDefault="00117CD8" w:rsidP="00117CD8">
      <w:pPr>
        <w:pStyle w:val="SingleTxt"/>
        <w:rPr>
          <w:lang w:val="fr-CH"/>
        </w:rPr>
      </w:pPr>
      <w:r w:rsidRPr="00BA0BDF">
        <w:rPr>
          <w:lang w:val="fr-CH"/>
        </w:rPr>
        <w:tab/>
        <w:t>a)</w:t>
      </w:r>
      <w:r w:rsidRPr="00BA0BDF">
        <w:rPr>
          <w:lang w:val="fr-CH"/>
        </w:rPr>
        <w:tab/>
        <w:t>Examen des propositions d’amendement ayant trait expressément à l’Accord européen relatif au transport international des marchandises dangereuses par route (ADR) et portant sur des questions administratives et techniques concernant sa mise en œuvre et l’application à l’échelle nationale et internationale de ses annexes, afin d’assurer la mise à jour nécessaire de la législation et la mise en place d’un système uniforme, harmonisé et cohérent pour réglementer le transport national et international des marchandises dangereuses par route (projet permanent) (WP.15).</w:t>
      </w:r>
    </w:p>
    <w:p w:rsidR="00117CD8" w:rsidRPr="00BA0BDF" w:rsidRDefault="00117CD8" w:rsidP="00117CD8">
      <w:pPr>
        <w:pStyle w:val="SingleTxt"/>
        <w:rPr>
          <w:i/>
          <w:lang w:val="fr-CH"/>
        </w:rPr>
      </w:pPr>
      <w:r w:rsidRPr="00BA0BDF">
        <w:rPr>
          <w:i/>
          <w:lang w:val="fr-CH"/>
        </w:rPr>
        <w:t>Résultats escomptés </w:t>
      </w:r>
      <w:r w:rsidRPr="00BA0BDF">
        <w:rPr>
          <w:lang w:val="fr-CH"/>
        </w:rPr>
        <w:t>:</w:t>
      </w:r>
      <w:r w:rsidRPr="00BA0BDF">
        <w:rPr>
          <w:i/>
          <w:lang w:val="fr-CH"/>
        </w:rPr>
        <w:t xml:space="preserve"> </w:t>
      </w:r>
    </w:p>
    <w:p w:rsidR="00117CD8" w:rsidRPr="00BA0BDF" w:rsidRDefault="00117CD8" w:rsidP="00117CD8">
      <w:pPr>
        <w:pStyle w:val="SingleTxt"/>
        <w:rPr>
          <w:lang w:val="fr-CH"/>
        </w:rPr>
      </w:pPr>
      <w:r w:rsidRPr="00BA0BDF">
        <w:rPr>
          <w:lang w:val="fr-CH"/>
        </w:rPr>
        <w:t>Adoption d’une série de projets d’amendements aux annexes A et B de l’ADR avant la fin 2017 pour une entrée en vigueur le 1</w:t>
      </w:r>
      <w:r w:rsidRPr="00BA0BDF">
        <w:rPr>
          <w:vertAlign w:val="superscript"/>
          <w:lang w:val="fr-CH"/>
        </w:rPr>
        <w:t>er</w:t>
      </w:r>
      <w:r w:rsidRPr="00BA0BDF">
        <w:rPr>
          <w:lang w:val="fr-CH"/>
        </w:rPr>
        <w:t> janvier 2019, et avant la fin 2019 pour une entrée en vigueur le 1</w:t>
      </w:r>
      <w:r w:rsidRPr="00BA0BDF">
        <w:rPr>
          <w:vertAlign w:val="superscript"/>
          <w:lang w:val="fr-CH"/>
        </w:rPr>
        <w:t>er</w:t>
      </w:r>
      <w:r w:rsidRPr="00BA0BDF">
        <w:rPr>
          <w:lang w:val="fr-CH"/>
        </w:rPr>
        <w:t> janvier 2021.</w:t>
      </w:r>
    </w:p>
    <w:p w:rsidR="00117CD8" w:rsidRDefault="00117CD8" w:rsidP="00117CD8">
      <w:pPr>
        <w:pStyle w:val="SingleTxt"/>
        <w:rPr>
          <w:lang w:val="fr-CH"/>
        </w:rPr>
      </w:pPr>
      <w:r w:rsidRPr="00BA0BDF">
        <w:rPr>
          <w:lang w:val="fr-CH"/>
        </w:rPr>
        <w:t>Publication des éditions d’ensemble révisées de l’ADR en 2016, 2018 et 2020.</w:t>
      </w:r>
    </w:p>
    <w:p w:rsidR="00117CD8" w:rsidRPr="00BA0BDF" w:rsidRDefault="00117CD8" w:rsidP="00117CD8">
      <w:pPr>
        <w:pStyle w:val="SingleTxt"/>
        <w:jc w:val="right"/>
        <w:rPr>
          <w:lang w:val="fr-CH"/>
        </w:rPr>
      </w:pPr>
      <w:r w:rsidRPr="00BA0BDF">
        <w:rPr>
          <w:lang w:val="fr-CH"/>
        </w:rPr>
        <w:t>Priorité : 1</w:t>
      </w:r>
    </w:p>
    <w:p w:rsidR="00117CD8" w:rsidRPr="00BA0BDF" w:rsidRDefault="00117CD8" w:rsidP="00117CD8">
      <w:pPr>
        <w:pStyle w:val="SingleTxt"/>
        <w:rPr>
          <w:lang w:val="fr-CH"/>
        </w:rPr>
      </w:pPr>
      <w:r w:rsidRPr="00BA0BDF">
        <w:rPr>
          <w:lang w:val="fr-CH"/>
        </w:rPr>
        <w:tab/>
        <w:t>b)</w:t>
      </w:r>
      <w:r w:rsidRPr="00BA0BDF">
        <w:rPr>
          <w:lang w:val="fr-CH"/>
        </w:rPr>
        <w:tab/>
        <w:t>Examen des propositions d’amendement ayant trait expressément aux Règlements annexés à l’Accord européen relatif au transport international des marchandises dangereuses par voie de navigation intérieure (ADN) et portant sur des questions administratives et techniques concernant leur application, afin d’assurer la mise à jour nécessaire de ces dispositions et la mise en place d’un système uniforme, harmonisé et cohérent pour réglementer le transport national et international des marchandises dangereuses par voie navigable dans toute l’Europe (projet permanent) (WP.15/AC.2).</w:t>
      </w:r>
    </w:p>
    <w:p w:rsidR="00117CD8" w:rsidRPr="00BA0BDF" w:rsidRDefault="00117CD8" w:rsidP="00117CD8">
      <w:pPr>
        <w:pStyle w:val="SingleTxt"/>
        <w:rPr>
          <w:i/>
          <w:lang w:val="fr-CH"/>
        </w:rPr>
      </w:pPr>
      <w:r w:rsidRPr="00BA0BDF">
        <w:rPr>
          <w:i/>
          <w:lang w:val="fr-CH"/>
        </w:rPr>
        <w:lastRenderedPageBreak/>
        <w:t>Résultats escomptés </w:t>
      </w:r>
      <w:r w:rsidRPr="00BA0BDF">
        <w:rPr>
          <w:lang w:val="fr-CH"/>
        </w:rPr>
        <w:t>:</w:t>
      </w:r>
      <w:r w:rsidRPr="00BA0BDF">
        <w:rPr>
          <w:i/>
          <w:lang w:val="fr-CH"/>
        </w:rPr>
        <w:t xml:space="preserve"> </w:t>
      </w:r>
    </w:p>
    <w:p w:rsidR="00117CD8" w:rsidRPr="00BA0BDF" w:rsidRDefault="00117CD8" w:rsidP="00117CD8">
      <w:pPr>
        <w:pStyle w:val="SingleTxt"/>
        <w:rPr>
          <w:lang w:val="fr-CH"/>
        </w:rPr>
      </w:pPr>
      <w:r w:rsidRPr="00BA0BDF">
        <w:rPr>
          <w:lang w:val="fr-CH"/>
        </w:rPr>
        <w:t>Adoption d’une série de projets d’amendements aux Règlements annexés à l’ADN en 2016, 2018 et 2020 en vue de leur présentation au Comité d’administration de l’ADN.</w:t>
      </w:r>
    </w:p>
    <w:p w:rsidR="00117CD8" w:rsidRPr="00BA0BDF" w:rsidRDefault="00117CD8" w:rsidP="00117CD8">
      <w:pPr>
        <w:pStyle w:val="SingleTxt"/>
        <w:rPr>
          <w:lang w:val="fr-CH"/>
        </w:rPr>
      </w:pPr>
      <w:r w:rsidRPr="00BA0BDF">
        <w:rPr>
          <w:lang w:val="fr-CH"/>
        </w:rPr>
        <w:t>Publication des éditions d’ensemble révisées de l’ADN en 2016, 2018 et 2020.</w:t>
      </w:r>
    </w:p>
    <w:p w:rsidR="00117CD8" w:rsidRPr="00BA0BDF" w:rsidRDefault="00117CD8" w:rsidP="00117CD8">
      <w:pPr>
        <w:pStyle w:val="SingleTxt"/>
        <w:jc w:val="right"/>
        <w:rPr>
          <w:lang w:val="fr-CH"/>
        </w:rPr>
      </w:pPr>
      <w:r w:rsidRPr="00BA0BDF">
        <w:rPr>
          <w:lang w:val="fr-CH"/>
        </w:rPr>
        <w:t>Priorité : 1</w:t>
      </w:r>
    </w:p>
    <w:p w:rsidR="00117CD8" w:rsidRPr="00BA0BDF" w:rsidRDefault="00117CD8" w:rsidP="00117CD8">
      <w:pPr>
        <w:pStyle w:val="SingleTxt"/>
        <w:rPr>
          <w:lang w:val="fr-CH"/>
        </w:rPr>
      </w:pPr>
      <w:r w:rsidRPr="00BA0BDF">
        <w:rPr>
          <w:lang w:val="fr-CH"/>
        </w:rPr>
        <w:tab/>
        <w:t>c)</w:t>
      </w:r>
      <w:r w:rsidRPr="00BA0BDF">
        <w:rPr>
          <w:lang w:val="fr-CH"/>
        </w:rPr>
        <w:tab/>
        <w:t>Harmonisation des prescriptions de l’ADR, de l’ADN et du Règlement concernant le transport international ferroviaire des marchandises dangereuses (RID) en se fondant sur les Recommandations de l’ONU relatives au transport des marchandises dangereuses, et examen des propositions d’amendement aux prescriptions communes de l’ADR, du RID et de l’ADN afin d’harmoniser les règlements applicables aux différents modes de transport intérieur, conformément aux dispositions recommandées par l’ONU en vue d’une application mondiale à tous les modes de transport, de manière à faciliter le transport multimodal et le commerce international dans des conditions de sécurité adaptées à chaque mode de transport (projet permanent) (WP.15/AC.1).</w:t>
      </w:r>
    </w:p>
    <w:p w:rsidR="00117CD8" w:rsidRPr="00BA0BDF" w:rsidRDefault="00117CD8" w:rsidP="00117CD8">
      <w:pPr>
        <w:pStyle w:val="SingleTxt"/>
        <w:rPr>
          <w:i/>
          <w:lang w:val="fr-CH"/>
        </w:rPr>
      </w:pPr>
      <w:r w:rsidRPr="00BA0BDF">
        <w:rPr>
          <w:i/>
          <w:lang w:val="fr-CH"/>
        </w:rPr>
        <w:t>Résultats escomptés </w:t>
      </w:r>
      <w:r w:rsidRPr="00BA0BDF">
        <w:rPr>
          <w:lang w:val="fr-CH"/>
        </w:rPr>
        <w:t>:</w:t>
      </w:r>
      <w:r w:rsidRPr="00BA0BDF">
        <w:rPr>
          <w:i/>
          <w:lang w:val="fr-CH"/>
        </w:rPr>
        <w:t xml:space="preserve"> </w:t>
      </w:r>
    </w:p>
    <w:p w:rsidR="00117CD8" w:rsidRDefault="00117CD8" w:rsidP="00117CD8">
      <w:pPr>
        <w:pStyle w:val="SingleTxt"/>
        <w:rPr>
          <w:lang w:val="fr-CH"/>
        </w:rPr>
      </w:pPr>
      <w:r w:rsidRPr="00BA0BDF">
        <w:rPr>
          <w:lang w:val="fr-CH"/>
        </w:rPr>
        <w:t>Adoption de projets d’amendements à l’ADR, au RID et à l’ADN avant la fin 2017 pour une entrée en vigueur le 1</w:t>
      </w:r>
      <w:r w:rsidRPr="00BA0BDF">
        <w:rPr>
          <w:vertAlign w:val="superscript"/>
          <w:lang w:val="fr-CH"/>
        </w:rPr>
        <w:t>er</w:t>
      </w:r>
      <w:r w:rsidRPr="00BA0BDF">
        <w:rPr>
          <w:lang w:val="fr-CH"/>
        </w:rPr>
        <w:t> janvier 2019, et avant la fin 2019 pour une entrée en vigueur le 1</w:t>
      </w:r>
      <w:r w:rsidRPr="00BA0BDF">
        <w:rPr>
          <w:vertAlign w:val="superscript"/>
          <w:lang w:val="fr-CH"/>
        </w:rPr>
        <w:t>er</w:t>
      </w:r>
      <w:r w:rsidRPr="00BA0BDF">
        <w:rPr>
          <w:lang w:val="fr-CH"/>
        </w:rPr>
        <w:t> janvier 2021.</w:t>
      </w:r>
    </w:p>
    <w:p w:rsidR="00117CD8" w:rsidRPr="00BA0BDF" w:rsidRDefault="00117CD8" w:rsidP="00117CD8">
      <w:pPr>
        <w:pStyle w:val="SingleTxt"/>
        <w:jc w:val="right"/>
        <w:rPr>
          <w:lang w:val="fr-CH"/>
        </w:rPr>
      </w:pPr>
      <w:r w:rsidRPr="00BA0BDF">
        <w:rPr>
          <w:lang w:val="fr-CH"/>
        </w:rPr>
        <w:t xml:space="preserve">Priorité : 1 </w:t>
      </w:r>
    </w:p>
    <w:p w:rsidR="00117CD8" w:rsidRDefault="00117CD8" w:rsidP="00117CD8">
      <w:pPr>
        <w:pStyle w:val="SingleTxtG"/>
        <w:rPr>
          <w:i/>
          <w:iCs/>
        </w:rPr>
      </w:pPr>
      <w:r>
        <w:rPr>
          <w:i/>
          <w:iCs/>
        </w:rPr>
        <w:t>(Document de référence: ECE/TRANS/WP.15/2015/13)</w:t>
      </w:r>
    </w:p>
    <w:p w:rsidR="00117CD8" w:rsidRDefault="00117CD8">
      <w:pPr>
        <w:suppressAutoHyphens w:val="0"/>
        <w:spacing w:line="240" w:lineRule="auto"/>
        <w:rPr>
          <w:b/>
          <w:sz w:val="28"/>
          <w:lang w:val="fr-FR"/>
        </w:rPr>
      </w:pPr>
      <w:r>
        <w:rPr>
          <w:lang w:val="fr-FR"/>
        </w:rPr>
        <w:br w:type="page"/>
      </w:r>
    </w:p>
    <w:p w:rsidR="00614EFC" w:rsidRPr="005915A5" w:rsidRDefault="00614EFC" w:rsidP="00614EFC">
      <w:pPr>
        <w:pStyle w:val="HChG"/>
        <w:rPr>
          <w:lang w:val="fr-FR"/>
        </w:rPr>
      </w:pPr>
      <w:r w:rsidRPr="005915A5">
        <w:rPr>
          <w:lang w:val="fr-FR"/>
        </w:rPr>
        <w:lastRenderedPageBreak/>
        <w:t>Annexe I</w:t>
      </w:r>
      <w:r>
        <w:rPr>
          <w:lang w:val="fr-FR"/>
        </w:rPr>
        <w:t>II</w:t>
      </w:r>
    </w:p>
    <w:p w:rsidR="00614EFC" w:rsidRPr="005915A5" w:rsidRDefault="00614EFC" w:rsidP="00614EFC">
      <w:pPr>
        <w:pStyle w:val="HChG"/>
        <w:rPr>
          <w:lang w:val="fr-FR"/>
        </w:rPr>
      </w:pPr>
      <w:r w:rsidRPr="005915A5">
        <w:rPr>
          <w:lang w:val="fr-FR"/>
        </w:rPr>
        <w:tab/>
      </w:r>
      <w:r w:rsidRPr="005915A5">
        <w:rPr>
          <w:lang w:val="fr-FR"/>
        </w:rPr>
        <w:tab/>
        <w:t xml:space="preserve">Projet </w:t>
      </w:r>
      <w:r w:rsidRPr="00614EFC">
        <w:rPr>
          <w:lang w:val="fr-FR"/>
        </w:rPr>
        <w:t>de programme de travail pour</w:t>
      </w:r>
      <w:r>
        <w:rPr>
          <w:lang w:val="fr-FR"/>
        </w:rPr>
        <w:t xml:space="preserve"> 2016-2017</w:t>
      </w:r>
    </w:p>
    <w:p w:rsidR="00117CD8" w:rsidRPr="00367416" w:rsidRDefault="00117CD8" w:rsidP="00117CD8">
      <w:pPr>
        <w:pStyle w:val="H1G"/>
        <w:rPr>
          <w:lang w:val="fr-FR"/>
        </w:rPr>
      </w:pPr>
      <w:r w:rsidRPr="00367416">
        <w:rPr>
          <w:lang w:val="fr-FR"/>
        </w:rPr>
        <w:tab/>
      </w:r>
      <w:r w:rsidRPr="00367416">
        <w:rPr>
          <w:lang w:val="fr-FR"/>
        </w:rPr>
        <w:tab/>
        <w:t>Module 9</w:t>
      </w:r>
      <w:r w:rsidRPr="00367416">
        <w:rPr>
          <w:lang w:val="fr-FR"/>
        </w:rPr>
        <w:br/>
        <w:t>Transport des marchandises dangereuses (CEE)</w:t>
      </w:r>
    </w:p>
    <w:tbl>
      <w:tblPr>
        <w:tblStyle w:val="TableGrid"/>
        <w:tblW w:w="7370" w:type="dxa"/>
        <w:tblInd w:w="1134" w:type="dxa"/>
        <w:tblBorders>
          <w:left w:val="none" w:sz="0" w:space="0" w:color="auto"/>
          <w:bottom w:val="single" w:sz="12"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5103"/>
        <w:gridCol w:w="2267"/>
      </w:tblGrid>
      <w:tr w:rsidR="00117CD8" w:rsidRPr="00122210" w:rsidTr="00F70CE8">
        <w:trPr>
          <w:tblHeader/>
        </w:trPr>
        <w:tc>
          <w:tcPr>
            <w:tcW w:w="5103" w:type="dxa"/>
            <w:tcBorders>
              <w:top w:val="single" w:sz="4" w:space="0" w:color="auto"/>
              <w:bottom w:val="single" w:sz="12" w:space="0" w:color="auto"/>
            </w:tcBorders>
            <w:shd w:val="clear" w:color="auto" w:fill="auto"/>
            <w:vAlign w:val="bottom"/>
            <w:hideMark/>
          </w:tcPr>
          <w:p w:rsidR="00117CD8" w:rsidRPr="00122210" w:rsidRDefault="00117CD8" w:rsidP="00F70CE8">
            <w:pPr>
              <w:suppressAutoHyphens w:val="0"/>
              <w:spacing w:before="80" w:after="80" w:line="200" w:lineRule="exact"/>
              <w:ind w:right="113"/>
              <w:rPr>
                <w:i/>
                <w:sz w:val="16"/>
                <w:lang w:val="fr-FR"/>
              </w:rPr>
            </w:pPr>
            <w:r w:rsidRPr="00122210">
              <w:rPr>
                <w:i/>
                <w:sz w:val="16"/>
                <w:lang w:val="fr-FR"/>
              </w:rPr>
              <w:t>Description du module (facultatif)</w:t>
            </w:r>
          </w:p>
        </w:tc>
        <w:tc>
          <w:tcPr>
            <w:tcW w:w="2267" w:type="dxa"/>
            <w:tcBorders>
              <w:top w:val="single" w:sz="4" w:space="0" w:color="auto"/>
              <w:bottom w:val="single" w:sz="12" w:space="0" w:color="auto"/>
            </w:tcBorders>
            <w:shd w:val="clear" w:color="auto" w:fill="auto"/>
            <w:vAlign w:val="bottom"/>
            <w:hideMark/>
          </w:tcPr>
          <w:p w:rsidR="00117CD8" w:rsidRPr="00122210" w:rsidRDefault="00117CD8" w:rsidP="00F70CE8">
            <w:pPr>
              <w:suppressAutoHyphens w:val="0"/>
              <w:spacing w:before="80" w:after="80" w:line="200" w:lineRule="exact"/>
              <w:ind w:right="113"/>
              <w:rPr>
                <w:i/>
                <w:sz w:val="16"/>
                <w:lang w:val="fr-FR"/>
              </w:rPr>
            </w:pPr>
            <w:r w:rsidRPr="00122210">
              <w:rPr>
                <w:i/>
                <w:sz w:val="16"/>
                <w:lang w:val="fr-FR"/>
              </w:rPr>
              <w:t>Réalisations escomptées</w:t>
            </w:r>
          </w:p>
        </w:tc>
      </w:tr>
      <w:tr w:rsidR="00117CD8" w:rsidRPr="00122210" w:rsidTr="00F70CE8">
        <w:trPr>
          <w:trHeight w:hRule="exact" w:val="113"/>
          <w:tblHeader/>
        </w:trPr>
        <w:tc>
          <w:tcPr>
            <w:tcW w:w="5103" w:type="dxa"/>
            <w:tcBorders>
              <w:top w:val="single" w:sz="12" w:space="0" w:color="auto"/>
            </w:tcBorders>
            <w:shd w:val="clear" w:color="auto" w:fill="auto"/>
          </w:tcPr>
          <w:p w:rsidR="00117CD8" w:rsidRPr="00122210" w:rsidRDefault="00117CD8" w:rsidP="00F70CE8">
            <w:pPr>
              <w:suppressAutoHyphens w:val="0"/>
              <w:spacing w:before="40" w:after="120" w:line="220" w:lineRule="exact"/>
              <w:ind w:right="113"/>
              <w:rPr>
                <w:lang w:val="fr-FR"/>
              </w:rPr>
            </w:pPr>
          </w:p>
        </w:tc>
        <w:tc>
          <w:tcPr>
            <w:tcW w:w="2267" w:type="dxa"/>
            <w:tcBorders>
              <w:top w:val="single" w:sz="12" w:space="0" w:color="auto"/>
            </w:tcBorders>
            <w:shd w:val="clear" w:color="auto" w:fill="auto"/>
          </w:tcPr>
          <w:p w:rsidR="00117CD8" w:rsidRPr="00122210" w:rsidRDefault="00117CD8" w:rsidP="00F70CE8">
            <w:pPr>
              <w:suppressAutoHyphens w:val="0"/>
              <w:spacing w:before="40" w:after="120" w:line="220" w:lineRule="exact"/>
              <w:ind w:right="113"/>
              <w:rPr>
                <w:lang w:val="fr-FR"/>
              </w:rPr>
            </w:pPr>
          </w:p>
        </w:tc>
      </w:tr>
      <w:tr w:rsidR="00117CD8" w:rsidRPr="00122210" w:rsidTr="00F70CE8">
        <w:tc>
          <w:tcPr>
            <w:tcW w:w="5103" w:type="dxa"/>
            <w:shd w:val="clear" w:color="auto" w:fill="auto"/>
            <w:hideMark/>
          </w:tcPr>
          <w:p w:rsidR="00117CD8" w:rsidRPr="00D51D0D" w:rsidRDefault="00117CD8" w:rsidP="00F70CE8">
            <w:pPr>
              <w:suppressAutoHyphens w:val="0"/>
              <w:spacing w:before="40" w:after="120" w:line="220" w:lineRule="exact"/>
              <w:ind w:right="113"/>
              <w:rPr>
                <w:sz w:val="18"/>
                <w:szCs w:val="18"/>
                <w:lang w:val="fr-FR"/>
              </w:rPr>
            </w:pPr>
            <w:r w:rsidRPr="00D51D0D">
              <w:rPr>
                <w:sz w:val="18"/>
                <w:szCs w:val="18"/>
                <w:lang w:val="fr-FR"/>
              </w:rPr>
              <w:t>Examen des règlements et des questions techniques concernant le transport international des marchandises dangereuses dans la région. Élaboration de nouveaux accords internationaux et harmonisation et modification des accords en vigueur dans ce domaine afin d’améliorer la sûreté et la sécurité tout en contribuant à la protection de l’environnement et en facilitant les échanges, en collaboration avec le Comité d’experts du transport des marchandises dangereuses et du Système général harmonisé de classification et d’étiquetage des produits chimiques du Conseil économique et social.</w:t>
            </w:r>
          </w:p>
          <w:p w:rsidR="00117CD8" w:rsidRPr="00D51D0D" w:rsidRDefault="00117CD8" w:rsidP="00F70CE8">
            <w:pPr>
              <w:suppressAutoHyphens w:val="0"/>
              <w:spacing w:before="40" w:after="120" w:line="220" w:lineRule="exact"/>
              <w:ind w:right="113"/>
              <w:rPr>
                <w:sz w:val="18"/>
                <w:szCs w:val="18"/>
                <w:lang w:val="fr-FR"/>
              </w:rPr>
            </w:pPr>
            <w:r w:rsidRPr="00D51D0D">
              <w:rPr>
                <w:sz w:val="18"/>
                <w:szCs w:val="18"/>
                <w:lang w:val="fr-FR"/>
              </w:rPr>
              <w:t>Principales tâches de la Division des transports:</w:t>
            </w:r>
          </w:p>
          <w:p w:rsidR="00117CD8" w:rsidRPr="00D51D0D" w:rsidRDefault="00117CD8" w:rsidP="00117CD8">
            <w:pPr>
              <w:numPr>
                <w:ilvl w:val="0"/>
                <w:numId w:val="6"/>
              </w:numPr>
              <w:tabs>
                <w:tab w:val="clear" w:pos="284"/>
                <w:tab w:val="left" w:pos="166"/>
                <w:tab w:val="num" w:pos="312"/>
                <w:tab w:val="num" w:pos="670"/>
              </w:tabs>
              <w:spacing w:after="120"/>
              <w:ind w:left="166" w:right="212" w:hanging="166"/>
              <w:jc w:val="both"/>
              <w:rPr>
                <w:sz w:val="18"/>
                <w:szCs w:val="18"/>
                <w:lang w:val="fr-FR"/>
              </w:rPr>
            </w:pPr>
            <w:r w:rsidRPr="00D51D0D">
              <w:rPr>
                <w:sz w:val="18"/>
                <w:szCs w:val="18"/>
                <w:lang w:val="fr-FR"/>
              </w:rPr>
              <w:t xml:space="preserve">Assurer le secrétariat des </w:t>
            </w:r>
            <w:r w:rsidRPr="000E05B3">
              <w:rPr>
                <w:sz w:val="18"/>
                <w:szCs w:val="18"/>
              </w:rPr>
              <w:t>organes</w:t>
            </w:r>
            <w:r w:rsidRPr="00D51D0D">
              <w:rPr>
                <w:sz w:val="18"/>
                <w:szCs w:val="18"/>
                <w:lang w:val="fr-FR"/>
              </w:rPr>
              <w:t xml:space="preserve"> ci-après:</w:t>
            </w:r>
          </w:p>
          <w:p w:rsidR="00117CD8" w:rsidRDefault="00117CD8" w:rsidP="00F70CE8">
            <w:pPr>
              <w:tabs>
                <w:tab w:val="num" w:pos="851"/>
                <w:tab w:val="num" w:pos="1440"/>
              </w:tabs>
              <w:spacing w:after="120"/>
              <w:ind w:left="340" w:right="210"/>
              <w:jc w:val="both"/>
              <w:rPr>
                <w:sz w:val="18"/>
                <w:szCs w:val="18"/>
                <w:lang w:val="fr-FR"/>
              </w:rPr>
            </w:pPr>
            <w:r w:rsidRPr="00D51D0D">
              <w:rPr>
                <w:sz w:val="18"/>
                <w:szCs w:val="18"/>
                <w:lang w:val="fr-FR"/>
              </w:rPr>
              <w:t>1.</w:t>
            </w:r>
            <w:r w:rsidRPr="00D51D0D">
              <w:rPr>
                <w:sz w:val="18"/>
                <w:szCs w:val="18"/>
                <w:lang w:val="fr-FR"/>
              </w:rPr>
              <w:tab/>
              <w:t xml:space="preserve">Le Groupe de travail des transports de marchandises dangereuses (WP.15) du Comité des transports intérieurs de la CEE, qui s’occupe principalement des </w:t>
            </w:r>
            <w:r w:rsidRPr="000E05B3">
              <w:rPr>
                <w:sz w:val="18"/>
                <w:szCs w:val="18"/>
              </w:rPr>
              <w:t>questions</w:t>
            </w:r>
            <w:r w:rsidRPr="00D51D0D">
              <w:rPr>
                <w:sz w:val="18"/>
                <w:szCs w:val="18"/>
                <w:lang w:val="fr-FR"/>
              </w:rPr>
              <w:t xml:space="preserve"> se rapportant à l’Accord européen relatif au transport international des marchandises dangereuses par route (ADR), c’est-à-dire des questions concernant les transports routiers (construction et homologation des véhicules, utilisation des véhicules, formation des conducteurs, sécurité dans les tunnels routiers, etc.);</w:t>
            </w:r>
          </w:p>
          <w:p w:rsidR="00117CD8" w:rsidRDefault="00117CD8" w:rsidP="00F70CE8">
            <w:pPr>
              <w:tabs>
                <w:tab w:val="num" w:pos="851"/>
                <w:tab w:val="num" w:pos="1440"/>
              </w:tabs>
              <w:spacing w:after="120"/>
              <w:ind w:left="340" w:right="212"/>
              <w:jc w:val="both"/>
              <w:rPr>
                <w:sz w:val="18"/>
                <w:szCs w:val="18"/>
                <w:lang w:val="fr-FR"/>
              </w:rPr>
            </w:pPr>
            <w:r w:rsidRPr="00D51D0D">
              <w:rPr>
                <w:sz w:val="18"/>
                <w:szCs w:val="18"/>
                <w:lang w:val="fr-FR"/>
              </w:rPr>
              <w:t>2.</w:t>
            </w:r>
            <w:r w:rsidRPr="00D51D0D">
              <w:rPr>
                <w:sz w:val="18"/>
                <w:szCs w:val="18"/>
                <w:lang w:val="fr-FR"/>
              </w:rPr>
              <w:tab/>
              <w:t xml:space="preserve">La Réunion commune de la Commission d’experts du Règlement concernant le transport international ferroviaire des marchandises dangereuses (RID) et du Groupe de travail des transports de marchandises dangereuses (Réunion commune RID/ADR/ADN) (WP.15/AC.1) (avec la collaboration du secrétariat de l’Organisation intergouvernementale pour les transports internationaux </w:t>
            </w:r>
            <w:r w:rsidRPr="000E05B3">
              <w:rPr>
                <w:sz w:val="18"/>
                <w:szCs w:val="18"/>
              </w:rPr>
              <w:t>ferroviaires</w:t>
            </w:r>
            <w:r w:rsidRPr="00D51D0D">
              <w:rPr>
                <w:sz w:val="18"/>
                <w:szCs w:val="18"/>
                <w:lang w:val="fr-FR"/>
              </w:rPr>
              <w:t xml:space="preserve"> (OTIF)), pour toutes les questions communes aux trois modes de transport intérieur, telles que celles relatives à la classification, l’inventaire et l’emballage des marchandises dangereuses ainsi qu’aux citernes et conteneurs destinés à celles-ci;</w:t>
            </w:r>
          </w:p>
          <w:p w:rsidR="00117CD8" w:rsidRDefault="00117CD8" w:rsidP="00F70CE8">
            <w:pPr>
              <w:tabs>
                <w:tab w:val="num" w:pos="851"/>
                <w:tab w:val="num" w:pos="1440"/>
              </w:tabs>
              <w:spacing w:after="120"/>
              <w:ind w:left="340" w:right="212"/>
              <w:jc w:val="both"/>
              <w:rPr>
                <w:sz w:val="18"/>
                <w:szCs w:val="18"/>
                <w:lang w:val="fr-FR"/>
              </w:rPr>
            </w:pPr>
            <w:r w:rsidRPr="00D51D0D">
              <w:rPr>
                <w:sz w:val="18"/>
                <w:szCs w:val="18"/>
                <w:lang w:val="fr-FR"/>
              </w:rPr>
              <w:t>3.</w:t>
            </w:r>
            <w:r w:rsidRPr="00D51D0D">
              <w:rPr>
                <w:sz w:val="18"/>
                <w:szCs w:val="18"/>
                <w:lang w:val="fr-FR"/>
              </w:rPr>
              <w:tab/>
              <w:t xml:space="preserve">La Réunion commune d’experts sur le Règlement annexé à l’Accord européen relatif au transport international des marchandises dangereuses par voies de navigation intérieures (ADN) (Comité de sécurité de l’ADN) (WP.15/AC.2) et le Comité de gestion de l’ADN (avec la collaboration de la Commission centrale pour la navigation du Rhin (CCNR)), pour toutes les questions </w:t>
            </w:r>
            <w:r w:rsidRPr="000E05B3">
              <w:rPr>
                <w:sz w:val="18"/>
                <w:szCs w:val="18"/>
              </w:rPr>
              <w:t>concernant</w:t>
            </w:r>
            <w:r w:rsidRPr="00D51D0D">
              <w:rPr>
                <w:sz w:val="18"/>
                <w:szCs w:val="18"/>
                <w:lang w:val="fr-FR"/>
              </w:rPr>
              <w:t xml:space="preserve"> la navigation intérieure, telles que la construction, l’homologation et l’exploitation des bateaux, les transports en </w:t>
            </w:r>
            <w:r w:rsidRPr="00D51D0D">
              <w:rPr>
                <w:sz w:val="18"/>
                <w:szCs w:val="18"/>
                <w:lang w:val="fr-FR"/>
              </w:rPr>
              <w:lastRenderedPageBreak/>
              <w:t>bateaux-citernes ainsi que la formation des équipages et le contrôle de leurs connaissances.</w:t>
            </w:r>
          </w:p>
          <w:p w:rsidR="00117CD8" w:rsidRDefault="00117CD8" w:rsidP="00117CD8">
            <w:pPr>
              <w:numPr>
                <w:ilvl w:val="0"/>
                <w:numId w:val="7"/>
              </w:numPr>
              <w:tabs>
                <w:tab w:val="clear" w:pos="284"/>
                <w:tab w:val="left" w:pos="166"/>
                <w:tab w:val="num" w:pos="312"/>
                <w:tab w:val="num" w:pos="670"/>
              </w:tabs>
              <w:spacing w:after="120"/>
              <w:ind w:left="166" w:right="212" w:hanging="166"/>
              <w:jc w:val="both"/>
              <w:rPr>
                <w:sz w:val="18"/>
                <w:szCs w:val="18"/>
                <w:lang w:val="fr-FR"/>
              </w:rPr>
            </w:pPr>
            <w:r w:rsidRPr="000E05B3">
              <w:rPr>
                <w:sz w:val="18"/>
                <w:szCs w:val="18"/>
                <w:lang w:val="fr-FR"/>
              </w:rPr>
              <w:t xml:space="preserve">Administrer l’ADR et l’ADN (comprenant notamment les activités suivantes, menées en collaboration avec la Section des traités de l’ONU: unification et vérification des textes juridiques, modification, notifications dépositaires, </w:t>
            </w:r>
            <w:r w:rsidRPr="000E05B3">
              <w:rPr>
                <w:sz w:val="18"/>
                <w:szCs w:val="18"/>
              </w:rPr>
              <w:t>enregistrement</w:t>
            </w:r>
            <w:r w:rsidRPr="000E05B3">
              <w:rPr>
                <w:sz w:val="18"/>
                <w:szCs w:val="18"/>
                <w:lang w:val="fr-FR"/>
              </w:rPr>
              <w:t xml:space="preserve"> et </w:t>
            </w:r>
            <w:r w:rsidRPr="000E05B3">
              <w:rPr>
                <w:sz w:val="18"/>
                <w:szCs w:val="18"/>
              </w:rPr>
              <w:t>notification</w:t>
            </w:r>
            <w:r w:rsidRPr="000E05B3">
              <w:rPr>
                <w:sz w:val="18"/>
                <w:szCs w:val="18"/>
                <w:lang w:val="fr-FR"/>
              </w:rPr>
              <w:t xml:space="preserve"> des accords bilatéraux ou multilatéraux conclus par des Parties par dérogation aux dispositions de l’ADR ou de l’ADN, délivrance des autorisations spéciales, etc.);</w:t>
            </w:r>
          </w:p>
          <w:p w:rsidR="00117CD8" w:rsidRDefault="00117CD8" w:rsidP="00117CD8">
            <w:pPr>
              <w:numPr>
                <w:ilvl w:val="0"/>
                <w:numId w:val="7"/>
              </w:numPr>
              <w:tabs>
                <w:tab w:val="clear" w:pos="284"/>
                <w:tab w:val="left" w:pos="166"/>
                <w:tab w:val="num" w:pos="312"/>
                <w:tab w:val="num" w:pos="670"/>
              </w:tabs>
              <w:spacing w:after="120"/>
              <w:ind w:left="166" w:right="212" w:hanging="166"/>
              <w:jc w:val="both"/>
              <w:rPr>
                <w:sz w:val="18"/>
                <w:szCs w:val="18"/>
                <w:lang w:val="fr-FR"/>
              </w:rPr>
            </w:pPr>
            <w:r w:rsidRPr="00D51D0D">
              <w:rPr>
                <w:sz w:val="18"/>
                <w:szCs w:val="18"/>
                <w:lang w:val="fr-FR"/>
              </w:rPr>
              <w:t>Publier tous les deux ans les versions récapitulatives de l’ADR et de l’ADN;</w:t>
            </w:r>
          </w:p>
          <w:p w:rsidR="00117CD8" w:rsidRDefault="00117CD8" w:rsidP="00117CD8">
            <w:pPr>
              <w:numPr>
                <w:ilvl w:val="0"/>
                <w:numId w:val="7"/>
              </w:numPr>
              <w:tabs>
                <w:tab w:val="clear" w:pos="284"/>
                <w:tab w:val="left" w:pos="166"/>
                <w:tab w:val="num" w:pos="312"/>
                <w:tab w:val="num" w:pos="670"/>
              </w:tabs>
              <w:spacing w:after="120"/>
              <w:ind w:left="166" w:right="212" w:hanging="166"/>
              <w:jc w:val="both"/>
              <w:rPr>
                <w:sz w:val="18"/>
                <w:szCs w:val="18"/>
                <w:lang w:val="fr-FR"/>
              </w:rPr>
            </w:pPr>
            <w:r w:rsidRPr="00D51D0D">
              <w:rPr>
                <w:sz w:val="18"/>
                <w:szCs w:val="18"/>
                <w:lang w:val="fr-FR"/>
              </w:rPr>
              <w:t>Coopérer avec des gouvernements et des organisations internationales;</w:t>
            </w:r>
          </w:p>
          <w:p w:rsidR="00117CD8" w:rsidRPr="000E05B3" w:rsidRDefault="00117CD8" w:rsidP="00117CD8">
            <w:pPr>
              <w:numPr>
                <w:ilvl w:val="0"/>
                <w:numId w:val="7"/>
              </w:numPr>
              <w:tabs>
                <w:tab w:val="clear" w:pos="284"/>
                <w:tab w:val="left" w:pos="166"/>
                <w:tab w:val="num" w:pos="312"/>
                <w:tab w:val="num" w:pos="670"/>
              </w:tabs>
              <w:spacing w:after="120"/>
              <w:ind w:left="166" w:right="212" w:hanging="166"/>
              <w:jc w:val="both"/>
              <w:rPr>
                <w:sz w:val="18"/>
                <w:szCs w:val="18"/>
                <w:lang w:val="fr-FR"/>
              </w:rPr>
            </w:pPr>
            <w:r w:rsidRPr="000E05B3">
              <w:rPr>
                <w:sz w:val="18"/>
                <w:szCs w:val="18"/>
                <w:lang w:val="fr-FR"/>
              </w:rPr>
              <w:t>Fournir des conseils et assurer des formations sur le plan technique, ou participer à des conférences, séminaires ou ateliers d’assistance ou d’information technique (à la demande et en fonction des ressources disponibles).</w:t>
            </w:r>
          </w:p>
        </w:tc>
        <w:tc>
          <w:tcPr>
            <w:tcW w:w="2267" w:type="dxa"/>
            <w:shd w:val="clear" w:color="auto" w:fill="auto"/>
            <w:hideMark/>
          </w:tcPr>
          <w:p w:rsidR="00117CD8" w:rsidRPr="00D51D0D" w:rsidRDefault="00117CD8" w:rsidP="00F70CE8">
            <w:pPr>
              <w:suppressAutoHyphens w:val="0"/>
              <w:spacing w:before="40" w:after="120" w:line="220" w:lineRule="exact"/>
              <w:ind w:right="113"/>
              <w:rPr>
                <w:sz w:val="18"/>
                <w:szCs w:val="18"/>
                <w:lang w:val="fr-FR"/>
              </w:rPr>
            </w:pPr>
            <w:r w:rsidRPr="00D51D0D">
              <w:rPr>
                <w:sz w:val="18"/>
                <w:szCs w:val="18"/>
                <w:lang w:val="fr-FR"/>
              </w:rPr>
              <w:lastRenderedPageBreak/>
              <w:t>Adoption d’amendements à l’Accord européen relatif au transport international des marchandises dangereuses par route (ADR) et, à l’issue d’activités communes respectivement menées avec l’Organisation intergouvernementale des transports internationaux ferroviaires (OTIF) et la Commission centrale pour la navigation du Rhin (CCNR), d’amendements au Règlement international concernant le transport des marchandises dangereuses par chemin de fer (RID) et à l’Accord européen relatif au transport international des marchandises dangereuses par voies de navigation intérieures (ADN), afin de préserver l’harmonie et la cohérence du dispositif réglementaire applicable au transport des marchandises dangereuses tout en le maintenant au niveau nécessaire de sûreté, de sécurité et de protection de l’environnement, en se fondant sur les Recommandations de l’ONU relatives au transport des marchandises dangereuses; mise en application effective par les législations internationale et nationale.</w:t>
            </w:r>
          </w:p>
          <w:p w:rsidR="00117CD8" w:rsidRPr="00D51D0D" w:rsidRDefault="00117CD8" w:rsidP="00F70CE8">
            <w:pPr>
              <w:suppressAutoHyphens w:val="0"/>
              <w:spacing w:before="40" w:after="120" w:line="220" w:lineRule="exact"/>
              <w:ind w:right="113"/>
              <w:rPr>
                <w:sz w:val="18"/>
                <w:szCs w:val="18"/>
                <w:lang w:val="fr-FR"/>
              </w:rPr>
            </w:pPr>
            <w:r w:rsidRPr="00D51D0D">
              <w:rPr>
                <w:sz w:val="18"/>
                <w:szCs w:val="18"/>
                <w:lang w:val="fr-FR"/>
              </w:rPr>
              <w:t xml:space="preserve">[Élaboration des recommandations et/ou d’orientations fondées sur la feuille de route pour la mise en œuvre de l’ADR adoptées à la quatre-vingt-treizième </w:t>
            </w:r>
            <w:r w:rsidRPr="00D51D0D">
              <w:rPr>
                <w:sz w:val="18"/>
                <w:szCs w:val="18"/>
                <w:lang w:val="fr-FR"/>
              </w:rPr>
              <w:lastRenderedPageBreak/>
              <w:t>session du Groupe de travail.]</w:t>
            </w:r>
          </w:p>
        </w:tc>
      </w:tr>
    </w:tbl>
    <w:p w:rsidR="00117CD8" w:rsidRPr="00367416" w:rsidRDefault="00117CD8" w:rsidP="00117CD8">
      <w:pPr>
        <w:pStyle w:val="H23G"/>
        <w:rPr>
          <w:lang w:val="fr-FR"/>
        </w:rPr>
      </w:pPr>
      <w:r w:rsidRPr="00367416">
        <w:rPr>
          <w:lang w:val="fr-FR"/>
        </w:rPr>
        <w:lastRenderedPageBreak/>
        <w:tab/>
      </w:r>
      <w:r w:rsidRPr="00367416">
        <w:rPr>
          <w:lang w:val="fr-FR"/>
        </w:rPr>
        <w:tab/>
        <w:t>Produits/activités</w:t>
      </w:r>
    </w:p>
    <w:p w:rsidR="00117CD8" w:rsidRPr="00367416" w:rsidRDefault="00117CD8" w:rsidP="00117CD8">
      <w:pPr>
        <w:pStyle w:val="H4G"/>
        <w:rPr>
          <w:lang w:val="fr-FR"/>
        </w:rPr>
      </w:pPr>
      <w:r w:rsidRPr="00367416">
        <w:rPr>
          <w:lang w:val="fr-FR"/>
        </w:rPr>
        <w:tab/>
        <w:t>a)</w:t>
      </w:r>
      <w:r w:rsidRPr="00367416">
        <w:rPr>
          <w:lang w:val="fr-FR"/>
        </w:rPr>
        <w:tab/>
        <w:t>Séances et documents correspondants</w:t>
      </w:r>
    </w:p>
    <w:p w:rsidR="00117CD8" w:rsidRPr="00367416" w:rsidRDefault="00117CD8" w:rsidP="00117CD8">
      <w:pPr>
        <w:pStyle w:val="SingleTxtG"/>
        <w:ind w:left="1701" w:hanging="567"/>
        <w:rPr>
          <w:lang w:val="fr-FR"/>
        </w:rPr>
      </w:pPr>
      <w:r w:rsidRPr="00367416">
        <w:rPr>
          <w:lang w:val="fr-FR"/>
        </w:rPr>
        <w:t>9.1</w:t>
      </w:r>
      <w:r w:rsidRPr="00367416">
        <w:rPr>
          <w:lang w:val="fr-FR"/>
        </w:rPr>
        <w:tab/>
        <w:t>Groupe de travail des transports de marchandises dangereuses (</w:t>
      </w:r>
      <w:r>
        <w:rPr>
          <w:lang w:val="fr-FR"/>
        </w:rPr>
        <w:t>centième</w:t>
      </w:r>
      <w:r w:rsidRPr="00367416">
        <w:rPr>
          <w:lang w:val="fr-FR"/>
        </w:rPr>
        <w:t xml:space="preserve"> et </w:t>
      </w:r>
      <w:r>
        <w:rPr>
          <w:lang w:val="fr-FR"/>
        </w:rPr>
        <w:t>cent-unième</w:t>
      </w:r>
      <w:r w:rsidRPr="00367416">
        <w:rPr>
          <w:lang w:val="fr-FR"/>
        </w:rPr>
        <w:t xml:space="preserve"> sessions en </w:t>
      </w:r>
      <w:r>
        <w:rPr>
          <w:lang w:val="fr-FR"/>
        </w:rPr>
        <w:t>2016</w:t>
      </w:r>
      <w:r w:rsidRPr="00367416">
        <w:rPr>
          <w:lang w:val="fr-FR"/>
        </w:rPr>
        <w:t xml:space="preserve">, </w:t>
      </w:r>
      <w:r>
        <w:rPr>
          <w:lang w:val="fr-FR"/>
        </w:rPr>
        <w:t>cent-deuxième</w:t>
      </w:r>
      <w:r w:rsidRPr="00367416">
        <w:rPr>
          <w:lang w:val="fr-FR"/>
        </w:rPr>
        <w:t xml:space="preserve"> et </w:t>
      </w:r>
      <w:r>
        <w:rPr>
          <w:lang w:val="fr-FR"/>
        </w:rPr>
        <w:t>cent-troisième</w:t>
      </w:r>
      <w:r w:rsidRPr="00367416">
        <w:rPr>
          <w:lang w:val="fr-FR"/>
        </w:rPr>
        <w:t xml:space="preserve"> sessions en </w:t>
      </w:r>
      <w:r>
        <w:rPr>
          <w:lang w:val="fr-FR"/>
        </w:rPr>
        <w:t>2017</w:t>
      </w:r>
      <w:r w:rsidRPr="00367416">
        <w:rPr>
          <w:lang w:val="fr-FR"/>
        </w:rPr>
        <w:t>) (</w:t>
      </w:r>
      <w:r>
        <w:rPr>
          <w:lang w:val="fr-FR"/>
        </w:rPr>
        <w:t>36</w:t>
      </w:r>
      <w:r w:rsidRPr="00367416">
        <w:rPr>
          <w:lang w:val="fr-FR"/>
        </w:rPr>
        <w:t> séances)</w:t>
      </w:r>
    </w:p>
    <w:p w:rsidR="00117CD8" w:rsidRPr="00367416" w:rsidRDefault="00117CD8" w:rsidP="00117CD8">
      <w:pPr>
        <w:pStyle w:val="H4G"/>
        <w:ind w:left="1701"/>
        <w:rPr>
          <w:lang w:val="fr-FR"/>
        </w:rPr>
      </w:pPr>
      <w:r w:rsidRPr="00367416">
        <w:rPr>
          <w:lang w:val="fr-FR"/>
        </w:rPr>
        <w:tab/>
      </w:r>
      <w:r w:rsidRPr="00367416">
        <w:rPr>
          <w:lang w:val="fr-FR"/>
        </w:rPr>
        <w:tab/>
        <w:t>Documentation</w:t>
      </w:r>
      <w:r w:rsidRPr="00367416">
        <w:rPr>
          <w:i w:val="0"/>
          <w:lang w:val="fr-FR"/>
        </w:rPr>
        <w:t>:</w:t>
      </w:r>
    </w:p>
    <w:p w:rsidR="00117CD8" w:rsidRPr="00367416" w:rsidRDefault="00117CD8" w:rsidP="00117CD8">
      <w:pPr>
        <w:pStyle w:val="SingleTxtG"/>
        <w:keepLines/>
        <w:ind w:left="1701"/>
        <w:rPr>
          <w:lang w:val="fr-FR"/>
        </w:rPr>
      </w:pPr>
      <w:r w:rsidRPr="00367416">
        <w:rPr>
          <w:lang w:val="fr-FR"/>
        </w:rPr>
        <w:t xml:space="preserve">Rapports des sessions (4); deux séries d’autres documents, concernant des amendements aux annexes techniques de l’ADR ou la mise en œuvre de l’Accord; liste récapitulative des amendements à l’ADR qui seront adoptés pour </w:t>
      </w:r>
      <w:proofErr w:type="spellStart"/>
      <w:r w:rsidRPr="00367416">
        <w:rPr>
          <w:lang w:val="fr-FR"/>
        </w:rPr>
        <w:t>entrée</w:t>
      </w:r>
      <w:proofErr w:type="spellEnd"/>
      <w:r w:rsidRPr="00367416">
        <w:rPr>
          <w:lang w:val="fr-FR"/>
        </w:rPr>
        <w:t xml:space="preserve"> en vigueur au 1</w:t>
      </w:r>
      <w:r w:rsidRPr="00367416">
        <w:rPr>
          <w:vertAlign w:val="superscript"/>
          <w:lang w:val="fr-FR"/>
        </w:rPr>
        <w:t>er</w:t>
      </w:r>
      <w:r w:rsidRPr="00367416">
        <w:rPr>
          <w:lang w:val="fr-FR"/>
        </w:rPr>
        <w:t xml:space="preserve"> janvier </w:t>
      </w:r>
      <w:r>
        <w:rPr>
          <w:lang w:val="fr-FR"/>
        </w:rPr>
        <w:t>2017</w:t>
      </w:r>
      <w:r w:rsidRPr="00367416">
        <w:rPr>
          <w:lang w:val="fr-FR"/>
        </w:rPr>
        <w:t>.</w:t>
      </w:r>
    </w:p>
    <w:p w:rsidR="00117CD8" w:rsidRPr="00367416" w:rsidRDefault="00117CD8" w:rsidP="00117CD8">
      <w:pPr>
        <w:pStyle w:val="SingleTxtG"/>
        <w:ind w:left="1701" w:hanging="567"/>
        <w:rPr>
          <w:lang w:val="fr-FR"/>
        </w:rPr>
      </w:pPr>
      <w:r w:rsidRPr="00367416">
        <w:rPr>
          <w:lang w:val="fr-FR"/>
        </w:rPr>
        <w:t>9.2</w:t>
      </w:r>
      <w:r w:rsidRPr="00367416">
        <w:rPr>
          <w:lang w:val="fr-FR"/>
        </w:rPr>
        <w:tab/>
        <w:t xml:space="preserve">Réunion commune de la Commission d’experts du RID et du Groupe de travail des transports de marchandises dangereuses (sessions de printemps et d’automne en </w:t>
      </w:r>
      <w:r>
        <w:rPr>
          <w:lang w:val="fr-FR"/>
        </w:rPr>
        <w:t>2016</w:t>
      </w:r>
      <w:r w:rsidRPr="00367416">
        <w:rPr>
          <w:lang w:val="fr-FR"/>
        </w:rPr>
        <w:t xml:space="preserve"> et en </w:t>
      </w:r>
      <w:r>
        <w:rPr>
          <w:lang w:val="fr-FR"/>
        </w:rPr>
        <w:t>2017</w:t>
      </w:r>
      <w:r w:rsidRPr="00367416">
        <w:rPr>
          <w:lang w:val="fr-FR"/>
        </w:rPr>
        <w:t>) (48 séances).</w:t>
      </w:r>
    </w:p>
    <w:p w:rsidR="00117CD8" w:rsidRPr="00367416" w:rsidRDefault="00117CD8" w:rsidP="00117CD8">
      <w:pPr>
        <w:pStyle w:val="H4G"/>
        <w:ind w:left="1701"/>
        <w:rPr>
          <w:lang w:val="fr-FR"/>
        </w:rPr>
      </w:pPr>
      <w:r w:rsidRPr="00367416">
        <w:rPr>
          <w:lang w:val="fr-FR"/>
        </w:rPr>
        <w:tab/>
      </w:r>
      <w:r w:rsidRPr="00367416">
        <w:rPr>
          <w:lang w:val="fr-FR"/>
        </w:rPr>
        <w:tab/>
        <w:t>Documentation</w:t>
      </w:r>
      <w:r w:rsidRPr="00367416">
        <w:rPr>
          <w:i w:val="0"/>
          <w:lang w:val="fr-FR"/>
        </w:rPr>
        <w:t>:</w:t>
      </w:r>
    </w:p>
    <w:p w:rsidR="00117CD8" w:rsidRPr="00367416" w:rsidRDefault="00117CD8" w:rsidP="00117CD8">
      <w:pPr>
        <w:pStyle w:val="SingleTxtG"/>
        <w:ind w:left="1701"/>
        <w:rPr>
          <w:lang w:val="fr-FR"/>
        </w:rPr>
      </w:pPr>
      <w:r w:rsidRPr="00367416">
        <w:rPr>
          <w:lang w:val="fr-FR"/>
        </w:rPr>
        <w:t>Rapports des sessions (4); deux séries de documents, concernant des amendements à l’ADR, au RID et à l’ADN.</w:t>
      </w:r>
    </w:p>
    <w:p w:rsidR="00117CD8" w:rsidRPr="00367416" w:rsidRDefault="00117CD8" w:rsidP="00117CD8">
      <w:pPr>
        <w:pStyle w:val="SingleTxtG"/>
        <w:ind w:left="1701" w:hanging="567"/>
        <w:rPr>
          <w:lang w:val="fr-FR"/>
        </w:rPr>
      </w:pPr>
      <w:r w:rsidRPr="00367416">
        <w:rPr>
          <w:lang w:val="fr-FR"/>
        </w:rPr>
        <w:t>9.3</w:t>
      </w:r>
      <w:r w:rsidRPr="00367416">
        <w:rPr>
          <w:lang w:val="fr-FR"/>
        </w:rPr>
        <w:tab/>
        <w:t>Réunion commune d’experts sur le Règlement annexé à l’Accord européen relatif au transport international des marchandises dangereuses par voies de navigation intérieures (ADN) (</w:t>
      </w:r>
      <w:r>
        <w:rPr>
          <w:lang w:val="fr-FR"/>
        </w:rPr>
        <w:t>vingt</w:t>
      </w:r>
      <w:r w:rsidRPr="00367416">
        <w:rPr>
          <w:lang w:val="fr-FR"/>
        </w:rPr>
        <w:t>-</w:t>
      </w:r>
      <w:r>
        <w:rPr>
          <w:lang w:val="fr-FR"/>
        </w:rPr>
        <w:t>huitième</w:t>
      </w:r>
      <w:r w:rsidRPr="00367416">
        <w:rPr>
          <w:lang w:val="fr-FR"/>
        </w:rPr>
        <w:t xml:space="preserve"> et </w:t>
      </w:r>
      <w:r>
        <w:rPr>
          <w:lang w:val="fr-FR"/>
        </w:rPr>
        <w:t>vingt</w:t>
      </w:r>
      <w:r w:rsidRPr="00367416">
        <w:rPr>
          <w:lang w:val="fr-FR"/>
        </w:rPr>
        <w:t>-</w:t>
      </w:r>
      <w:r>
        <w:rPr>
          <w:lang w:val="fr-FR"/>
        </w:rPr>
        <w:t>neuvième</w:t>
      </w:r>
      <w:r w:rsidRPr="00367416">
        <w:rPr>
          <w:lang w:val="fr-FR"/>
        </w:rPr>
        <w:t xml:space="preserve"> sessions en </w:t>
      </w:r>
      <w:r>
        <w:rPr>
          <w:lang w:val="fr-FR"/>
        </w:rPr>
        <w:t>2016</w:t>
      </w:r>
      <w:r w:rsidRPr="00367416">
        <w:rPr>
          <w:lang w:val="fr-FR"/>
        </w:rPr>
        <w:t xml:space="preserve">, </w:t>
      </w:r>
      <w:r>
        <w:rPr>
          <w:lang w:val="fr-FR"/>
        </w:rPr>
        <w:t>trentième</w:t>
      </w:r>
      <w:r w:rsidRPr="00367416">
        <w:rPr>
          <w:lang w:val="fr-FR"/>
        </w:rPr>
        <w:t xml:space="preserve"> et </w:t>
      </w:r>
      <w:r>
        <w:rPr>
          <w:lang w:val="fr-FR"/>
        </w:rPr>
        <w:t>trente-et-unième</w:t>
      </w:r>
      <w:r w:rsidRPr="00367416">
        <w:rPr>
          <w:lang w:val="fr-FR"/>
        </w:rPr>
        <w:t xml:space="preserve"> sessions en </w:t>
      </w:r>
      <w:r>
        <w:rPr>
          <w:lang w:val="fr-FR"/>
        </w:rPr>
        <w:t>2017</w:t>
      </w:r>
      <w:r w:rsidRPr="00367416">
        <w:rPr>
          <w:lang w:val="fr-FR"/>
        </w:rPr>
        <w:t>) (36 séances).</w:t>
      </w:r>
    </w:p>
    <w:p w:rsidR="00117CD8" w:rsidRPr="00367416" w:rsidRDefault="00117CD8" w:rsidP="00117CD8">
      <w:pPr>
        <w:pStyle w:val="H4G"/>
        <w:ind w:left="1701"/>
        <w:rPr>
          <w:lang w:val="fr-FR"/>
        </w:rPr>
      </w:pPr>
      <w:r w:rsidRPr="00367416">
        <w:rPr>
          <w:lang w:val="fr-FR"/>
        </w:rPr>
        <w:tab/>
      </w:r>
      <w:r w:rsidRPr="00367416">
        <w:rPr>
          <w:lang w:val="fr-FR"/>
        </w:rPr>
        <w:tab/>
        <w:t>Documentation</w:t>
      </w:r>
      <w:r w:rsidRPr="00367416">
        <w:rPr>
          <w:i w:val="0"/>
          <w:lang w:val="fr-FR"/>
        </w:rPr>
        <w:t>:</w:t>
      </w:r>
    </w:p>
    <w:p w:rsidR="00117CD8" w:rsidRPr="00367416" w:rsidRDefault="00117CD8" w:rsidP="00117CD8">
      <w:pPr>
        <w:pStyle w:val="SingleTxtG"/>
        <w:ind w:left="1701"/>
        <w:rPr>
          <w:lang w:val="fr-FR"/>
        </w:rPr>
      </w:pPr>
      <w:r w:rsidRPr="00367416">
        <w:rPr>
          <w:lang w:val="fr-FR"/>
        </w:rPr>
        <w:t>Rapports des sessions (4); deux séries de documents concernant des amendements au Règlement annexé à l’ADN ou la mise en œuvre de celui-ci.</w:t>
      </w:r>
    </w:p>
    <w:p w:rsidR="00117CD8" w:rsidRPr="00367416" w:rsidRDefault="00117CD8" w:rsidP="00117CD8">
      <w:pPr>
        <w:pStyle w:val="SingleTxtG"/>
        <w:ind w:left="1701" w:hanging="567"/>
        <w:rPr>
          <w:lang w:val="fr-FR"/>
        </w:rPr>
      </w:pPr>
      <w:r w:rsidRPr="00367416">
        <w:rPr>
          <w:lang w:val="fr-FR"/>
        </w:rPr>
        <w:lastRenderedPageBreak/>
        <w:t>9.4</w:t>
      </w:r>
      <w:r w:rsidRPr="00367416">
        <w:rPr>
          <w:lang w:val="fr-FR"/>
        </w:rPr>
        <w:tab/>
        <w:t>Comité de gestion de l’ADN (</w:t>
      </w:r>
      <w:r>
        <w:rPr>
          <w:lang w:val="fr-FR"/>
        </w:rPr>
        <w:t>seizième</w:t>
      </w:r>
      <w:r w:rsidRPr="00367416">
        <w:rPr>
          <w:lang w:val="fr-FR"/>
        </w:rPr>
        <w:t xml:space="preserve"> et </w:t>
      </w:r>
      <w:r>
        <w:rPr>
          <w:lang w:val="fr-FR"/>
        </w:rPr>
        <w:t>dix-septième</w:t>
      </w:r>
      <w:r w:rsidRPr="00367416">
        <w:rPr>
          <w:lang w:val="fr-FR"/>
        </w:rPr>
        <w:t xml:space="preserve"> sessions en </w:t>
      </w:r>
      <w:r>
        <w:rPr>
          <w:lang w:val="fr-FR"/>
        </w:rPr>
        <w:t>2016</w:t>
      </w:r>
      <w:r w:rsidRPr="00367416">
        <w:rPr>
          <w:lang w:val="fr-FR"/>
        </w:rPr>
        <w:t xml:space="preserve">, </w:t>
      </w:r>
      <w:r>
        <w:rPr>
          <w:lang w:val="fr-FR"/>
        </w:rPr>
        <w:t>dix-huitième</w:t>
      </w:r>
      <w:r w:rsidRPr="00367416">
        <w:rPr>
          <w:lang w:val="fr-FR"/>
        </w:rPr>
        <w:t xml:space="preserve"> et </w:t>
      </w:r>
      <w:r>
        <w:rPr>
          <w:lang w:val="fr-FR"/>
        </w:rPr>
        <w:t>dix-neuvième</w:t>
      </w:r>
      <w:r w:rsidRPr="00367416">
        <w:rPr>
          <w:lang w:val="fr-FR"/>
        </w:rPr>
        <w:t xml:space="preserve"> sessions en </w:t>
      </w:r>
      <w:r>
        <w:rPr>
          <w:lang w:val="fr-FR"/>
        </w:rPr>
        <w:t>2017</w:t>
      </w:r>
      <w:r w:rsidRPr="00367416">
        <w:rPr>
          <w:lang w:val="fr-FR"/>
        </w:rPr>
        <w:t>) (4 séances).</w:t>
      </w:r>
    </w:p>
    <w:p w:rsidR="00117CD8" w:rsidRPr="00367416" w:rsidRDefault="00117CD8" w:rsidP="00117CD8">
      <w:pPr>
        <w:pStyle w:val="H4G"/>
        <w:ind w:left="1701"/>
        <w:rPr>
          <w:lang w:val="fr-FR"/>
        </w:rPr>
      </w:pPr>
      <w:r w:rsidRPr="00367416">
        <w:rPr>
          <w:lang w:val="fr-FR"/>
        </w:rPr>
        <w:tab/>
      </w:r>
      <w:r w:rsidRPr="00367416">
        <w:rPr>
          <w:lang w:val="fr-FR"/>
        </w:rPr>
        <w:tab/>
        <w:t>Documentation</w:t>
      </w:r>
      <w:r w:rsidRPr="00367416">
        <w:rPr>
          <w:i w:val="0"/>
          <w:lang w:val="fr-FR"/>
        </w:rPr>
        <w:t>:</w:t>
      </w:r>
    </w:p>
    <w:p w:rsidR="00117CD8" w:rsidRPr="00367416" w:rsidRDefault="00117CD8" w:rsidP="00117CD8">
      <w:pPr>
        <w:pStyle w:val="SingleTxtG"/>
        <w:ind w:left="1701"/>
        <w:rPr>
          <w:lang w:val="fr-FR"/>
        </w:rPr>
      </w:pPr>
      <w:r w:rsidRPr="00367416">
        <w:rPr>
          <w:lang w:val="fr-FR"/>
        </w:rPr>
        <w:t xml:space="preserve">Rapports des sessions (4); deux séries de documents concernant des amendements à l’ADN ou l’administration de celui-ci; liste récapitulative des amendements à l’ADN qui seront adoptés pour </w:t>
      </w:r>
      <w:proofErr w:type="spellStart"/>
      <w:r w:rsidRPr="00367416">
        <w:rPr>
          <w:lang w:val="fr-FR"/>
        </w:rPr>
        <w:t>entrée</w:t>
      </w:r>
      <w:proofErr w:type="spellEnd"/>
      <w:r w:rsidRPr="00367416">
        <w:rPr>
          <w:lang w:val="fr-FR"/>
        </w:rPr>
        <w:t xml:space="preserve"> en vigueur au 1</w:t>
      </w:r>
      <w:r w:rsidRPr="00367416">
        <w:rPr>
          <w:vertAlign w:val="superscript"/>
          <w:lang w:val="fr-FR"/>
        </w:rPr>
        <w:t>er</w:t>
      </w:r>
      <w:r w:rsidRPr="00367416">
        <w:rPr>
          <w:lang w:val="fr-FR"/>
        </w:rPr>
        <w:t xml:space="preserve"> janvier </w:t>
      </w:r>
      <w:r>
        <w:rPr>
          <w:lang w:val="fr-FR"/>
        </w:rPr>
        <w:t>2017</w:t>
      </w:r>
      <w:r w:rsidRPr="00367416">
        <w:rPr>
          <w:lang w:val="fr-FR"/>
        </w:rPr>
        <w:t>.</w:t>
      </w:r>
    </w:p>
    <w:p w:rsidR="00117CD8" w:rsidRPr="00367416" w:rsidRDefault="00117CD8" w:rsidP="00117CD8">
      <w:pPr>
        <w:pStyle w:val="H4G"/>
        <w:rPr>
          <w:iCs/>
          <w:lang w:val="fr-FR"/>
        </w:rPr>
      </w:pPr>
      <w:r w:rsidRPr="00367416">
        <w:rPr>
          <w:lang w:val="fr-FR"/>
        </w:rPr>
        <w:tab/>
        <w:t>b)</w:t>
      </w:r>
      <w:r w:rsidRPr="00367416">
        <w:rPr>
          <w:lang w:val="fr-FR"/>
        </w:rPr>
        <w:tab/>
        <w:t>Publications et autres supports d’information</w:t>
      </w:r>
    </w:p>
    <w:p w:rsidR="00117CD8" w:rsidRPr="00367416" w:rsidRDefault="00117CD8" w:rsidP="00117CD8">
      <w:pPr>
        <w:pStyle w:val="SingleTxtG"/>
        <w:ind w:left="1701" w:hanging="567"/>
        <w:rPr>
          <w:lang w:val="fr-FR"/>
        </w:rPr>
      </w:pPr>
      <w:r w:rsidRPr="00367416">
        <w:rPr>
          <w:szCs w:val="24"/>
          <w:lang w:val="fr-FR"/>
        </w:rPr>
        <w:t>9.5</w:t>
      </w:r>
      <w:r w:rsidRPr="00367416">
        <w:rPr>
          <w:szCs w:val="24"/>
          <w:lang w:val="fr-FR"/>
        </w:rPr>
        <w:tab/>
        <w:t xml:space="preserve">Édition récapitulative révisée de l’ADR pour </w:t>
      </w:r>
      <w:r>
        <w:rPr>
          <w:szCs w:val="24"/>
          <w:lang w:val="fr-FR"/>
        </w:rPr>
        <w:t>2017</w:t>
      </w:r>
      <w:r w:rsidRPr="00367416">
        <w:rPr>
          <w:szCs w:val="24"/>
          <w:lang w:val="fr-FR"/>
        </w:rPr>
        <w:t xml:space="preserve"> (applicable à compter du </w:t>
      </w:r>
      <w:r w:rsidRPr="00367416">
        <w:rPr>
          <w:lang w:val="fr-FR"/>
        </w:rPr>
        <w:t>1</w:t>
      </w:r>
      <w:r w:rsidRPr="00367416">
        <w:rPr>
          <w:vertAlign w:val="superscript"/>
          <w:lang w:val="fr-FR"/>
        </w:rPr>
        <w:t>er</w:t>
      </w:r>
      <w:r w:rsidRPr="00367416">
        <w:rPr>
          <w:lang w:val="fr-FR"/>
        </w:rPr>
        <w:t xml:space="preserve"> janvier </w:t>
      </w:r>
      <w:r>
        <w:rPr>
          <w:lang w:val="fr-FR"/>
        </w:rPr>
        <w:t>2017</w:t>
      </w:r>
      <w:r w:rsidRPr="00367416">
        <w:rPr>
          <w:lang w:val="fr-FR"/>
        </w:rPr>
        <w:t xml:space="preserve">) (versions papier, CD-ROM et en ligne). </w:t>
      </w:r>
    </w:p>
    <w:p w:rsidR="00117CD8" w:rsidRPr="00367416" w:rsidRDefault="00117CD8" w:rsidP="00117CD8">
      <w:pPr>
        <w:pStyle w:val="SingleTxtG"/>
        <w:ind w:left="1701" w:hanging="567"/>
        <w:rPr>
          <w:lang w:val="fr-FR"/>
        </w:rPr>
      </w:pPr>
      <w:r w:rsidRPr="00367416">
        <w:rPr>
          <w:lang w:val="fr-FR"/>
        </w:rPr>
        <w:t>9.6</w:t>
      </w:r>
      <w:r w:rsidRPr="00367416">
        <w:rPr>
          <w:lang w:val="fr-FR"/>
        </w:rPr>
        <w:tab/>
      </w:r>
      <w:r w:rsidRPr="00367416">
        <w:rPr>
          <w:szCs w:val="24"/>
          <w:lang w:val="fr-FR"/>
        </w:rPr>
        <w:t xml:space="preserve">Édition récapitulative révisée </w:t>
      </w:r>
      <w:r w:rsidRPr="00367416">
        <w:rPr>
          <w:lang w:val="fr-FR"/>
        </w:rPr>
        <w:t xml:space="preserve">de l’ADN </w:t>
      </w:r>
      <w:r w:rsidRPr="00367416">
        <w:rPr>
          <w:szCs w:val="24"/>
          <w:lang w:val="fr-FR"/>
        </w:rPr>
        <w:t xml:space="preserve">pour </w:t>
      </w:r>
      <w:r>
        <w:rPr>
          <w:szCs w:val="24"/>
          <w:lang w:val="fr-FR"/>
        </w:rPr>
        <w:t>2017</w:t>
      </w:r>
      <w:r w:rsidRPr="00367416">
        <w:rPr>
          <w:szCs w:val="24"/>
          <w:lang w:val="fr-FR"/>
        </w:rPr>
        <w:t xml:space="preserve"> (applicable à compter du </w:t>
      </w:r>
      <w:r w:rsidRPr="00367416">
        <w:rPr>
          <w:lang w:val="fr-FR"/>
        </w:rPr>
        <w:t>1</w:t>
      </w:r>
      <w:r w:rsidRPr="00367416">
        <w:rPr>
          <w:vertAlign w:val="superscript"/>
          <w:lang w:val="fr-FR"/>
        </w:rPr>
        <w:t>er</w:t>
      </w:r>
      <w:r w:rsidRPr="00367416">
        <w:rPr>
          <w:lang w:val="fr-FR"/>
        </w:rPr>
        <w:t xml:space="preserve"> janvier </w:t>
      </w:r>
      <w:r>
        <w:rPr>
          <w:lang w:val="fr-FR"/>
        </w:rPr>
        <w:t>2017</w:t>
      </w:r>
      <w:r w:rsidRPr="00367416">
        <w:rPr>
          <w:lang w:val="fr-FR"/>
        </w:rPr>
        <w:t xml:space="preserve">) (versions papier, CD-ROM et en ligne). </w:t>
      </w:r>
    </w:p>
    <w:p w:rsidR="00117CD8" w:rsidRPr="00367416" w:rsidRDefault="00117CD8" w:rsidP="00117CD8">
      <w:pPr>
        <w:pStyle w:val="SingleTxtG"/>
        <w:ind w:left="1701" w:hanging="567"/>
        <w:rPr>
          <w:szCs w:val="24"/>
          <w:lang w:val="fr-FR"/>
        </w:rPr>
      </w:pPr>
      <w:r w:rsidRPr="00367416">
        <w:rPr>
          <w:szCs w:val="24"/>
          <w:lang w:val="fr-FR"/>
        </w:rPr>
        <w:t>9.7</w:t>
      </w:r>
      <w:r w:rsidRPr="00367416">
        <w:rPr>
          <w:szCs w:val="24"/>
          <w:lang w:val="fr-FR"/>
        </w:rPr>
        <w:tab/>
        <w:t>Publication sur le site Web</w:t>
      </w:r>
      <w:r w:rsidRPr="00367416">
        <w:rPr>
          <w:rStyle w:val="FootnoteReference"/>
          <w:szCs w:val="24"/>
          <w:lang w:val="fr-FR"/>
        </w:rPr>
        <w:footnoteReference w:id="3"/>
      </w:r>
      <w:r w:rsidRPr="00367416">
        <w:rPr>
          <w:szCs w:val="24"/>
          <w:lang w:val="fr-FR"/>
        </w:rPr>
        <w:t xml:space="preserve"> d’informations juridiques relatives à l’ADR et à l’ADN (état des accords, autorités compétentes, consignes écrites, notifications, accords bilatéraux ou multilatéraux, autorisations spéciales, etc.). </w:t>
      </w:r>
    </w:p>
    <w:p w:rsidR="00117CD8" w:rsidRPr="00367416" w:rsidRDefault="00117CD8" w:rsidP="00117CD8">
      <w:pPr>
        <w:pStyle w:val="H4G"/>
        <w:rPr>
          <w:i w:val="0"/>
          <w:lang w:val="fr-FR"/>
        </w:rPr>
      </w:pPr>
      <w:r w:rsidRPr="00367416">
        <w:rPr>
          <w:lang w:val="fr-FR"/>
        </w:rPr>
        <w:tab/>
        <w:t>c)</w:t>
      </w:r>
      <w:r w:rsidRPr="00367416">
        <w:rPr>
          <w:lang w:val="fr-FR"/>
        </w:rPr>
        <w:tab/>
        <w:t>Coopération technique</w:t>
      </w:r>
      <w:r w:rsidRPr="00367416">
        <w:rPr>
          <w:i w:val="0"/>
          <w:lang w:val="fr-FR"/>
        </w:rPr>
        <w:t xml:space="preserve"> </w:t>
      </w:r>
    </w:p>
    <w:p w:rsidR="00117CD8" w:rsidRPr="00367416" w:rsidRDefault="00117CD8" w:rsidP="00117CD8">
      <w:pPr>
        <w:pStyle w:val="SingleTxtG"/>
        <w:ind w:left="1701" w:hanging="567"/>
        <w:rPr>
          <w:szCs w:val="24"/>
          <w:lang w:val="fr-FR"/>
        </w:rPr>
      </w:pPr>
      <w:r w:rsidRPr="00367416">
        <w:rPr>
          <w:szCs w:val="24"/>
          <w:lang w:val="fr-FR"/>
        </w:rPr>
        <w:t>9.8</w:t>
      </w:r>
      <w:r w:rsidRPr="00367416">
        <w:rPr>
          <w:szCs w:val="24"/>
          <w:lang w:val="fr-FR"/>
        </w:rPr>
        <w:tab/>
        <w:t xml:space="preserve">Assistance juridique et technique aux Parties contractantes à l’ADR et à l’ADN aux fins d’une mise en œuvre efficace des accords, ainsi qu’aux pays membres ou non membres de la CEE intéressés par une adhésion. </w:t>
      </w:r>
    </w:p>
    <w:p w:rsidR="00117CD8" w:rsidRPr="00367416" w:rsidRDefault="00117CD8" w:rsidP="00117CD8">
      <w:pPr>
        <w:pStyle w:val="SingleTxtG"/>
        <w:keepLines/>
        <w:ind w:left="1701" w:hanging="567"/>
        <w:rPr>
          <w:lang w:val="fr-FR"/>
        </w:rPr>
      </w:pPr>
      <w:r w:rsidRPr="00367416">
        <w:rPr>
          <w:lang w:val="fr-FR"/>
        </w:rPr>
        <w:t>9.9</w:t>
      </w:r>
      <w:r w:rsidRPr="00367416">
        <w:rPr>
          <w:lang w:val="fr-FR"/>
        </w:rPr>
        <w:tab/>
        <w:t xml:space="preserve">Coopération avec des gouvernements et des organisations internationales: fourniture de conseils et organisation de formations sur le plan technique, ou participation à des conférences, séminaires ou ateliers d’assistance ou d’information technique (à la demande et en fonction des ressources disponibles). </w:t>
      </w:r>
    </w:p>
    <w:p w:rsidR="00117CD8" w:rsidRDefault="00117CD8" w:rsidP="00117CD8">
      <w:pPr>
        <w:pStyle w:val="SingleTxtG"/>
        <w:rPr>
          <w:i/>
          <w:iCs/>
        </w:rPr>
      </w:pPr>
      <w:r>
        <w:rPr>
          <w:i/>
          <w:iCs/>
        </w:rPr>
        <w:t xml:space="preserve">(Document de référence: ECE/TRANS/WP.15/2015/19) </w:t>
      </w:r>
    </w:p>
    <w:p w:rsidR="00117CD8" w:rsidRDefault="00117CD8">
      <w:pPr>
        <w:suppressAutoHyphens w:val="0"/>
        <w:spacing w:line="240" w:lineRule="auto"/>
        <w:rPr>
          <w:b/>
          <w:sz w:val="28"/>
          <w:lang w:val="fr-FR"/>
        </w:rPr>
      </w:pPr>
      <w:r>
        <w:rPr>
          <w:lang w:val="fr-FR"/>
        </w:rPr>
        <w:br w:type="page"/>
      </w:r>
    </w:p>
    <w:p w:rsidR="00614EFC" w:rsidRPr="005915A5" w:rsidRDefault="00614EFC" w:rsidP="00614EFC">
      <w:pPr>
        <w:pStyle w:val="HChG"/>
        <w:rPr>
          <w:lang w:val="fr-FR"/>
        </w:rPr>
      </w:pPr>
      <w:r w:rsidRPr="005915A5">
        <w:rPr>
          <w:lang w:val="fr-FR"/>
        </w:rPr>
        <w:lastRenderedPageBreak/>
        <w:t>Annexe I</w:t>
      </w:r>
      <w:r>
        <w:rPr>
          <w:lang w:val="fr-FR"/>
        </w:rPr>
        <w:t>V</w:t>
      </w:r>
    </w:p>
    <w:p w:rsidR="00614EFC" w:rsidRPr="005915A5" w:rsidRDefault="00614EFC" w:rsidP="00614EFC">
      <w:pPr>
        <w:pStyle w:val="HChG"/>
        <w:rPr>
          <w:lang w:val="fr-FR"/>
        </w:rPr>
      </w:pPr>
      <w:r w:rsidRPr="005915A5">
        <w:rPr>
          <w:lang w:val="fr-FR"/>
        </w:rPr>
        <w:tab/>
      </w:r>
      <w:r w:rsidRPr="005915A5">
        <w:rPr>
          <w:lang w:val="fr-FR"/>
        </w:rPr>
        <w:tab/>
      </w:r>
      <w:r w:rsidR="00117CD8" w:rsidRPr="00117CD8">
        <w:rPr>
          <w:lang w:val="fr-FR"/>
        </w:rPr>
        <w:t>Évaluations bisannuelles</w:t>
      </w:r>
    </w:p>
    <w:p w:rsidR="00117CD8" w:rsidRPr="00E85B17" w:rsidRDefault="00117CD8" w:rsidP="00117CD8">
      <w:pPr>
        <w:pStyle w:val="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rsidRPr="00E85B17">
        <w:tab/>
      </w:r>
      <w:r w:rsidRPr="00E85B17">
        <w:tab/>
        <w:t xml:space="preserve">Examen des éléments de mesure des résultats pour 2014-2015 </w:t>
      </w:r>
      <w:r>
        <w:br/>
      </w:r>
      <w:r w:rsidRPr="00E85B17">
        <w:t>et établissement des objectifs pour 2016-2017</w:t>
      </w:r>
    </w:p>
    <w:p w:rsidR="00117CD8" w:rsidRPr="00E85B17" w:rsidRDefault="00117CD8" w:rsidP="00117CD8">
      <w:pPr>
        <w:pStyle w:val="SingleTxt"/>
        <w:spacing w:after="0" w:line="120" w:lineRule="exact"/>
        <w:rPr>
          <w:sz w:val="10"/>
        </w:rPr>
      </w:pPr>
    </w:p>
    <w:p w:rsidR="00117CD8" w:rsidRPr="00E85B17" w:rsidRDefault="00117CD8" w:rsidP="00117CD8">
      <w:pPr>
        <w:pStyle w:val="SingleTxt"/>
        <w:spacing w:after="0" w:line="120" w:lineRule="exact"/>
        <w:rPr>
          <w:sz w:val="10"/>
        </w:rPr>
      </w:pPr>
    </w:p>
    <w:p w:rsidR="00117CD8" w:rsidRDefault="00117CD8" w:rsidP="00117CD8">
      <w:pPr>
        <w:pStyle w:val="SingleTxt"/>
        <w:spacing w:after="0" w:line="120" w:lineRule="exact"/>
        <w:rPr>
          <w:sz w:val="10"/>
        </w:rPr>
      </w:pPr>
    </w:p>
    <w:tbl>
      <w:tblPr>
        <w:tblW w:w="10044" w:type="dxa"/>
        <w:tblLayout w:type="fixed"/>
        <w:tblCellMar>
          <w:left w:w="0" w:type="dxa"/>
          <w:right w:w="0" w:type="dxa"/>
        </w:tblCellMar>
        <w:tblLook w:val="0000" w:firstRow="0" w:lastRow="0" w:firstColumn="0" w:lastColumn="0" w:noHBand="0" w:noVBand="0"/>
      </w:tblPr>
      <w:tblGrid>
        <w:gridCol w:w="1620"/>
        <w:gridCol w:w="3007"/>
        <w:gridCol w:w="3203"/>
        <w:gridCol w:w="2214"/>
      </w:tblGrid>
      <w:tr w:rsidR="00117CD8" w:rsidRPr="00E85B17" w:rsidTr="00F70CE8">
        <w:trPr>
          <w:tblHeader/>
        </w:trPr>
        <w:tc>
          <w:tcPr>
            <w:tcW w:w="1620" w:type="dxa"/>
            <w:tcBorders>
              <w:top w:val="single" w:sz="4" w:space="0" w:color="auto"/>
              <w:bottom w:val="single" w:sz="12" w:space="0" w:color="auto"/>
            </w:tcBorders>
            <w:shd w:val="clear" w:color="auto" w:fill="auto"/>
            <w:vAlign w:val="bottom"/>
          </w:tcPr>
          <w:p w:rsidR="00117CD8" w:rsidRPr="00E85B17" w:rsidRDefault="00117CD8" w:rsidP="00F70CE8">
            <w:pPr>
              <w:tabs>
                <w:tab w:val="left" w:pos="288"/>
                <w:tab w:val="left" w:pos="576"/>
                <w:tab w:val="left" w:pos="864"/>
                <w:tab w:val="left" w:pos="1152"/>
              </w:tabs>
              <w:spacing w:before="80" w:after="80" w:line="160" w:lineRule="exact"/>
              <w:ind w:right="115"/>
              <w:rPr>
                <w:i/>
                <w:sz w:val="14"/>
              </w:rPr>
            </w:pPr>
            <w:r w:rsidRPr="00E85B17">
              <w:rPr>
                <w:i/>
                <w:sz w:val="14"/>
              </w:rPr>
              <w:t>Module</w:t>
            </w:r>
          </w:p>
        </w:tc>
        <w:tc>
          <w:tcPr>
            <w:tcW w:w="3007" w:type="dxa"/>
            <w:tcBorders>
              <w:top w:val="single" w:sz="4" w:space="0" w:color="auto"/>
              <w:bottom w:val="single" w:sz="12" w:space="0" w:color="auto"/>
            </w:tcBorders>
            <w:shd w:val="clear" w:color="auto" w:fill="auto"/>
          </w:tcPr>
          <w:p w:rsidR="00117CD8" w:rsidRPr="00E85B17" w:rsidRDefault="00117CD8" w:rsidP="00F70CE8">
            <w:pPr>
              <w:tabs>
                <w:tab w:val="left" w:pos="288"/>
                <w:tab w:val="left" w:pos="576"/>
                <w:tab w:val="left" w:pos="864"/>
                <w:tab w:val="left" w:pos="1152"/>
              </w:tabs>
              <w:spacing w:before="80" w:after="80" w:line="160" w:lineRule="exact"/>
              <w:ind w:right="115"/>
              <w:rPr>
                <w:i/>
                <w:sz w:val="14"/>
              </w:rPr>
            </w:pPr>
            <w:r w:rsidRPr="00E85B17">
              <w:rPr>
                <w:i/>
                <w:sz w:val="14"/>
              </w:rPr>
              <w:t>Réalisations escomptées</w:t>
            </w:r>
          </w:p>
        </w:tc>
        <w:tc>
          <w:tcPr>
            <w:tcW w:w="3203" w:type="dxa"/>
            <w:tcBorders>
              <w:top w:val="single" w:sz="4" w:space="0" w:color="auto"/>
              <w:bottom w:val="single" w:sz="12" w:space="0" w:color="auto"/>
            </w:tcBorders>
            <w:shd w:val="clear" w:color="auto" w:fill="auto"/>
          </w:tcPr>
          <w:p w:rsidR="00117CD8" w:rsidRPr="00E85B17" w:rsidRDefault="00117CD8" w:rsidP="00F70CE8">
            <w:pPr>
              <w:tabs>
                <w:tab w:val="left" w:pos="288"/>
                <w:tab w:val="left" w:pos="576"/>
                <w:tab w:val="left" w:pos="864"/>
                <w:tab w:val="left" w:pos="1152"/>
              </w:tabs>
              <w:spacing w:before="80" w:after="80" w:line="160" w:lineRule="exact"/>
              <w:ind w:right="115"/>
              <w:rPr>
                <w:i/>
                <w:sz w:val="14"/>
              </w:rPr>
            </w:pPr>
            <w:r w:rsidRPr="00E85B17">
              <w:rPr>
                <w:i/>
                <w:sz w:val="14"/>
              </w:rPr>
              <w:t>Indicateurs de succès</w:t>
            </w:r>
          </w:p>
        </w:tc>
        <w:tc>
          <w:tcPr>
            <w:tcW w:w="2214" w:type="dxa"/>
            <w:tcBorders>
              <w:top w:val="single" w:sz="4" w:space="0" w:color="auto"/>
              <w:bottom w:val="single" w:sz="12" w:space="0" w:color="auto"/>
            </w:tcBorders>
            <w:shd w:val="clear" w:color="auto" w:fill="auto"/>
          </w:tcPr>
          <w:p w:rsidR="00117CD8" w:rsidRPr="00E85B17" w:rsidRDefault="00117CD8" w:rsidP="00F70CE8">
            <w:pPr>
              <w:tabs>
                <w:tab w:val="left" w:pos="288"/>
                <w:tab w:val="left" w:pos="576"/>
                <w:tab w:val="left" w:pos="864"/>
                <w:tab w:val="left" w:pos="1152"/>
              </w:tabs>
              <w:spacing w:before="80" w:after="80" w:line="160" w:lineRule="exact"/>
              <w:ind w:right="115"/>
              <w:rPr>
                <w:i/>
                <w:sz w:val="14"/>
              </w:rPr>
            </w:pPr>
            <w:r w:rsidRPr="00E85B17">
              <w:rPr>
                <w:i/>
                <w:sz w:val="14"/>
              </w:rPr>
              <w:t>Résultats effectifs</w:t>
            </w:r>
          </w:p>
        </w:tc>
      </w:tr>
      <w:tr w:rsidR="00117CD8" w:rsidRPr="00E85B17" w:rsidTr="00F70CE8">
        <w:trPr>
          <w:trHeight w:hRule="exact" w:val="115"/>
          <w:tblHeader/>
        </w:trPr>
        <w:tc>
          <w:tcPr>
            <w:tcW w:w="1620" w:type="dxa"/>
            <w:tcBorders>
              <w:top w:val="single" w:sz="12" w:space="0" w:color="auto"/>
            </w:tcBorders>
            <w:shd w:val="clear" w:color="auto" w:fill="auto"/>
            <w:vAlign w:val="bottom"/>
          </w:tcPr>
          <w:p w:rsidR="00117CD8" w:rsidRPr="00E85B17" w:rsidRDefault="00117CD8" w:rsidP="00F70CE8">
            <w:pPr>
              <w:tabs>
                <w:tab w:val="left" w:pos="288"/>
                <w:tab w:val="left" w:pos="576"/>
                <w:tab w:val="left" w:pos="864"/>
                <w:tab w:val="left" w:pos="1152"/>
              </w:tabs>
              <w:spacing w:before="40" w:after="80"/>
              <w:ind w:right="115"/>
            </w:pPr>
          </w:p>
        </w:tc>
        <w:tc>
          <w:tcPr>
            <w:tcW w:w="3007" w:type="dxa"/>
            <w:tcBorders>
              <w:top w:val="single" w:sz="12" w:space="0" w:color="auto"/>
            </w:tcBorders>
            <w:shd w:val="clear" w:color="auto" w:fill="auto"/>
            <w:vAlign w:val="bottom"/>
          </w:tcPr>
          <w:p w:rsidR="00117CD8" w:rsidRPr="00E85B17" w:rsidRDefault="00117CD8" w:rsidP="00F70CE8">
            <w:pPr>
              <w:tabs>
                <w:tab w:val="left" w:pos="288"/>
                <w:tab w:val="left" w:pos="576"/>
                <w:tab w:val="left" w:pos="864"/>
                <w:tab w:val="left" w:pos="1152"/>
              </w:tabs>
              <w:spacing w:before="40" w:after="80"/>
              <w:ind w:right="115"/>
            </w:pPr>
          </w:p>
        </w:tc>
        <w:tc>
          <w:tcPr>
            <w:tcW w:w="3203" w:type="dxa"/>
            <w:tcBorders>
              <w:top w:val="single" w:sz="12" w:space="0" w:color="auto"/>
            </w:tcBorders>
            <w:shd w:val="clear" w:color="auto" w:fill="auto"/>
            <w:vAlign w:val="bottom"/>
          </w:tcPr>
          <w:p w:rsidR="00117CD8" w:rsidRPr="00E85B17" w:rsidRDefault="00117CD8" w:rsidP="00F70CE8">
            <w:pPr>
              <w:tabs>
                <w:tab w:val="left" w:pos="288"/>
                <w:tab w:val="left" w:pos="576"/>
                <w:tab w:val="left" w:pos="864"/>
                <w:tab w:val="left" w:pos="1152"/>
              </w:tabs>
              <w:spacing w:before="40" w:after="80"/>
              <w:ind w:right="115"/>
            </w:pPr>
          </w:p>
        </w:tc>
        <w:tc>
          <w:tcPr>
            <w:tcW w:w="2214" w:type="dxa"/>
            <w:tcBorders>
              <w:top w:val="single" w:sz="12" w:space="0" w:color="auto"/>
            </w:tcBorders>
            <w:shd w:val="clear" w:color="auto" w:fill="auto"/>
            <w:vAlign w:val="bottom"/>
          </w:tcPr>
          <w:p w:rsidR="00117CD8" w:rsidRPr="00E85B17" w:rsidRDefault="00117CD8" w:rsidP="00F70CE8">
            <w:pPr>
              <w:tabs>
                <w:tab w:val="left" w:pos="288"/>
                <w:tab w:val="left" w:pos="576"/>
                <w:tab w:val="left" w:pos="864"/>
                <w:tab w:val="left" w:pos="1152"/>
              </w:tabs>
              <w:spacing w:before="40" w:after="80"/>
              <w:ind w:right="115"/>
            </w:pPr>
          </w:p>
        </w:tc>
      </w:tr>
      <w:tr w:rsidR="00117CD8" w:rsidRPr="00E85B17" w:rsidTr="00F70CE8">
        <w:tc>
          <w:tcPr>
            <w:tcW w:w="1620" w:type="dxa"/>
            <w:shd w:val="clear" w:color="auto" w:fill="auto"/>
          </w:tcPr>
          <w:p w:rsidR="00117CD8" w:rsidRPr="00E85B17" w:rsidRDefault="00117CD8" w:rsidP="00F70CE8">
            <w:pPr>
              <w:tabs>
                <w:tab w:val="left" w:pos="288"/>
                <w:tab w:val="left" w:pos="576"/>
                <w:tab w:val="left" w:pos="864"/>
                <w:tab w:val="left" w:pos="1152"/>
              </w:tabs>
              <w:spacing w:before="40" w:after="80"/>
              <w:ind w:right="115"/>
            </w:pPr>
            <w:proofErr w:type="gramStart"/>
            <w:r w:rsidRPr="00E85B17">
              <w:t>9.a</w:t>
            </w:r>
            <w:proofErr w:type="gramEnd"/>
            <w:r w:rsidRPr="00E85B17">
              <w:t xml:space="preserve"> Transport </w:t>
            </w:r>
            <w:r>
              <w:br/>
            </w:r>
            <w:r w:rsidRPr="00E85B17">
              <w:t>de marchandises dangereuses (CEE)</w:t>
            </w:r>
          </w:p>
        </w:tc>
        <w:tc>
          <w:tcPr>
            <w:tcW w:w="3007" w:type="dxa"/>
            <w:shd w:val="clear" w:color="auto" w:fill="auto"/>
          </w:tcPr>
          <w:p w:rsidR="00117CD8" w:rsidRDefault="00117CD8" w:rsidP="00F70CE8">
            <w:pPr>
              <w:tabs>
                <w:tab w:val="left" w:pos="288"/>
                <w:tab w:val="left" w:pos="576"/>
                <w:tab w:val="left" w:pos="864"/>
                <w:tab w:val="left" w:pos="1152"/>
              </w:tabs>
              <w:spacing w:before="40" w:after="80"/>
              <w:ind w:right="115"/>
            </w:pPr>
            <w:r>
              <w:t>RE 9.a Adoption d’amendements à l’ADR</w:t>
            </w:r>
            <w:r w:rsidRPr="005F3C5E">
              <w:rPr>
                <w:rStyle w:val="FootnoteReference"/>
                <w:bCs/>
              </w:rPr>
              <w:footnoteReference w:id="4"/>
            </w:r>
            <w:r>
              <w:t xml:space="preserve"> et, à l’issue d’activités communes entreprises avec l’Organisation intergouvernementale pour les transports internationaux ferroviaires (OTIF) et la Commission centrale pour la navigation du Rhin (CCNR) respectivement, d’amendements au RID</w:t>
            </w:r>
            <w:r w:rsidRPr="005F3C5E">
              <w:rPr>
                <w:rStyle w:val="FootnoteReference"/>
                <w:bCs/>
              </w:rPr>
              <w:footnoteReference w:id="5"/>
            </w:r>
            <w:r>
              <w:t xml:space="preserve"> et à l’ADN</w:t>
            </w:r>
            <w:r w:rsidRPr="005F3C5E">
              <w:rPr>
                <w:rStyle w:val="FootnoteReference"/>
                <w:bCs/>
              </w:rPr>
              <w:footnoteReference w:id="6"/>
            </w:r>
            <w:r>
              <w:t xml:space="preserve">, afin de conserver le niveau nécessaire </w:t>
            </w:r>
            <w:r>
              <w:br/>
              <w:t>de sûreté, de sécurité et de protection de l’environnement dans un dispositif réglementaire harmonisé et cohérent applicable au transport des marchandises dangereuses, en s’inspirant des Recommandations de l’ONU relatives au transport des marchandises dangereuses; mise en application effective par la voie de la législation internationale et nationale</w:t>
            </w:r>
          </w:p>
        </w:tc>
        <w:tc>
          <w:tcPr>
            <w:tcW w:w="3203" w:type="dxa"/>
            <w:shd w:val="clear" w:color="auto" w:fill="auto"/>
          </w:tcPr>
          <w:p w:rsidR="00117CD8" w:rsidRDefault="00117CD8" w:rsidP="00F70CE8">
            <w:pPr>
              <w:tabs>
                <w:tab w:val="left" w:pos="288"/>
                <w:tab w:val="left" w:pos="576"/>
                <w:tab w:val="left" w:pos="864"/>
                <w:tab w:val="left" w:pos="1152"/>
              </w:tabs>
              <w:spacing w:before="40" w:after="80"/>
              <w:ind w:right="115"/>
            </w:pPr>
            <w:r>
              <w:t>IS 9.a a) Amendements à l’Accord ADR, au Règlement RID et à l’Accord ADN adoptés en 2015 et 2016 et entrés en vigueur le 1</w:t>
            </w:r>
            <w:r w:rsidRPr="00800AD2">
              <w:rPr>
                <w:vertAlign w:val="superscript"/>
              </w:rPr>
              <w:t>er</w:t>
            </w:r>
            <w:r>
              <w:t> janvier 2017 pour le transport international et applicables à compter du 1</w:t>
            </w:r>
            <w:r w:rsidRPr="00800AD2">
              <w:rPr>
                <w:vertAlign w:val="superscript"/>
              </w:rPr>
              <w:t>er</w:t>
            </w:r>
            <w:r>
              <w:t> juillet 2017 pour la circulation intérieure dans tous les pays membres de l’Union européenne et de l’Espace économique européen (EEE), correspondant notamment à la dix-neuvième édition révisée des Recommandations de l’Organisation des Nations Unies relatives au transport des marchandises dangereuses (Règlement type, 2015)</w:t>
            </w:r>
          </w:p>
          <w:p w:rsidR="00117CD8" w:rsidRDefault="00117CD8" w:rsidP="00F70CE8">
            <w:pPr>
              <w:tabs>
                <w:tab w:val="left" w:pos="288"/>
                <w:tab w:val="left" w:pos="576"/>
                <w:tab w:val="left" w:pos="864"/>
                <w:tab w:val="left" w:pos="1152"/>
              </w:tabs>
              <w:spacing w:before="40" w:after="80"/>
              <w:ind w:right="115"/>
            </w:pPr>
            <w:r w:rsidRPr="005F3C5E">
              <w:rPr>
                <w:i/>
                <w:iCs/>
              </w:rPr>
              <w:t>Mesure des résultats</w:t>
            </w:r>
            <w:r>
              <w:t> </w:t>
            </w:r>
            <w:proofErr w:type="gramStart"/>
            <w:r>
              <w:t>:</w:t>
            </w:r>
            <w:proofErr w:type="gramEnd"/>
            <w:r>
              <w:br/>
              <w:t xml:space="preserve">Objectif 2016-2017 : </w:t>
            </w:r>
            <w:r>
              <w:br/>
              <w:t>1 ensemble d’amendements pour chaque instrument juridique</w:t>
            </w:r>
          </w:p>
        </w:tc>
        <w:tc>
          <w:tcPr>
            <w:tcW w:w="2214" w:type="dxa"/>
            <w:shd w:val="clear" w:color="auto" w:fill="auto"/>
          </w:tcPr>
          <w:p w:rsidR="00117CD8" w:rsidRDefault="00117CD8" w:rsidP="00F70CE8">
            <w:pPr>
              <w:tabs>
                <w:tab w:val="left" w:pos="288"/>
                <w:tab w:val="left" w:pos="576"/>
                <w:tab w:val="left" w:pos="864"/>
                <w:tab w:val="left" w:pos="1152"/>
              </w:tabs>
              <w:spacing w:before="40" w:after="80"/>
              <w:ind w:right="115"/>
            </w:pPr>
            <w:r>
              <w:t>Référence 2014-2015 : 1 ensemble d’amendements pour chaque instrument juridique</w:t>
            </w:r>
          </w:p>
        </w:tc>
      </w:tr>
      <w:tr w:rsidR="00117CD8" w:rsidRPr="00E85B17" w:rsidTr="00F70CE8">
        <w:tc>
          <w:tcPr>
            <w:tcW w:w="1620" w:type="dxa"/>
            <w:shd w:val="clear" w:color="auto" w:fill="auto"/>
          </w:tcPr>
          <w:p w:rsidR="00117CD8" w:rsidRPr="00E85B17" w:rsidRDefault="00117CD8" w:rsidP="00F70CE8">
            <w:pPr>
              <w:tabs>
                <w:tab w:val="left" w:pos="288"/>
                <w:tab w:val="left" w:pos="576"/>
                <w:tab w:val="left" w:pos="864"/>
                <w:tab w:val="left" w:pos="1152"/>
              </w:tabs>
              <w:spacing w:before="40" w:after="80"/>
              <w:ind w:right="115"/>
            </w:pPr>
          </w:p>
        </w:tc>
        <w:tc>
          <w:tcPr>
            <w:tcW w:w="3007" w:type="dxa"/>
            <w:shd w:val="clear" w:color="auto" w:fill="auto"/>
          </w:tcPr>
          <w:p w:rsidR="00117CD8" w:rsidRDefault="00117CD8" w:rsidP="00F70CE8">
            <w:pPr>
              <w:tabs>
                <w:tab w:val="left" w:pos="288"/>
                <w:tab w:val="left" w:pos="576"/>
                <w:tab w:val="left" w:pos="864"/>
                <w:tab w:val="left" w:pos="1152"/>
              </w:tabs>
              <w:spacing w:before="40" w:after="80"/>
              <w:ind w:right="115"/>
            </w:pPr>
          </w:p>
        </w:tc>
        <w:tc>
          <w:tcPr>
            <w:tcW w:w="3203" w:type="dxa"/>
            <w:shd w:val="clear" w:color="auto" w:fill="auto"/>
          </w:tcPr>
          <w:p w:rsidR="00117CD8" w:rsidRDefault="00117CD8" w:rsidP="00F70CE8">
            <w:pPr>
              <w:tabs>
                <w:tab w:val="left" w:pos="288"/>
                <w:tab w:val="left" w:pos="576"/>
                <w:tab w:val="left" w:pos="864"/>
                <w:tab w:val="left" w:pos="1152"/>
              </w:tabs>
              <w:spacing w:before="40" w:after="80"/>
              <w:ind w:right="115"/>
            </w:pPr>
            <w:r>
              <w:t>IS 9.a Publication des éditions 2017 complètes et révisées de l’ADR et de l’ADN avant la fin de 2016</w:t>
            </w:r>
          </w:p>
          <w:p w:rsidR="00117CD8" w:rsidRDefault="00117CD8" w:rsidP="00F70CE8">
            <w:pPr>
              <w:tabs>
                <w:tab w:val="left" w:pos="288"/>
                <w:tab w:val="left" w:pos="576"/>
                <w:tab w:val="left" w:pos="864"/>
                <w:tab w:val="left" w:pos="1152"/>
              </w:tabs>
              <w:spacing w:before="40" w:after="80"/>
              <w:ind w:right="115"/>
            </w:pPr>
            <w:r w:rsidRPr="005F3C5E">
              <w:rPr>
                <w:i/>
                <w:iCs/>
              </w:rPr>
              <w:t>Mesure des résultats</w:t>
            </w:r>
            <w:r>
              <w:t> </w:t>
            </w:r>
            <w:proofErr w:type="gramStart"/>
            <w:r>
              <w:t>:</w:t>
            </w:r>
            <w:proofErr w:type="gramEnd"/>
            <w:r>
              <w:br/>
              <w:t xml:space="preserve">Objectif 2016-2017 : </w:t>
            </w:r>
            <w:r>
              <w:br/>
              <w:t>1 ADR et 1 ADN</w:t>
            </w:r>
          </w:p>
        </w:tc>
        <w:tc>
          <w:tcPr>
            <w:tcW w:w="2214" w:type="dxa"/>
            <w:shd w:val="clear" w:color="auto" w:fill="auto"/>
          </w:tcPr>
          <w:p w:rsidR="00117CD8" w:rsidRDefault="00117CD8" w:rsidP="00F70CE8">
            <w:pPr>
              <w:tabs>
                <w:tab w:val="left" w:pos="288"/>
                <w:tab w:val="left" w:pos="576"/>
                <w:tab w:val="left" w:pos="864"/>
                <w:tab w:val="left" w:pos="1152"/>
              </w:tabs>
              <w:spacing w:before="40" w:after="80"/>
              <w:ind w:right="115"/>
            </w:pPr>
            <w:r>
              <w:t>Référence 2014-2015 : 1 ADR et 1 ADN</w:t>
            </w:r>
          </w:p>
        </w:tc>
      </w:tr>
      <w:tr w:rsidR="00117CD8" w:rsidRPr="00E85B17" w:rsidTr="00F70CE8">
        <w:tc>
          <w:tcPr>
            <w:tcW w:w="1620" w:type="dxa"/>
            <w:tcBorders>
              <w:bottom w:val="single" w:sz="12" w:space="0" w:color="auto"/>
            </w:tcBorders>
            <w:shd w:val="clear" w:color="auto" w:fill="auto"/>
          </w:tcPr>
          <w:p w:rsidR="00117CD8" w:rsidRPr="00E85B17" w:rsidRDefault="00117CD8" w:rsidP="00F70CE8">
            <w:pPr>
              <w:keepNext/>
              <w:keepLines/>
              <w:tabs>
                <w:tab w:val="left" w:pos="288"/>
                <w:tab w:val="left" w:pos="576"/>
                <w:tab w:val="left" w:pos="864"/>
                <w:tab w:val="left" w:pos="1152"/>
              </w:tabs>
              <w:spacing w:before="40" w:after="80"/>
              <w:ind w:right="115"/>
            </w:pPr>
          </w:p>
        </w:tc>
        <w:tc>
          <w:tcPr>
            <w:tcW w:w="3007" w:type="dxa"/>
            <w:tcBorders>
              <w:bottom w:val="single" w:sz="12" w:space="0" w:color="auto"/>
            </w:tcBorders>
            <w:shd w:val="clear" w:color="auto" w:fill="auto"/>
          </w:tcPr>
          <w:p w:rsidR="00117CD8" w:rsidRDefault="00117CD8">
            <w:pPr>
              <w:keepNext/>
              <w:keepLines/>
              <w:tabs>
                <w:tab w:val="left" w:pos="288"/>
                <w:tab w:val="left" w:pos="576"/>
                <w:tab w:val="left" w:pos="864"/>
                <w:tab w:val="left" w:pos="1152"/>
              </w:tabs>
              <w:spacing w:before="40" w:after="80"/>
              <w:ind w:right="115"/>
            </w:pPr>
            <w:r>
              <w:t>RE 9.</w:t>
            </w:r>
            <w:r w:rsidR="00F77A13">
              <w:t xml:space="preserve">b </w:t>
            </w:r>
            <w:r>
              <w:t>Suivi de la mise en œuvre de la feuille de route pour la mise en œuvre de l’ADR par les États membres anciens et nouveaux</w:t>
            </w:r>
          </w:p>
        </w:tc>
        <w:tc>
          <w:tcPr>
            <w:tcW w:w="3203" w:type="dxa"/>
            <w:tcBorders>
              <w:bottom w:val="single" w:sz="12" w:space="0" w:color="auto"/>
            </w:tcBorders>
            <w:shd w:val="clear" w:color="auto" w:fill="auto"/>
          </w:tcPr>
          <w:p w:rsidR="00117CD8" w:rsidRDefault="00117CD8" w:rsidP="00F70CE8">
            <w:pPr>
              <w:keepNext/>
              <w:keepLines/>
              <w:tabs>
                <w:tab w:val="left" w:pos="288"/>
                <w:tab w:val="left" w:pos="576"/>
                <w:tab w:val="left" w:pos="864"/>
                <w:tab w:val="left" w:pos="1152"/>
              </w:tabs>
              <w:spacing w:before="40" w:after="80"/>
              <w:ind w:right="115"/>
            </w:pPr>
            <w:r>
              <w:t>IS 9.</w:t>
            </w:r>
            <w:r w:rsidR="00F77A13">
              <w:t xml:space="preserve">b </w:t>
            </w:r>
            <w:r>
              <w:t>Informations des pays sur l’ADR et notifications obligatoires (informations sur les certificats de formation des conducteurs et informations spécifiées à l’annexe I du plan) complétées et affichées sur le site internet de la CEE</w:t>
            </w:r>
          </w:p>
          <w:p w:rsidR="00117CD8" w:rsidRDefault="00117CD8" w:rsidP="00F70CE8">
            <w:pPr>
              <w:keepNext/>
              <w:keepLines/>
              <w:tabs>
                <w:tab w:val="left" w:pos="288"/>
                <w:tab w:val="left" w:pos="576"/>
                <w:tab w:val="left" w:pos="864"/>
                <w:tab w:val="left" w:pos="1152"/>
              </w:tabs>
              <w:spacing w:before="40" w:after="80"/>
              <w:ind w:right="115"/>
            </w:pPr>
            <w:r w:rsidRPr="005F3C5E">
              <w:rPr>
                <w:i/>
                <w:iCs/>
              </w:rPr>
              <w:t>Mesure des résultats</w:t>
            </w:r>
            <w:r>
              <w:t xml:space="preserve"> : Objectif : Informations disponibles et mises à jour pour 75 % des Parties contractantes </w:t>
            </w:r>
            <w:r>
              <w:br/>
              <w:t>à l’ADR</w:t>
            </w:r>
          </w:p>
        </w:tc>
        <w:tc>
          <w:tcPr>
            <w:tcW w:w="2214" w:type="dxa"/>
            <w:tcBorders>
              <w:bottom w:val="single" w:sz="12" w:space="0" w:color="auto"/>
            </w:tcBorders>
            <w:shd w:val="clear" w:color="auto" w:fill="auto"/>
          </w:tcPr>
          <w:p w:rsidR="00117CD8" w:rsidRDefault="00117CD8" w:rsidP="00F70CE8">
            <w:pPr>
              <w:keepNext/>
              <w:keepLines/>
              <w:tabs>
                <w:tab w:val="left" w:pos="288"/>
                <w:tab w:val="left" w:pos="576"/>
                <w:tab w:val="left" w:pos="864"/>
                <w:tab w:val="left" w:pos="1152"/>
              </w:tabs>
              <w:spacing w:before="40" w:after="80"/>
              <w:ind w:right="115"/>
            </w:pPr>
            <w:r>
              <w:t>Référence 2014-2015 </w:t>
            </w:r>
            <w:r w:rsidR="00F77A13">
              <w:t>(Indicateur IS 9.c)</w:t>
            </w:r>
            <w:r>
              <w:t>: Informations disponibles pour 75 % des Parties contractantes à l’ADR</w:t>
            </w:r>
          </w:p>
          <w:p w:rsidR="00117CD8" w:rsidRPr="00E85B17" w:rsidRDefault="00117CD8" w:rsidP="00F70CE8">
            <w:pPr>
              <w:keepNext/>
              <w:keepLines/>
              <w:tabs>
                <w:tab w:val="left" w:pos="288"/>
                <w:tab w:val="left" w:pos="576"/>
                <w:tab w:val="left" w:pos="864"/>
                <w:tab w:val="left" w:pos="1152"/>
              </w:tabs>
              <w:spacing w:before="40" w:after="80"/>
              <w:ind w:right="115"/>
            </w:pPr>
          </w:p>
        </w:tc>
      </w:tr>
    </w:tbl>
    <w:p w:rsidR="00117CD8" w:rsidRPr="005F3C5E" w:rsidRDefault="00117CD8" w:rsidP="00117CD8">
      <w:pPr>
        <w:pStyle w:val="SingleTxt"/>
        <w:spacing w:after="0" w:line="240" w:lineRule="auto"/>
        <w:rPr>
          <w:lang w:val="fr-CH"/>
        </w:rPr>
      </w:pPr>
    </w:p>
    <w:p w:rsidR="00117CD8" w:rsidRDefault="00117CD8" w:rsidP="00117CD8">
      <w:pPr>
        <w:pStyle w:val="SingleTxtG"/>
        <w:rPr>
          <w:i/>
          <w:iCs/>
        </w:rPr>
      </w:pPr>
      <w:r>
        <w:rPr>
          <w:i/>
          <w:iCs/>
        </w:rPr>
        <w:t xml:space="preserve">(Document de référence: ECE/TRANS/WP.15/2015/10 tel que modifié) </w:t>
      </w:r>
    </w:p>
    <w:p w:rsidR="00117CD8" w:rsidRPr="00117CD8" w:rsidRDefault="00117CD8" w:rsidP="00117CD8">
      <w:pPr>
        <w:pStyle w:val="SingleTxtG"/>
        <w:spacing w:before="240" w:after="0"/>
        <w:jc w:val="center"/>
        <w:rPr>
          <w:i/>
          <w:iCs/>
          <w:u w:val="single"/>
        </w:rPr>
      </w:pPr>
      <w:r>
        <w:rPr>
          <w:i/>
          <w:iCs/>
          <w:u w:val="single"/>
        </w:rPr>
        <w:tab/>
      </w:r>
      <w:r>
        <w:rPr>
          <w:i/>
          <w:iCs/>
          <w:u w:val="single"/>
        </w:rPr>
        <w:tab/>
      </w:r>
      <w:r>
        <w:rPr>
          <w:i/>
          <w:iCs/>
          <w:u w:val="single"/>
        </w:rPr>
        <w:tab/>
      </w:r>
    </w:p>
    <w:sectPr w:rsidR="00117CD8" w:rsidRPr="00117CD8" w:rsidSect="009864BF">
      <w:headerReference w:type="even" r:id="rId9"/>
      <w:headerReference w:type="default" r:id="rId10"/>
      <w:footerReference w:type="even" r:id="rId11"/>
      <w:footerReference w:type="default" r:id="rId12"/>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44BB" w:rsidRDefault="007B44BB"/>
  </w:endnote>
  <w:endnote w:type="continuationSeparator" w:id="0">
    <w:p w:rsidR="007B44BB" w:rsidRDefault="007B44BB"/>
  </w:endnote>
  <w:endnote w:type="continuationNotice" w:id="1">
    <w:p w:rsidR="007B44BB" w:rsidRDefault="007B44B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Noteworthy Light">
    <w:altName w:val="Liberation Mono"/>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Pr="009864BF" w:rsidRDefault="00C027DB" w:rsidP="009864BF">
    <w:pPr>
      <w:pStyle w:val="Footer"/>
      <w:tabs>
        <w:tab w:val="right" w:pos="9638"/>
      </w:tabs>
      <w:rPr>
        <w:sz w:val="18"/>
      </w:rPr>
    </w:pPr>
    <w:r w:rsidRPr="009864BF">
      <w:rPr>
        <w:b/>
        <w:sz w:val="18"/>
      </w:rPr>
      <w:fldChar w:fldCharType="begin"/>
    </w:r>
    <w:r w:rsidRPr="009864BF">
      <w:rPr>
        <w:b/>
        <w:sz w:val="18"/>
      </w:rPr>
      <w:instrText xml:space="preserve"> PAGE  \* MERGEFORMAT </w:instrText>
    </w:r>
    <w:r w:rsidRPr="009864BF">
      <w:rPr>
        <w:b/>
        <w:sz w:val="18"/>
      </w:rPr>
      <w:fldChar w:fldCharType="separate"/>
    </w:r>
    <w:r w:rsidR="0058171D">
      <w:rPr>
        <w:b/>
        <w:noProof/>
        <w:sz w:val="18"/>
      </w:rPr>
      <w:t>34</w:t>
    </w:r>
    <w:r w:rsidRPr="009864BF">
      <w:rPr>
        <w:b/>
        <w:sz w:val="18"/>
      </w:rPr>
      <w:fldChar w:fldCharType="end"/>
    </w:r>
    <w:r>
      <w:rPr>
        <w:sz w:val="18"/>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Pr="009864BF" w:rsidRDefault="00C027DB" w:rsidP="009864BF">
    <w:pPr>
      <w:pStyle w:val="Footer"/>
      <w:tabs>
        <w:tab w:val="right" w:pos="9638"/>
      </w:tabs>
      <w:rPr>
        <w:sz w:val="18"/>
      </w:rPr>
    </w:pPr>
    <w:r>
      <w:tab/>
    </w:r>
    <w:r w:rsidRPr="009864BF">
      <w:rPr>
        <w:b/>
        <w:sz w:val="18"/>
      </w:rPr>
      <w:fldChar w:fldCharType="begin"/>
    </w:r>
    <w:r w:rsidRPr="009864BF">
      <w:rPr>
        <w:b/>
        <w:sz w:val="18"/>
      </w:rPr>
      <w:instrText xml:space="preserve"> PAGE  \* MERGEFORMAT </w:instrText>
    </w:r>
    <w:r w:rsidRPr="009864BF">
      <w:rPr>
        <w:b/>
        <w:sz w:val="18"/>
      </w:rPr>
      <w:fldChar w:fldCharType="separate"/>
    </w:r>
    <w:r w:rsidR="0058171D">
      <w:rPr>
        <w:b/>
        <w:noProof/>
        <w:sz w:val="18"/>
      </w:rPr>
      <w:t>33</w:t>
    </w:r>
    <w:r w:rsidRPr="009864BF">
      <w:rPr>
        <w:b/>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44BB" w:rsidRPr="00D27D5E" w:rsidRDefault="007B44BB" w:rsidP="00D27D5E">
      <w:pPr>
        <w:tabs>
          <w:tab w:val="right" w:pos="2155"/>
        </w:tabs>
        <w:spacing w:after="80"/>
        <w:ind w:left="680"/>
        <w:rPr>
          <w:u w:val="single"/>
        </w:rPr>
      </w:pPr>
      <w:r>
        <w:rPr>
          <w:u w:val="single"/>
        </w:rPr>
        <w:tab/>
      </w:r>
    </w:p>
  </w:footnote>
  <w:footnote w:type="continuationSeparator" w:id="0">
    <w:p w:rsidR="007B44BB" w:rsidRPr="00A80554" w:rsidRDefault="007B44BB" w:rsidP="00A80554">
      <w:pPr>
        <w:tabs>
          <w:tab w:val="left" w:pos="2155"/>
        </w:tabs>
        <w:spacing w:after="80"/>
        <w:ind w:left="680"/>
        <w:rPr>
          <w:u w:val="single"/>
        </w:rPr>
      </w:pPr>
      <w:r w:rsidRPr="00A80554">
        <w:rPr>
          <w:u w:val="single"/>
        </w:rPr>
        <w:tab/>
      </w:r>
    </w:p>
  </w:footnote>
  <w:footnote w:type="continuationNotice" w:id="1">
    <w:p w:rsidR="007B44BB" w:rsidRDefault="007B44BB"/>
  </w:footnote>
  <w:footnote w:id="2">
    <w:p w:rsidR="00C027DB" w:rsidRDefault="00C027DB" w:rsidP="00C02497">
      <w:pPr>
        <w:pStyle w:val="FootnoteText"/>
        <w:tabs>
          <w:tab w:val="right" w:pos="1195"/>
          <w:tab w:val="left" w:pos="1267"/>
          <w:tab w:val="left" w:pos="1742"/>
          <w:tab w:val="left" w:pos="2218"/>
          <w:tab w:val="left" w:pos="2693"/>
        </w:tabs>
        <w:ind w:left="1267" w:right="1260" w:hanging="432"/>
        <w:rPr>
          <w:iCs/>
          <w:szCs w:val="17"/>
        </w:rPr>
      </w:pPr>
      <w:r w:rsidRPr="006928CA">
        <w:rPr>
          <w:szCs w:val="17"/>
        </w:rPr>
        <w:tab/>
      </w:r>
      <w:r w:rsidRPr="006928CA">
        <w:rPr>
          <w:rStyle w:val="FootnoteReference"/>
          <w:szCs w:val="17"/>
        </w:rPr>
        <w:footnoteRef/>
      </w:r>
      <w:r w:rsidRPr="006928CA">
        <w:rPr>
          <w:szCs w:val="17"/>
        </w:rPr>
        <w:tab/>
      </w:r>
      <w:r>
        <w:rPr>
          <w:szCs w:val="17"/>
        </w:rPr>
        <w:tab/>
      </w:r>
      <w:r w:rsidRPr="006928CA">
        <w:rPr>
          <w:iCs/>
          <w:szCs w:val="17"/>
        </w:rPr>
        <w:t>La norme ISO 4009 citée dans cette norme n’a pas à être appliquée.</w:t>
      </w:r>
    </w:p>
    <w:p w:rsidR="00C027DB" w:rsidRDefault="00C027DB" w:rsidP="00C02497">
      <w:pPr>
        <w:pStyle w:val="FootnoteText"/>
        <w:tabs>
          <w:tab w:val="right" w:pos="1195"/>
          <w:tab w:val="left" w:pos="1267"/>
          <w:tab w:val="left" w:pos="1742"/>
          <w:tab w:val="left" w:pos="2218"/>
          <w:tab w:val="left" w:pos="2693"/>
        </w:tabs>
        <w:ind w:left="1267" w:right="1260" w:hanging="432"/>
      </w:pPr>
      <w:r>
        <w:rPr>
          <w:iCs/>
          <w:szCs w:val="17"/>
        </w:rPr>
        <w:tab/>
      </w:r>
      <w:r>
        <w:rPr>
          <w:rStyle w:val="FootnoteReference"/>
          <w:szCs w:val="17"/>
        </w:rPr>
        <w:t>2</w:t>
      </w:r>
      <w:r w:rsidRPr="006928CA">
        <w:rPr>
          <w:szCs w:val="17"/>
        </w:rPr>
        <w:tab/>
      </w:r>
      <w:r>
        <w:rPr>
          <w:szCs w:val="17"/>
        </w:rPr>
        <w:tab/>
      </w:r>
      <w:r w:rsidRPr="00D81DF1">
        <w:rPr>
          <w:iCs/>
          <w:szCs w:val="17"/>
        </w:rPr>
        <w:t>Règlement ECE No 55 (Prescriptions uniformes relatives à l’homologation des pièces mécaniques d’attelage des ensembles de véhicules.</w:t>
      </w:r>
    </w:p>
  </w:footnote>
  <w:footnote w:id="3">
    <w:p w:rsidR="00C027DB" w:rsidRDefault="00C027DB" w:rsidP="00117CD8">
      <w:pPr>
        <w:pStyle w:val="FootnoteText"/>
      </w:pPr>
      <w:r>
        <w:tab/>
      </w:r>
      <w:r>
        <w:rPr>
          <w:rStyle w:val="FootnoteReference"/>
        </w:rPr>
        <w:footnoteRef/>
      </w:r>
      <w:r>
        <w:tab/>
        <w:t xml:space="preserve">www.unece.org/trans/danger/danger.html. </w:t>
      </w:r>
    </w:p>
  </w:footnote>
  <w:footnote w:id="4">
    <w:p w:rsidR="00C027DB" w:rsidRDefault="00C027DB" w:rsidP="00117CD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Accord européen relatif au transport international des marchandises dangereuses par route </w:t>
      </w:r>
    </w:p>
  </w:footnote>
  <w:footnote w:id="5">
    <w:p w:rsidR="00C027DB" w:rsidRDefault="00C027DB" w:rsidP="00117CD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Règlement concernant le transport international ferroviaire des marchandises dangereuses </w:t>
      </w:r>
    </w:p>
  </w:footnote>
  <w:footnote w:id="6">
    <w:p w:rsidR="00C027DB" w:rsidRDefault="00C027DB" w:rsidP="00117CD8">
      <w:pPr>
        <w:pStyle w:val="FootnoteText"/>
        <w:widowControl w:val="0"/>
        <w:tabs>
          <w:tab w:val="right" w:pos="1195"/>
          <w:tab w:val="left" w:pos="1267"/>
          <w:tab w:val="left" w:pos="1742"/>
          <w:tab w:val="left" w:pos="2218"/>
          <w:tab w:val="left" w:pos="2693"/>
        </w:tabs>
        <w:ind w:left="1267" w:right="1260" w:hanging="432"/>
      </w:pPr>
      <w:r>
        <w:tab/>
      </w:r>
      <w:r>
        <w:rPr>
          <w:rStyle w:val="FootnoteReference"/>
        </w:rPr>
        <w:footnoteRef/>
      </w:r>
      <w:r>
        <w:tab/>
        <w:t xml:space="preserve">Accord européen relatif au transport international des marchandises dangereuses par voies de navigation intérieures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Pr="009864BF" w:rsidRDefault="00C027DB">
    <w:pPr>
      <w:pStyle w:val="Header"/>
    </w:pPr>
    <w:r>
      <w:t>ECE/TRANS/WP.15/230</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27DB" w:rsidRPr="009864BF" w:rsidRDefault="00C027DB" w:rsidP="009864BF">
    <w:pPr>
      <w:pStyle w:val="Header"/>
      <w:jc w:val="right"/>
    </w:pPr>
    <w:r>
      <w:t>ECE/TRANS/WP.15/230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
    <w:nsid w:val="172F270D"/>
    <w:multiLevelType w:val="hybridMultilevel"/>
    <w:tmpl w:val="B3E840C4"/>
    <w:lvl w:ilvl="0" w:tplc="198C65E6">
      <w:start w:val="1"/>
      <w:numFmt w:val="bullet"/>
      <w:pStyle w:val="Bullet1"/>
      <w:lvlText w:val=""/>
      <w:lvlJc w:val="left"/>
      <w:pPr>
        <w:ind w:left="1976"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1967897"/>
    <w:multiLevelType w:val="hybridMultilevel"/>
    <w:tmpl w:val="20523D60"/>
    <w:lvl w:ilvl="0" w:tplc="173822CA">
      <w:start w:val="1"/>
      <w:numFmt w:val="bullet"/>
      <w:lvlText w:val=""/>
      <w:lvlJc w:val="left"/>
      <w:pPr>
        <w:tabs>
          <w:tab w:val="num" w:pos="284"/>
        </w:tabs>
        <w:ind w:left="283" w:hanging="283"/>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3">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4">
    <w:nsid w:val="68862366"/>
    <w:multiLevelType w:val="hybridMultilevel"/>
    <w:tmpl w:val="523E6D94"/>
    <w:lvl w:ilvl="0" w:tplc="E24C15DA">
      <w:start w:val="1"/>
      <w:numFmt w:val="bullet"/>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5">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6">
    <w:nsid w:val="770F52D7"/>
    <w:multiLevelType w:val="hybridMultilevel"/>
    <w:tmpl w:val="9064D886"/>
    <w:lvl w:ilvl="0" w:tplc="57BEADE6">
      <w:start w:val="1"/>
      <w:numFmt w:val="bullet"/>
      <w:lvlText w:val=""/>
      <w:lvlJc w:val="left"/>
      <w:pPr>
        <w:tabs>
          <w:tab w:val="num" w:pos="284"/>
        </w:tabs>
        <w:ind w:left="284" w:hanging="284"/>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0"/>
  </w:num>
  <w:num w:numId="4">
    <w:abstractNumId w:val="1"/>
  </w:num>
  <w:num w:numId="5">
    <w:abstractNumId w:val="4"/>
  </w:num>
  <w:num w:numId="6">
    <w:abstractNumId w:val="6"/>
  </w:num>
  <w:num w:numId="7">
    <w:abstractNumId w:val="2"/>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activeWritingStyle w:appName="MSWord" w:lang="en-GB" w:vendorID="64" w:dllVersion="131077" w:nlCheck="1" w:checkStyle="1"/>
  <w:activeWritingStyle w:appName="MSWord" w:lang="fr-CH" w:vendorID="64" w:dllVersion="131078" w:nlCheck="1" w:checkStyle="1"/>
  <w:activeWritingStyle w:appName="MSWord" w:lang="fr-FR" w:vendorID="64" w:dllVersion="131078" w:nlCheck="1" w:checkStyle="1"/>
  <w:activeWritingStyle w:appName="MSWord" w:lang="fr-CA" w:vendorID="64" w:dllVersion="131078" w:nlCheck="1" w:checkStyle="1"/>
  <w:activeWritingStyle w:appName="MSWord" w:lang="en-GB"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4DA6"/>
    <w:rsid w:val="0001006F"/>
    <w:rsid w:val="00013D7C"/>
    <w:rsid w:val="00016AC5"/>
    <w:rsid w:val="0002540D"/>
    <w:rsid w:val="00030ADE"/>
    <w:rsid w:val="000312C0"/>
    <w:rsid w:val="00052613"/>
    <w:rsid w:val="0009473E"/>
    <w:rsid w:val="000964C7"/>
    <w:rsid w:val="000A30A9"/>
    <w:rsid w:val="000A7986"/>
    <w:rsid w:val="000B34CA"/>
    <w:rsid w:val="000C49C9"/>
    <w:rsid w:val="000E13F7"/>
    <w:rsid w:val="000F41F2"/>
    <w:rsid w:val="001006A1"/>
    <w:rsid w:val="00107469"/>
    <w:rsid w:val="00117CD8"/>
    <w:rsid w:val="00135C0D"/>
    <w:rsid w:val="001473EA"/>
    <w:rsid w:val="00147FEC"/>
    <w:rsid w:val="00154636"/>
    <w:rsid w:val="00160540"/>
    <w:rsid w:val="0017182C"/>
    <w:rsid w:val="00174DD1"/>
    <w:rsid w:val="00177007"/>
    <w:rsid w:val="00186EE9"/>
    <w:rsid w:val="00192EEB"/>
    <w:rsid w:val="001A20FB"/>
    <w:rsid w:val="001B6F40"/>
    <w:rsid w:val="001C59F6"/>
    <w:rsid w:val="001D7F8A"/>
    <w:rsid w:val="001E3FEB"/>
    <w:rsid w:val="001E4A02"/>
    <w:rsid w:val="001E6D5E"/>
    <w:rsid w:val="00223B89"/>
    <w:rsid w:val="00225A8C"/>
    <w:rsid w:val="00232C61"/>
    <w:rsid w:val="002659F1"/>
    <w:rsid w:val="00271C7C"/>
    <w:rsid w:val="00287E79"/>
    <w:rsid w:val="002928F9"/>
    <w:rsid w:val="002A5D07"/>
    <w:rsid w:val="002A7BA7"/>
    <w:rsid w:val="002A7DEA"/>
    <w:rsid w:val="002E2C91"/>
    <w:rsid w:val="002F3B03"/>
    <w:rsid w:val="003016B7"/>
    <w:rsid w:val="00330F9C"/>
    <w:rsid w:val="00333EBE"/>
    <w:rsid w:val="00340C35"/>
    <w:rsid w:val="00341810"/>
    <w:rsid w:val="003515AA"/>
    <w:rsid w:val="00354182"/>
    <w:rsid w:val="00367E36"/>
    <w:rsid w:val="00367E6A"/>
    <w:rsid w:val="00370E0F"/>
    <w:rsid w:val="00374106"/>
    <w:rsid w:val="00374DA6"/>
    <w:rsid w:val="003976D5"/>
    <w:rsid w:val="003B33A7"/>
    <w:rsid w:val="003B48E3"/>
    <w:rsid w:val="003B646B"/>
    <w:rsid w:val="003D1DF3"/>
    <w:rsid w:val="003D46A7"/>
    <w:rsid w:val="003D6C68"/>
    <w:rsid w:val="003D76E4"/>
    <w:rsid w:val="00407CE5"/>
    <w:rsid w:val="00414425"/>
    <w:rsid w:val="004159D0"/>
    <w:rsid w:val="004249E7"/>
    <w:rsid w:val="00426DA1"/>
    <w:rsid w:val="00434168"/>
    <w:rsid w:val="00475B53"/>
    <w:rsid w:val="00497A70"/>
    <w:rsid w:val="004A521D"/>
    <w:rsid w:val="004C270A"/>
    <w:rsid w:val="004D2E43"/>
    <w:rsid w:val="004D53B7"/>
    <w:rsid w:val="004E315A"/>
    <w:rsid w:val="004E4695"/>
    <w:rsid w:val="00543D5E"/>
    <w:rsid w:val="00552647"/>
    <w:rsid w:val="00566F74"/>
    <w:rsid w:val="00571F41"/>
    <w:rsid w:val="0057577A"/>
    <w:rsid w:val="0058171D"/>
    <w:rsid w:val="0059410B"/>
    <w:rsid w:val="00595BE4"/>
    <w:rsid w:val="005970B3"/>
    <w:rsid w:val="005B738F"/>
    <w:rsid w:val="005B76A3"/>
    <w:rsid w:val="005E261B"/>
    <w:rsid w:val="005E5D1F"/>
    <w:rsid w:val="00603391"/>
    <w:rsid w:val="006049FD"/>
    <w:rsid w:val="00610954"/>
    <w:rsid w:val="00611D43"/>
    <w:rsid w:val="00612D48"/>
    <w:rsid w:val="00614EFC"/>
    <w:rsid w:val="00616B45"/>
    <w:rsid w:val="00630D9B"/>
    <w:rsid w:val="00631953"/>
    <w:rsid w:val="006371F6"/>
    <w:rsid w:val="00642849"/>
    <w:rsid w:val="006439EC"/>
    <w:rsid w:val="00657968"/>
    <w:rsid w:val="00657AA5"/>
    <w:rsid w:val="00665611"/>
    <w:rsid w:val="006973AE"/>
    <w:rsid w:val="006A047B"/>
    <w:rsid w:val="006B4590"/>
    <w:rsid w:val="006C340C"/>
    <w:rsid w:val="006E5FC7"/>
    <w:rsid w:val="006F5AD2"/>
    <w:rsid w:val="006F7F34"/>
    <w:rsid w:val="0070347C"/>
    <w:rsid w:val="007176C1"/>
    <w:rsid w:val="007348C1"/>
    <w:rsid w:val="00783F37"/>
    <w:rsid w:val="00790F2F"/>
    <w:rsid w:val="007A6076"/>
    <w:rsid w:val="007B44BB"/>
    <w:rsid w:val="007B5E84"/>
    <w:rsid w:val="007F55CB"/>
    <w:rsid w:val="00807AE7"/>
    <w:rsid w:val="00812C1A"/>
    <w:rsid w:val="00814F45"/>
    <w:rsid w:val="008317F6"/>
    <w:rsid w:val="00834D3A"/>
    <w:rsid w:val="00844750"/>
    <w:rsid w:val="0088735F"/>
    <w:rsid w:val="008B44C4"/>
    <w:rsid w:val="008B7879"/>
    <w:rsid w:val="008C2211"/>
    <w:rsid w:val="008D3919"/>
    <w:rsid w:val="008E7778"/>
    <w:rsid w:val="008E7FAE"/>
    <w:rsid w:val="009009FB"/>
    <w:rsid w:val="00911BF7"/>
    <w:rsid w:val="009158CE"/>
    <w:rsid w:val="00925B3F"/>
    <w:rsid w:val="00926E87"/>
    <w:rsid w:val="00952FDB"/>
    <w:rsid w:val="00977EC8"/>
    <w:rsid w:val="00984E98"/>
    <w:rsid w:val="009864BF"/>
    <w:rsid w:val="00994F5B"/>
    <w:rsid w:val="009B18A3"/>
    <w:rsid w:val="009C40C7"/>
    <w:rsid w:val="009D3A8C"/>
    <w:rsid w:val="009D737B"/>
    <w:rsid w:val="009D7CD2"/>
    <w:rsid w:val="009E01B8"/>
    <w:rsid w:val="009E0F1E"/>
    <w:rsid w:val="009E7956"/>
    <w:rsid w:val="00A1547F"/>
    <w:rsid w:val="00A21EDE"/>
    <w:rsid w:val="00A2492E"/>
    <w:rsid w:val="00A31F07"/>
    <w:rsid w:val="00A34F4A"/>
    <w:rsid w:val="00A3510A"/>
    <w:rsid w:val="00A41235"/>
    <w:rsid w:val="00A70163"/>
    <w:rsid w:val="00A80554"/>
    <w:rsid w:val="00AA72C3"/>
    <w:rsid w:val="00AC67A1"/>
    <w:rsid w:val="00AC7977"/>
    <w:rsid w:val="00AD3C97"/>
    <w:rsid w:val="00AD4B6D"/>
    <w:rsid w:val="00AD6B55"/>
    <w:rsid w:val="00AE352C"/>
    <w:rsid w:val="00AF5FC8"/>
    <w:rsid w:val="00B04977"/>
    <w:rsid w:val="00B16896"/>
    <w:rsid w:val="00B3116D"/>
    <w:rsid w:val="00B32E2D"/>
    <w:rsid w:val="00B42ED4"/>
    <w:rsid w:val="00B4466B"/>
    <w:rsid w:val="00B61990"/>
    <w:rsid w:val="00B6602A"/>
    <w:rsid w:val="00B85D99"/>
    <w:rsid w:val="00B931D6"/>
    <w:rsid w:val="00B93E72"/>
    <w:rsid w:val="00B94939"/>
    <w:rsid w:val="00B97237"/>
    <w:rsid w:val="00BA5114"/>
    <w:rsid w:val="00BB61F2"/>
    <w:rsid w:val="00BC15C3"/>
    <w:rsid w:val="00BE3F8F"/>
    <w:rsid w:val="00BF0556"/>
    <w:rsid w:val="00BF06B0"/>
    <w:rsid w:val="00C02497"/>
    <w:rsid w:val="00C027DB"/>
    <w:rsid w:val="00C24B53"/>
    <w:rsid w:val="00C261F8"/>
    <w:rsid w:val="00C33100"/>
    <w:rsid w:val="00C63BD0"/>
    <w:rsid w:val="00C6788B"/>
    <w:rsid w:val="00C9178E"/>
    <w:rsid w:val="00C940E9"/>
    <w:rsid w:val="00CA184E"/>
    <w:rsid w:val="00CA2573"/>
    <w:rsid w:val="00CB6267"/>
    <w:rsid w:val="00CD1A71"/>
    <w:rsid w:val="00CD1FBB"/>
    <w:rsid w:val="00CD5DC2"/>
    <w:rsid w:val="00CE4E32"/>
    <w:rsid w:val="00D016B5"/>
    <w:rsid w:val="00D034F1"/>
    <w:rsid w:val="00D11B17"/>
    <w:rsid w:val="00D27D5E"/>
    <w:rsid w:val="00D57931"/>
    <w:rsid w:val="00D60301"/>
    <w:rsid w:val="00D70209"/>
    <w:rsid w:val="00D81DF1"/>
    <w:rsid w:val="00DA57D4"/>
    <w:rsid w:val="00DB4793"/>
    <w:rsid w:val="00DE01E3"/>
    <w:rsid w:val="00DE6D90"/>
    <w:rsid w:val="00DF002F"/>
    <w:rsid w:val="00DF1C6A"/>
    <w:rsid w:val="00E0244D"/>
    <w:rsid w:val="00E04873"/>
    <w:rsid w:val="00E05FE2"/>
    <w:rsid w:val="00E15C12"/>
    <w:rsid w:val="00E55D71"/>
    <w:rsid w:val="00E6624F"/>
    <w:rsid w:val="00E8142E"/>
    <w:rsid w:val="00E81E94"/>
    <w:rsid w:val="00E82607"/>
    <w:rsid w:val="00E9548B"/>
    <w:rsid w:val="00EA31C2"/>
    <w:rsid w:val="00EA6DEC"/>
    <w:rsid w:val="00EE08A7"/>
    <w:rsid w:val="00EE2A23"/>
    <w:rsid w:val="00EE2EA3"/>
    <w:rsid w:val="00F01516"/>
    <w:rsid w:val="00F41DBC"/>
    <w:rsid w:val="00F45602"/>
    <w:rsid w:val="00F47547"/>
    <w:rsid w:val="00F57129"/>
    <w:rsid w:val="00F62B2F"/>
    <w:rsid w:val="00F70CE8"/>
    <w:rsid w:val="00F74A1C"/>
    <w:rsid w:val="00F77A13"/>
    <w:rsid w:val="00FA5A79"/>
    <w:rsid w:val="00FA6422"/>
    <w:rsid w:val="00FB00CB"/>
    <w:rsid w:val="00FB0BFE"/>
    <w:rsid w:val="00FB4C51"/>
    <w:rsid w:val="00FF1D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uiPriority w:val="9"/>
    <w:qFormat/>
    <w:rsid w:val="000964C7"/>
    <w:pPr>
      <w:keepNext/>
      <w:keepLines/>
      <w:spacing w:after="0" w:line="240" w:lineRule="auto"/>
      <w:ind w:right="0"/>
      <w:jc w:val="left"/>
      <w:outlineLvl w:val="0"/>
    </w:pPr>
  </w:style>
  <w:style w:type="paragraph" w:styleId="Heading2">
    <w:name w:val="heading 2"/>
    <w:basedOn w:val="Normal"/>
    <w:next w:val="Normal"/>
    <w:uiPriority w:val="9"/>
    <w:qFormat/>
    <w:rsid w:val="000964C7"/>
    <w:pPr>
      <w:outlineLvl w:val="1"/>
    </w:pPr>
  </w:style>
  <w:style w:type="paragraph" w:styleId="Heading3">
    <w:name w:val="heading 3"/>
    <w:basedOn w:val="Normal"/>
    <w:next w:val="Normal"/>
    <w:uiPriority w:val="9"/>
    <w:qFormat/>
    <w:rsid w:val="000964C7"/>
    <w:pPr>
      <w:outlineLvl w:val="2"/>
    </w:pPr>
  </w:style>
  <w:style w:type="paragraph" w:styleId="Heading4">
    <w:name w:val="heading 4"/>
    <w:basedOn w:val="Normal"/>
    <w:next w:val="Normal"/>
    <w:uiPriority w:val="9"/>
    <w:qFormat/>
    <w:rsid w:val="000964C7"/>
    <w:pPr>
      <w:outlineLvl w:val="3"/>
    </w:pPr>
  </w:style>
  <w:style w:type="paragraph" w:styleId="Heading5">
    <w:name w:val="heading 5"/>
    <w:basedOn w:val="Normal"/>
    <w:next w:val="Normal"/>
    <w:uiPriority w:val="9"/>
    <w:qFormat/>
    <w:rsid w:val="000964C7"/>
    <w:pPr>
      <w:outlineLvl w:val="4"/>
    </w:pPr>
  </w:style>
  <w:style w:type="paragraph" w:styleId="Heading6">
    <w:name w:val="heading 6"/>
    <w:basedOn w:val="Normal"/>
    <w:next w:val="Normal"/>
    <w:uiPriority w:val="9"/>
    <w:qFormat/>
    <w:rsid w:val="000964C7"/>
    <w:pPr>
      <w:outlineLvl w:val="5"/>
    </w:pPr>
  </w:style>
  <w:style w:type="paragraph" w:styleId="Heading7">
    <w:name w:val="heading 7"/>
    <w:basedOn w:val="Normal"/>
    <w:next w:val="Normal"/>
    <w:link w:val="Heading7Char"/>
    <w:uiPriority w:val="9"/>
    <w:qFormat/>
    <w:rsid w:val="000964C7"/>
    <w:pPr>
      <w:outlineLvl w:val="6"/>
    </w:pPr>
  </w:style>
  <w:style w:type="paragraph" w:styleId="Heading8">
    <w:name w:val="heading 8"/>
    <w:basedOn w:val="Normal"/>
    <w:next w:val="Normal"/>
    <w:uiPriority w:val="9"/>
    <w:qFormat/>
    <w:rsid w:val="000964C7"/>
    <w:pPr>
      <w:outlineLvl w:val="7"/>
    </w:pPr>
  </w:style>
  <w:style w:type="paragraph" w:styleId="Heading9">
    <w:name w:val="heading 9"/>
    <w:basedOn w:val="Normal"/>
    <w:next w:val="Normal"/>
    <w:uiPriority w:val="9"/>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4_GR"/>
    <w:basedOn w:val="DefaultParagraphFont"/>
    <w:uiPriority w:val="99"/>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5_GR"/>
    <w:basedOn w:val="Normal"/>
    <w:link w:val="FootnoteTextChar"/>
    <w:uiPriority w:val="99"/>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SingleTxtGCar">
    <w:name w:val="_ Single Txt_G Car"/>
    <w:link w:val="SingleTxtG"/>
    <w:rsid w:val="00CE4E32"/>
    <w:rPr>
      <w:lang w:val="fr-CH" w:eastAsia="en-US"/>
    </w:rPr>
  </w:style>
  <w:style w:type="character" w:customStyle="1" w:styleId="H1GChar">
    <w:name w:val="_ H_1_G Char"/>
    <w:link w:val="H1G"/>
    <w:rsid w:val="00CE4E32"/>
    <w:rPr>
      <w:b/>
      <w:sz w:val="24"/>
      <w:lang w:val="fr-CH" w:eastAsia="en-US"/>
    </w:rPr>
  </w:style>
  <w:style w:type="character" w:customStyle="1" w:styleId="HChGChar">
    <w:name w:val="_ H _Ch_G Char"/>
    <w:link w:val="HChG"/>
    <w:uiPriority w:val="99"/>
    <w:rsid w:val="00CE4E32"/>
    <w:rPr>
      <w:b/>
      <w:sz w:val="28"/>
      <w:lang w:val="fr-CH" w:eastAsia="en-US"/>
    </w:rPr>
  </w:style>
  <w:style w:type="character" w:customStyle="1" w:styleId="H23GChar">
    <w:name w:val="_ H_2/3_G Char"/>
    <w:link w:val="H23G"/>
    <w:rsid w:val="00C63BD0"/>
    <w:rPr>
      <w:b/>
      <w:lang w:val="fr-CH" w:eastAsia="en-US"/>
    </w:rPr>
  </w:style>
  <w:style w:type="character" w:customStyle="1" w:styleId="SingleTxtGChar">
    <w:name w:val="_ Single Txt_G Char"/>
    <w:rsid w:val="00107469"/>
    <w:rPr>
      <w:lang w:val="fr-CH" w:eastAsia="en-US"/>
    </w:rPr>
  </w:style>
  <w:style w:type="paragraph" w:customStyle="1" w:styleId="SingleTxt">
    <w:name w:val="__Single Txt"/>
    <w:basedOn w:val="Normal"/>
    <w:qFormat/>
    <w:rsid w:val="000947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styleId="Emphasis">
    <w:name w:val="Emphasis"/>
    <w:qFormat/>
    <w:rsid w:val="0009473E"/>
    <w:rPr>
      <w:i/>
      <w:iCs/>
    </w:rPr>
  </w:style>
  <w:style w:type="character" w:customStyle="1" w:styleId="Heading7Char">
    <w:name w:val="Heading 7 Char"/>
    <w:link w:val="Heading7"/>
    <w:uiPriority w:val="9"/>
    <w:rsid w:val="0009473E"/>
    <w:rPr>
      <w:lang w:val="fr-CH" w:eastAsia="en-US"/>
    </w:rPr>
  </w:style>
  <w:style w:type="paragraph" w:customStyle="1" w:styleId="Bullet1">
    <w:name w:val="Bullet 1"/>
    <w:basedOn w:val="Normal"/>
    <w:uiPriority w:val="99"/>
    <w:qFormat/>
    <w:rsid w:val="007B5E84"/>
    <w:pPr>
      <w:numPr>
        <w:numId w:val="4"/>
      </w:numPr>
      <w:suppressAutoHyphens w:val="0"/>
      <w:spacing w:after="120" w:line="240" w:lineRule="exact"/>
      <w:ind w:left="1743" w:right="1267" w:hanging="130"/>
      <w:jc w:val="both"/>
    </w:pPr>
    <w:rPr>
      <w:rFonts w:eastAsiaTheme="minorHAnsi"/>
      <w:spacing w:val="4"/>
      <w:w w:val="103"/>
      <w:kern w:val="14"/>
      <w:szCs w:val="22"/>
      <w:lang w:val="fr-CA"/>
    </w:rPr>
  </w:style>
  <w:style w:type="character" w:customStyle="1" w:styleId="FootnoteTextChar">
    <w:name w:val="Footnote Text Char"/>
    <w:aliases w:val="5_G Char,5_GR Char"/>
    <w:basedOn w:val="DefaultParagraphFont"/>
    <w:link w:val="FootnoteText"/>
    <w:uiPriority w:val="99"/>
    <w:locked/>
    <w:rsid w:val="00C02497"/>
    <w:rPr>
      <w:sz w:val="18"/>
      <w:lang w:val="fr-CH" w:eastAsia="en-US"/>
    </w:rPr>
  </w:style>
  <w:style w:type="paragraph" w:customStyle="1" w:styleId="H23">
    <w:name w:val="_ H_2/3"/>
    <w:basedOn w:val="Normal"/>
    <w:next w:val="SingleTxt"/>
    <w:qFormat/>
    <w:rsid w:val="00EE08A7"/>
    <w:pPr>
      <w:keepNext/>
      <w:keepLines/>
      <w:spacing w:line="240" w:lineRule="exact"/>
      <w:outlineLvl w:val="1"/>
    </w:pPr>
    <w:rPr>
      <w:rFonts w:eastAsia="Calibri"/>
      <w:b/>
      <w:spacing w:val="2"/>
      <w:w w:val="103"/>
      <w:kern w:val="14"/>
      <w:szCs w:val="22"/>
      <w:lang w:val="fr-CA"/>
    </w:rPr>
  </w:style>
  <w:style w:type="character" w:styleId="CommentReference">
    <w:name w:val="annotation reference"/>
    <w:basedOn w:val="DefaultParagraphFont"/>
    <w:rsid w:val="006973AE"/>
    <w:rPr>
      <w:sz w:val="16"/>
      <w:szCs w:val="16"/>
    </w:rPr>
  </w:style>
  <w:style w:type="paragraph" w:styleId="CommentText">
    <w:name w:val="annotation text"/>
    <w:basedOn w:val="Normal"/>
    <w:link w:val="CommentTextChar"/>
    <w:rsid w:val="006973AE"/>
    <w:pPr>
      <w:spacing w:line="240" w:lineRule="auto"/>
    </w:pPr>
  </w:style>
  <w:style w:type="character" w:customStyle="1" w:styleId="CommentTextChar">
    <w:name w:val="Comment Text Char"/>
    <w:basedOn w:val="DefaultParagraphFont"/>
    <w:link w:val="CommentText"/>
    <w:rsid w:val="006973AE"/>
    <w:rPr>
      <w:lang w:val="fr-CH" w:eastAsia="en-US"/>
    </w:rPr>
  </w:style>
  <w:style w:type="paragraph" w:styleId="CommentSubject">
    <w:name w:val="annotation subject"/>
    <w:basedOn w:val="CommentText"/>
    <w:next w:val="CommentText"/>
    <w:link w:val="CommentSubjectChar"/>
    <w:rsid w:val="006973AE"/>
    <w:rPr>
      <w:b/>
      <w:bCs/>
    </w:rPr>
  </w:style>
  <w:style w:type="character" w:customStyle="1" w:styleId="CommentSubjectChar">
    <w:name w:val="Comment Subject Char"/>
    <w:basedOn w:val="CommentTextChar"/>
    <w:link w:val="CommentSubject"/>
    <w:rsid w:val="006973AE"/>
    <w:rPr>
      <w:b/>
      <w:bCs/>
      <w:lang w:val="fr-CH" w:eastAsia="en-US"/>
    </w:rPr>
  </w:style>
  <w:style w:type="paragraph" w:styleId="Revision">
    <w:name w:val="Revision"/>
    <w:hidden/>
    <w:uiPriority w:val="99"/>
    <w:semiHidden/>
    <w:rsid w:val="006973AE"/>
    <w:rPr>
      <w:lang w:val="fr-CH" w:eastAsia="en-US"/>
    </w:rPr>
  </w:style>
  <w:style w:type="paragraph" w:styleId="BalloonText">
    <w:name w:val="Balloon Text"/>
    <w:basedOn w:val="Normal"/>
    <w:link w:val="BalloonTextChar"/>
    <w:rsid w:val="006973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73AE"/>
    <w:rPr>
      <w:rFonts w:ascii="Tahoma" w:hAnsi="Tahoma" w:cs="Tahoma"/>
      <w:sz w:val="16"/>
      <w:szCs w:val="16"/>
      <w:lang w:val="fr-CH" w:eastAsia="en-US"/>
    </w:rPr>
  </w:style>
  <w:style w:type="paragraph" w:customStyle="1" w:styleId="H1">
    <w:name w:val="_ H_1"/>
    <w:basedOn w:val="Normal"/>
    <w:next w:val="Normal"/>
    <w:qFormat/>
    <w:rsid w:val="00117CD8"/>
    <w:pPr>
      <w:keepNext/>
      <w:keepLines/>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117CD8"/>
    <w:pPr>
      <w:spacing w:line="300" w:lineRule="exact"/>
    </w:pPr>
    <w:rPr>
      <w:spacing w:val="-2"/>
      <w:sz w:val="28"/>
    </w:rPr>
  </w:style>
  <w:style w:type="character" w:customStyle="1" w:styleId="H4GChar">
    <w:name w:val="_ H_4_G Char"/>
    <w:link w:val="H4G"/>
    <w:rsid w:val="00117CD8"/>
    <w:rPr>
      <w:i/>
      <w:lang w:val="fr-CH"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footnote text" w:uiPriority="99" w:qFormat="1"/>
    <w:lsdException w:name="caption" w:semiHidden="1" w:unhideWhenUsed="1" w:qFormat="1"/>
    <w:lsdException w:name="footnote reference" w:uiPriority="99"/>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964C7"/>
    <w:pPr>
      <w:suppressAutoHyphens/>
      <w:spacing w:line="240" w:lineRule="atLeast"/>
    </w:pPr>
    <w:rPr>
      <w:lang w:val="fr-CH" w:eastAsia="en-US"/>
    </w:rPr>
  </w:style>
  <w:style w:type="paragraph" w:styleId="Heading1">
    <w:name w:val="heading 1"/>
    <w:aliases w:val="Table_G"/>
    <w:basedOn w:val="SingleTxtG"/>
    <w:next w:val="SingleTxtG"/>
    <w:uiPriority w:val="9"/>
    <w:qFormat/>
    <w:rsid w:val="000964C7"/>
    <w:pPr>
      <w:keepNext/>
      <w:keepLines/>
      <w:spacing w:after="0" w:line="240" w:lineRule="auto"/>
      <w:ind w:right="0"/>
      <w:jc w:val="left"/>
      <w:outlineLvl w:val="0"/>
    </w:pPr>
  </w:style>
  <w:style w:type="paragraph" w:styleId="Heading2">
    <w:name w:val="heading 2"/>
    <w:basedOn w:val="Normal"/>
    <w:next w:val="Normal"/>
    <w:uiPriority w:val="9"/>
    <w:qFormat/>
    <w:rsid w:val="000964C7"/>
    <w:pPr>
      <w:outlineLvl w:val="1"/>
    </w:pPr>
  </w:style>
  <w:style w:type="paragraph" w:styleId="Heading3">
    <w:name w:val="heading 3"/>
    <w:basedOn w:val="Normal"/>
    <w:next w:val="Normal"/>
    <w:uiPriority w:val="9"/>
    <w:qFormat/>
    <w:rsid w:val="000964C7"/>
    <w:pPr>
      <w:outlineLvl w:val="2"/>
    </w:pPr>
  </w:style>
  <w:style w:type="paragraph" w:styleId="Heading4">
    <w:name w:val="heading 4"/>
    <w:basedOn w:val="Normal"/>
    <w:next w:val="Normal"/>
    <w:uiPriority w:val="9"/>
    <w:qFormat/>
    <w:rsid w:val="000964C7"/>
    <w:pPr>
      <w:outlineLvl w:val="3"/>
    </w:pPr>
  </w:style>
  <w:style w:type="paragraph" w:styleId="Heading5">
    <w:name w:val="heading 5"/>
    <w:basedOn w:val="Normal"/>
    <w:next w:val="Normal"/>
    <w:uiPriority w:val="9"/>
    <w:qFormat/>
    <w:rsid w:val="000964C7"/>
    <w:pPr>
      <w:outlineLvl w:val="4"/>
    </w:pPr>
  </w:style>
  <w:style w:type="paragraph" w:styleId="Heading6">
    <w:name w:val="heading 6"/>
    <w:basedOn w:val="Normal"/>
    <w:next w:val="Normal"/>
    <w:uiPriority w:val="9"/>
    <w:qFormat/>
    <w:rsid w:val="000964C7"/>
    <w:pPr>
      <w:outlineLvl w:val="5"/>
    </w:pPr>
  </w:style>
  <w:style w:type="paragraph" w:styleId="Heading7">
    <w:name w:val="heading 7"/>
    <w:basedOn w:val="Normal"/>
    <w:next w:val="Normal"/>
    <w:link w:val="Heading7Char"/>
    <w:uiPriority w:val="9"/>
    <w:qFormat/>
    <w:rsid w:val="000964C7"/>
    <w:pPr>
      <w:outlineLvl w:val="6"/>
    </w:pPr>
  </w:style>
  <w:style w:type="paragraph" w:styleId="Heading8">
    <w:name w:val="heading 8"/>
    <w:basedOn w:val="Normal"/>
    <w:next w:val="Normal"/>
    <w:uiPriority w:val="9"/>
    <w:qFormat/>
    <w:rsid w:val="000964C7"/>
    <w:pPr>
      <w:outlineLvl w:val="7"/>
    </w:pPr>
  </w:style>
  <w:style w:type="paragraph" w:styleId="Heading9">
    <w:name w:val="heading 9"/>
    <w:basedOn w:val="Normal"/>
    <w:next w:val="Normal"/>
    <w:uiPriority w:val="9"/>
    <w:qFormat/>
    <w:rsid w:val="000964C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0964C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uiPriority w:val="99"/>
    <w:rsid w:val="000964C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0964C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0964C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link w:val="H4GChar"/>
    <w:rsid w:val="000964C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0964C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ar"/>
    <w:qFormat/>
    <w:rsid w:val="000964C7"/>
    <w:pPr>
      <w:spacing w:after="120"/>
      <w:ind w:left="1134" w:right="1134"/>
      <w:jc w:val="both"/>
    </w:pPr>
  </w:style>
  <w:style w:type="paragraph" w:customStyle="1" w:styleId="SLG">
    <w:name w:val="__S_L_G"/>
    <w:basedOn w:val="Normal"/>
    <w:next w:val="Normal"/>
    <w:rsid w:val="000964C7"/>
    <w:pPr>
      <w:keepNext/>
      <w:keepLines/>
      <w:spacing w:before="240" w:after="240" w:line="580" w:lineRule="exact"/>
      <w:ind w:left="1134" w:right="1134"/>
    </w:pPr>
    <w:rPr>
      <w:b/>
      <w:sz w:val="56"/>
    </w:rPr>
  </w:style>
  <w:style w:type="paragraph" w:customStyle="1" w:styleId="SMG">
    <w:name w:val="__S_M_G"/>
    <w:basedOn w:val="Normal"/>
    <w:next w:val="Normal"/>
    <w:rsid w:val="000964C7"/>
    <w:pPr>
      <w:keepNext/>
      <w:keepLines/>
      <w:spacing w:before="240" w:after="240" w:line="420" w:lineRule="exact"/>
      <w:ind w:left="1134" w:right="1134"/>
    </w:pPr>
    <w:rPr>
      <w:b/>
      <w:sz w:val="40"/>
    </w:rPr>
  </w:style>
  <w:style w:type="paragraph" w:customStyle="1" w:styleId="SSG">
    <w:name w:val="__S_S_G"/>
    <w:basedOn w:val="Normal"/>
    <w:next w:val="Normal"/>
    <w:rsid w:val="000964C7"/>
    <w:pPr>
      <w:keepNext/>
      <w:keepLines/>
      <w:spacing w:before="240" w:after="240" w:line="300" w:lineRule="exact"/>
      <w:ind w:left="1134" w:right="1134"/>
    </w:pPr>
    <w:rPr>
      <w:b/>
      <w:sz w:val="28"/>
    </w:rPr>
  </w:style>
  <w:style w:type="paragraph" w:customStyle="1" w:styleId="XLargeG">
    <w:name w:val="__XLarge_G"/>
    <w:basedOn w:val="Normal"/>
    <w:next w:val="Normal"/>
    <w:rsid w:val="000964C7"/>
    <w:pPr>
      <w:keepNext/>
      <w:keepLines/>
      <w:spacing w:before="240" w:after="240" w:line="420" w:lineRule="exact"/>
      <w:ind w:left="1134" w:right="1134"/>
    </w:pPr>
    <w:rPr>
      <w:b/>
      <w:sz w:val="40"/>
    </w:rPr>
  </w:style>
  <w:style w:type="paragraph" w:customStyle="1" w:styleId="Bullet1G">
    <w:name w:val="_Bullet 1_G"/>
    <w:basedOn w:val="Normal"/>
    <w:rsid w:val="000964C7"/>
    <w:pPr>
      <w:numPr>
        <w:numId w:val="1"/>
      </w:numPr>
      <w:spacing w:after="120"/>
      <w:ind w:right="1134"/>
      <w:jc w:val="both"/>
    </w:pPr>
  </w:style>
  <w:style w:type="paragraph" w:customStyle="1" w:styleId="Bullet2G">
    <w:name w:val="_Bullet 2_G"/>
    <w:basedOn w:val="Normal"/>
    <w:rsid w:val="000964C7"/>
    <w:pPr>
      <w:numPr>
        <w:numId w:val="2"/>
      </w:numPr>
      <w:spacing w:after="120"/>
      <w:ind w:right="1134"/>
      <w:jc w:val="both"/>
    </w:pPr>
  </w:style>
  <w:style w:type="character" w:styleId="FootnoteReference">
    <w:name w:val="footnote reference"/>
    <w:aliases w:val="4_G,Footnote Reference/,4_GR"/>
    <w:basedOn w:val="DefaultParagraphFont"/>
    <w:uiPriority w:val="99"/>
    <w:rsid w:val="000964C7"/>
    <w:rPr>
      <w:rFonts w:ascii="Times New Roman" w:hAnsi="Times New Roman"/>
      <w:sz w:val="18"/>
      <w:vertAlign w:val="superscript"/>
      <w:lang w:val="fr-CH"/>
    </w:rPr>
  </w:style>
  <w:style w:type="character" w:styleId="EndnoteReference">
    <w:name w:val="endnote reference"/>
    <w:aliases w:val="1_G"/>
    <w:basedOn w:val="FootnoteReference"/>
    <w:rsid w:val="000964C7"/>
    <w:rPr>
      <w:rFonts w:ascii="Times New Roman" w:hAnsi="Times New Roman"/>
      <w:sz w:val="18"/>
      <w:vertAlign w:val="superscript"/>
      <w:lang w:val="fr-CH"/>
    </w:rPr>
  </w:style>
  <w:style w:type="paragraph" w:styleId="Header">
    <w:name w:val="header"/>
    <w:aliases w:val="6_G"/>
    <w:basedOn w:val="Normal"/>
    <w:next w:val="Normal"/>
    <w:rsid w:val="000964C7"/>
    <w:pPr>
      <w:pBdr>
        <w:bottom w:val="single" w:sz="4" w:space="4" w:color="auto"/>
      </w:pBdr>
      <w:spacing w:line="240" w:lineRule="auto"/>
    </w:pPr>
    <w:rPr>
      <w:b/>
      <w:sz w:val="18"/>
    </w:rPr>
  </w:style>
  <w:style w:type="paragraph" w:styleId="FootnoteText">
    <w:name w:val="footnote text"/>
    <w:aliases w:val="5_G,5_GR"/>
    <w:basedOn w:val="Normal"/>
    <w:link w:val="FootnoteTextChar"/>
    <w:uiPriority w:val="99"/>
    <w:qFormat/>
    <w:rsid w:val="000964C7"/>
    <w:pPr>
      <w:tabs>
        <w:tab w:val="right" w:pos="1021"/>
      </w:tabs>
      <w:spacing w:line="220" w:lineRule="exact"/>
      <w:ind w:left="1134" w:right="1134" w:hanging="1134"/>
    </w:pPr>
    <w:rPr>
      <w:sz w:val="18"/>
    </w:rPr>
  </w:style>
  <w:style w:type="paragraph" w:styleId="EndnoteText">
    <w:name w:val="endnote text"/>
    <w:aliases w:val="2_G"/>
    <w:basedOn w:val="FootnoteText"/>
    <w:rsid w:val="000964C7"/>
  </w:style>
  <w:style w:type="character" w:styleId="PageNumber">
    <w:name w:val="page number"/>
    <w:aliases w:val="7_G"/>
    <w:basedOn w:val="DefaultParagraphFont"/>
    <w:rsid w:val="000964C7"/>
    <w:rPr>
      <w:rFonts w:ascii="Times New Roman" w:hAnsi="Times New Roman"/>
      <w:b/>
      <w:sz w:val="18"/>
      <w:lang w:val="fr-CH"/>
    </w:rPr>
  </w:style>
  <w:style w:type="paragraph" w:styleId="Footer">
    <w:name w:val="footer"/>
    <w:aliases w:val="3_G"/>
    <w:basedOn w:val="Normal"/>
    <w:next w:val="Normal"/>
    <w:rsid w:val="000964C7"/>
    <w:pPr>
      <w:spacing w:line="240" w:lineRule="auto"/>
    </w:pPr>
    <w:rPr>
      <w:sz w:val="16"/>
    </w:rPr>
  </w:style>
  <w:style w:type="table" w:styleId="TableGrid1">
    <w:name w:val="Table Grid 1"/>
    <w:basedOn w:val="TableNormal"/>
    <w:semiHidden/>
    <w:rsid w:val="000964C7"/>
    <w:pPr>
      <w:suppressAutoHyphens/>
      <w:spacing w:line="240" w:lineRule="atLeast"/>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0" w:type="dxa"/>
        <w:bottom w:w="0" w:type="dxa"/>
        <w:right w:w="113"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
    <w:name w:val="Table Grid"/>
    <w:basedOn w:val="TableNormal"/>
    <w:rsid w:val="000964C7"/>
    <w:pPr>
      <w:suppressAutoHyphens/>
      <w:spacing w:line="24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style>
  <w:style w:type="character" w:styleId="Hyperlink">
    <w:name w:val="Hyperlink"/>
    <w:basedOn w:val="DefaultParagraphFont"/>
    <w:semiHidden/>
    <w:rsid w:val="000964C7"/>
    <w:rPr>
      <w:color w:val="auto"/>
      <w:u w:val="none"/>
    </w:rPr>
  </w:style>
  <w:style w:type="character" w:styleId="FollowedHyperlink">
    <w:name w:val="FollowedHyperlink"/>
    <w:basedOn w:val="DefaultParagraphFont"/>
    <w:semiHidden/>
    <w:rsid w:val="000964C7"/>
    <w:rPr>
      <w:color w:val="auto"/>
      <w:u w:val="none"/>
    </w:rPr>
  </w:style>
  <w:style w:type="character" w:customStyle="1" w:styleId="SingleTxtGCar">
    <w:name w:val="_ Single Txt_G Car"/>
    <w:link w:val="SingleTxtG"/>
    <w:rsid w:val="00CE4E32"/>
    <w:rPr>
      <w:lang w:val="fr-CH" w:eastAsia="en-US"/>
    </w:rPr>
  </w:style>
  <w:style w:type="character" w:customStyle="1" w:styleId="H1GChar">
    <w:name w:val="_ H_1_G Char"/>
    <w:link w:val="H1G"/>
    <w:rsid w:val="00CE4E32"/>
    <w:rPr>
      <w:b/>
      <w:sz w:val="24"/>
      <w:lang w:val="fr-CH" w:eastAsia="en-US"/>
    </w:rPr>
  </w:style>
  <w:style w:type="character" w:customStyle="1" w:styleId="HChGChar">
    <w:name w:val="_ H _Ch_G Char"/>
    <w:link w:val="HChG"/>
    <w:uiPriority w:val="99"/>
    <w:rsid w:val="00CE4E32"/>
    <w:rPr>
      <w:b/>
      <w:sz w:val="28"/>
      <w:lang w:val="fr-CH" w:eastAsia="en-US"/>
    </w:rPr>
  </w:style>
  <w:style w:type="character" w:customStyle="1" w:styleId="H23GChar">
    <w:name w:val="_ H_2/3_G Char"/>
    <w:link w:val="H23G"/>
    <w:rsid w:val="00C63BD0"/>
    <w:rPr>
      <w:b/>
      <w:lang w:val="fr-CH" w:eastAsia="en-US"/>
    </w:rPr>
  </w:style>
  <w:style w:type="character" w:customStyle="1" w:styleId="SingleTxtGChar">
    <w:name w:val="_ Single Txt_G Char"/>
    <w:rsid w:val="00107469"/>
    <w:rPr>
      <w:lang w:val="fr-CH" w:eastAsia="en-US"/>
    </w:rPr>
  </w:style>
  <w:style w:type="paragraph" w:customStyle="1" w:styleId="SingleTxt">
    <w:name w:val="__Single Txt"/>
    <w:basedOn w:val="Normal"/>
    <w:qFormat/>
    <w:rsid w:val="0009473E"/>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spacing w:after="120" w:line="240" w:lineRule="exact"/>
      <w:ind w:left="1267" w:right="1267"/>
      <w:jc w:val="both"/>
    </w:pPr>
    <w:rPr>
      <w:rFonts w:eastAsia="Calibri"/>
      <w:spacing w:val="4"/>
      <w:w w:val="103"/>
      <w:kern w:val="14"/>
      <w:szCs w:val="22"/>
      <w:lang w:val="fr-CA"/>
    </w:rPr>
  </w:style>
  <w:style w:type="character" w:styleId="Emphasis">
    <w:name w:val="Emphasis"/>
    <w:qFormat/>
    <w:rsid w:val="0009473E"/>
    <w:rPr>
      <w:i/>
      <w:iCs/>
    </w:rPr>
  </w:style>
  <w:style w:type="character" w:customStyle="1" w:styleId="Heading7Char">
    <w:name w:val="Heading 7 Char"/>
    <w:link w:val="Heading7"/>
    <w:uiPriority w:val="9"/>
    <w:rsid w:val="0009473E"/>
    <w:rPr>
      <w:lang w:val="fr-CH" w:eastAsia="en-US"/>
    </w:rPr>
  </w:style>
  <w:style w:type="paragraph" w:customStyle="1" w:styleId="Bullet1">
    <w:name w:val="Bullet 1"/>
    <w:basedOn w:val="Normal"/>
    <w:uiPriority w:val="99"/>
    <w:qFormat/>
    <w:rsid w:val="007B5E84"/>
    <w:pPr>
      <w:numPr>
        <w:numId w:val="4"/>
      </w:numPr>
      <w:suppressAutoHyphens w:val="0"/>
      <w:spacing w:after="120" w:line="240" w:lineRule="exact"/>
      <w:ind w:left="1743" w:right="1267" w:hanging="130"/>
      <w:jc w:val="both"/>
    </w:pPr>
    <w:rPr>
      <w:rFonts w:eastAsiaTheme="minorHAnsi"/>
      <w:spacing w:val="4"/>
      <w:w w:val="103"/>
      <w:kern w:val="14"/>
      <w:szCs w:val="22"/>
      <w:lang w:val="fr-CA"/>
    </w:rPr>
  </w:style>
  <w:style w:type="character" w:customStyle="1" w:styleId="FootnoteTextChar">
    <w:name w:val="Footnote Text Char"/>
    <w:aliases w:val="5_G Char,5_GR Char"/>
    <w:basedOn w:val="DefaultParagraphFont"/>
    <w:link w:val="FootnoteText"/>
    <w:uiPriority w:val="99"/>
    <w:locked/>
    <w:rsid w:val="00C02497"/>
    <w:rPr>
      <w:sz w:val="18"/>
      <w:lang w:val="fr-CH" w:eastAsia="en-US"/>
    </w:rPr>
  </w:style>
  <w:style w:type="paragraph" w:customStyle="1" w:styleId="H23">
    <w:name w:val="_ H_2/3"/>
    <w:basedOn w:val="Normal"/>
    <w:next w:val="SingleTxt"/>
    <w:qFormat/>
    <w:rsid w:val="00EE08A7"/>
    <w:pPr>
      <w:keepNext/>
      <w:keepLines/>
      <w:spacing w:line="240" w:lineRule="exact"/>
      <w:outlineLvl w:val="1"/>
    </w:pPr>
    <w:rPr>
      <w:rFonts w:eastAsia="Calibri"/>
      <w:b/>
      <w:spacing w:val="2"/>
      <w:w w:val="103"/>
      <w:kern w:val="14"/>
      <w:szCs w:val="22"/>
      <w:lang w:val="fr-CA"/>
    </w:rPr>
  </w:style>
  <w:style w:type="character" w:styleId="CommentReference">
    <w:name w:val="annotation reference"/>
    <w:basedOn w:val="DefaultParagraphFont"/>
    <w:rsid w:val="006973AE"/>
    <w:rPr>
      <w:sz w:val="16"/>
      <w:szCs w:val="16"/>
    </w:rPr>
  </w:style>
  <w:style w:type="paragraph" w:styleId="CommentText">
    <w:name w:val="annotation text"/>
    <w:basedOn w:val="Normal"/>
    <w:link w:val="CommentTextChar"/>
    <w:rsid w:val="006973AE"/>
    <w:pPr>
      <w:spacing w:line="240" w:lineRule="auto"/>
    </w:pPr>
  </w:style>
  <w:style w:type="character" w:customStyle="1" w:styleId="CommentTextChar">
    <w:name w:val="Comment Text Char"/>
    <w:basedOn w:val="DefaultParagraphFont"/>
    <w:link w:val="CommentText"/>
    <w:rsid w:val="006973AE"/>
    <w:rPr>
      <w:lang w:val="fr-CH" w:eastAsia="en-US"/>
    </w:rPr>
  </w:style>
  <w:style w:type="paragraph" w:styleId="CommentSubject">
    <w:name w:val="annotation subject"/>
    <w:basedOn w:val="CommentText"/>
    <w:next w:val="CommentText"/>
    <w:link w:val="CommentSubjectChar"/>
    <w:rsid w:val="006973AE"/>
    <w:rPr>
      <w:b/>
      <w:bCs/>
    </w:rPr>
  </w:style>
  <w:style w:type="character" w:customStyle="1" w:styleId="CommentSubjectChar">
    <w:name w:val="Comment Subject Char"/>
    <w:basedOn w:val="CommentTextChar"/>
    <w:link w:val="CommentSubject"/>
    <w:rsid w:val="006973AE"/>
    <w:rPr>
      <w:b/>
      <w:bCs/>
      <w:lang w:val="fr-CH" w:eastAsia="en-US"/>
    </w:rPr>
  </w:style>
  <w:style w:type="paragraph" w:styleId="Revision">
    <w:name w:val="Revision"/>
    <w:hidden/>
    <w:uiPriority w:val="99"/>
    <w:semiHidden/>
    <w:rsid w:val="006973AE"/>
    <w:rPr>
      <w:lang w:val="fr-CH" w:eastAsia="en-US"/>
    </w:rPr>
  </w:style>
  <w:style w:type="paragraph" w:styleId="BalloonText">
    <w:name w:val="Balloon Text"/>
    <w:basedOn w:val="Normal"/>
    <w:link w:val="BalloonTextChar"/>
    <w:rsid w:val="006973AE"/>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6973AE"/>
    <w:rPr>
      <w:rFonts w:ascii="Tahoma" w:hAnsi="Tahoma" w:cs="Tahoma"/>
      <w:sz w:val="16"/>
      <w:szCs w:val="16"/>
      <w:lang w:val="fr-CH" w:eastAsia="en-US"/>
    </w:rPr>
  </w:style>
  <w:style w:type="paragraph" w:customStyle="1" w:styleId="H1">
    <w:name w:val="_ H_1"/>
    <w:basedOn w:val="Normal"/>
    <w:next w:val="Normal"/>
    <w:qFormat/>
    <w:rsid w:val="00117CD8"/>
    <w:pPr>
      <w:keepNext/>
      <w:keepLines/>
      <w:spacing w:line="270" w:lineRule="exact"/>
      <w:outlineLvl w:val="0"/>
    </w:pPr>
    <w:rPr>
      <w:rFonts w:eastAsiaTheme="minorHAnsi"/>
      <w:b/>
      <w:spacing w:val="4"/>
      <w:w w:val="103"/>
      <w:kern w:val="14"/>
      <w:sz w:val="24"/>
      <w:szCs w:val="22"/>
      <w:lang w:val="fr-CA"/>
    </w:rPr>
  </w:style>
  <w:style w:type="paragraph" w:customStyle="1" w:styleId="HCH">
    <w:name w:val="_ H _CH"/>
    <w:basedOn w:val="H1"/>
    <w:next w:val="SingleTxt"/>
    <w:qFormat/>
    <w:rsid w:val="00117CD8"/>
    <w:pPr>
      <w:spacing w:line="300" w:lineRule="exact"/>
    </w:pPr>
    <w:rPr>
      <w:spacing w:val="-2"/>
      <w:sz w:val="28"/>
    </w:rPr>
  </w:style>
  <w:style w:type="character" w:customStyle="1" w:styleId="H4GChar">
    <w:name w:val="_ H_4_G Char"/>
    <w:link w:val="H4G"/>
    <w:rsid w:val="00117CD8"/>
    <w:rPr>
      <w:i/>
      <w:lang w:val="fr-CH"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120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nsion\AppData\Roaming\Microsoft\Templates\TRANS\TRANS_WP15_AC1_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TRANS_WP15_AC1_F.dotm</Template>
  <TotalTime>9</TotalTime>
  <Pages>34</Pages>
  <Words>10760</Words>
  <Characters>61336</Characters>
  <Application>Microsoft Office Word</Application>
  <DocSecurity>0</DocSecurity>
  <Lines>511</Lines>
  <Paragraphs>143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ECE/TRANS/WP.15/AC.1/</vt:lpstr>
      <vt:lpstr>ECE/TRANS/WP.15/AC.1/</vt:lpstr>
    </vt:vector>
  </TitlesOfParts>
  <Company>CSD</Company>
  <LinksUpToDate>false</LinksUpToDate>
  <CharactersWithSpaces>71953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ECE/TRANS/WP.15/AC.1/</dc:title>
  <dc:creator>UNECE</dc:creator>
  <cp:lastModifiedBy>barrio-champeau</cp:lastModifiedBy>
  <cp:revision>7</cp:revision>
  <cp:lastPrinted>2015-11-26T14:52:00Z</cp:lastPrinted>
  <dcterms:created xsi:type="dcterms:W3CDTF">2015-11-30T14:54:00Z</dcterms:created>
  <dcterms:modified xsi:type="dcterms:W3CDTF">2015-12-02T07:43:00Z</dcterms:modified>
</cp:coreProperties>
</file>