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1" w:rsidRPr="00CE7D66" w:rsidRDefault="00CE7D66" w:rsidP="00CE7D66">
      <w:pPr>
        <w:spacing w:line="240" w:lineRule="auto"/>
        <w:rPr>
          <w:color w:val="010000"/>
          <w:sz w:val="6"/>
        </w:rPr>
        <w:sectPr w:rsidR="004B4271" w:rsidRPr="00CE7D66" w:rsidSect="004B4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color w:val="010000"/>
          <w:sz w:val="6"/>
        </w:rPr>
        <w:t xml:space="preserve">  </w:t>
      </w:r>
    </w:p>
    <w:p w:rsidR="000C2222" w:rsidRPr="000C2222" w:rsidRDefault="000C2222" w:rsidP="00237E1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C2222">
        <w:rPr>
          <w:lang w:bidi="ru-RU"/>
        </w:rPr>
        <w:lastRenderedPageBreak/>
        <w:t>Европейская экономическая комиссия</w:t>
      </w:r>
    </w:p>
    <w:p w:rsidR="000C2222" w:rsidRPr="00237E1D" w:rsidRDefault="000C2222" w:rsidP="00237E1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C2222" w:rsidRPr="00237E1D" w:rsidRDefault="000C2222" w:rsidP="000C2222">
      <w:pPr>
        <w:rPr>
          <w:sz w:val="28"/>
          <w:szCs w:val="28"/>
          <w:lang w:bidi="ru-RU"/>
        </w:rPr>
      </w:pPr>
      <w:r w:rsidRPr="00237E1D">
        <w:rPr>
          <w:sz w:val="28"/>
          <w:szCs w:val="28"/>
          <w:lang w:bidi="ru-RU"/>
        </w:rPr>
        <w:t>Комитет по внутреннему транспорту</w:t>
      </w: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Pr="00237E1D" w:rsidRDefault="000C2222" w:rsidP="000C2222">
      <w:pPr>
        <w:rPr>
          <w:b/>
          <w:sz w:val="24"/>
          <w:szCs w:val="24"/>
          <w:lang w:bidi="ru-RU"/>
        </w:rPr>
      </w:pPr>
      <w:r w:rsidRPr="00237E1D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0C2222" w:rsidRPr="000C2222" w:rsidRDefault="000C2222" w:rsidP="000C2222">
      <w:pPr>
        <w:spacing w:line="120" w:lineRule="exact"/>
        <w:rPr>
          <w:b/>
          <w:sz w:val="10"/>
          <w:lang w:bidi="ru-RU"/>
        </w:rPr>
      </w:pPr>
    </w:p>
    <w:p w:rsidR="000C2222" w:rsidRPr="000C2222" w:rsidRDefault="000C2222" w:rsidP="000C2222">
      <w:pPr>
        <w:rPr>
          <w:b/>
          <w:lang w:bidi="ru-RU"/>
        </w:rPr>
      </w:pPr>
      <w:r w:rsidRPr="000C2222">
        <w:rPr>
          <w:b/>
          <w:lang w:bidi="ru-RU"/>
        </w:rPr>
        <w:t>Девяносто девятая сессия</w:t>
      </w:r>
    </w:p>
    <w:p w:rsidR="000C2222" w:rsidRPr="000C2222" w:rsidRDefault="000C2222" w:rsidP="000C2222">
      <w:pPr>
        <w:rPr>
          <w:lang w:bidi="ru-RU"/>
        </w:rPr>
      </w:pPr>
      <w:r w:rsidRPr="000C2222">
        <w:rPr>
          <w:lang w:bidi="ru-RU"/>
        </w:rPr>
        <w:t>Женева, 9</w:t>
      </w:r>
      <w:r w:rsidR="00E30B4C" w:rsidRPr="00237E1D">
        <w:rPr>
          <w:lang w:bidi="ru-RU"/>
        </w:rPr>
        <w:t>–</w:t>
      </w:r>
      <w:r w:rsidRPr="000C2222">
        <w:rPr>
          <w:lang w:bidi="ru-RU"/>
        </w:rPr>
        <w:t>13 ноября 2015 года</w:t>
      </w:r>
    </w:p>
    <w:p w:rsidR="000C2222" w:rsidRPr="000C2222" w:rsidRDefault="000C2222" w:rsidP="000C2222">
      <w:pPr>
        <w:rPr>
          <w:lang w:bidi="ru-RU"/>
        </w:rPr>
      </w:pPr>
      <w:r w:rsidRPr="000C2222">
        <w:rPr>
          <w:lang w:bidi="ru-RU"/>
        </w:rPr>
        <w:t>Пункт 6 b) предварительной повестки дня</w:t>
      </w:r>
    </w:p>
    <w:p w:rsidR="000C2222" w:rsidRPr="000C2222" w:rsidRDefault="000C2222" w:rsidP="000C2222">
      <w:pPr>
        <w:rPr>
          <w:b/>
          <w:bCs/>
          <w:lang w:bidi="ru-RU"/>
        </w:rPr>
      </w:pPr>
      <w:r w:rsidRPr="000C2222">
        <w:rPr>
          <w:b/>
          <w:lang w:bidi="ru-RU"/>
        </w:rPr>
        <w:t xml:space="preserve">Предложения о внесении поправок </w:t>
      </w:r>
      <w:r w:rsidRPr="000C2222">
        <w:rPr>
          <w:b/>
          <w:lang w:bidi="ru-RU"/>
        </w:rPr>
        <w:br/>
        <w:t xml:space="preserve">в приложения A и B к ДОПОГ: </w:t>
      </w:r>
      <w:r w:rsidRPr="000C2222">
        <w:rPr>
          <w:b/>
          <w:lang w:bidi="ru-RU"/>
        </w:rPr>
        <w:br/>
        <w:t>различные предложения</w:t>
      </w: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Pr="000C2222" w:rsidRDefault="000C2222" w:rsidP="000C22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C2222">
        <w:rPr>
          <w:lang w:bidi="ru-RU"/>
        </w:rPr>
        <w:tab/>
      </w:r>
      <w:r w:rsidRPr="000C2222">
        <w:rPr>
          <w:lang w:bidi="ru-RU"/>
        </w:rPr>
        <w:tab/>
        <w:t xml:space="preserve">Ограничения в отношении взрывчатых веществ </w:t>
      </w:r>
      <w:r w:rsidR="00F366C6" w:rsidRPr="000C2222">
        <w:rPr>
          <w:lang w:bidi="ru-RU"/>
        </w:rPr>
        <w:t>и</w:t>
      </w:r>
      <w:r w:rsidR="00F366C6">
        <w:rPr>
          <w:lang w:val="en-US" w:bidi="ru-RU"/>
        </w:rPr>
        <w:t> </w:t>
      </w:r>
      <w:r w:rsidRPr="000C2222">
        <w:rPr>
          <w:lang w:bidi="ru-RU"/>
        </w:rPr>
        <w:t xml:space="preserve">изделий − применение таблицы, содержащейся </w:t>
      </w:r>
      <w:r w:rsidR="00F366C6" w:rsidRPr="00237E1D">
        <w:rPr>
          <w:lang w:bidi="ru-RU"/>
        </w:rPr>
        <w:br/>
      </w:r>
      <w:r w:rsidRPr="000C2222">
        <w:rPr>
          <w:lang w:bidi="ru-RU"/>
        </w:rPr>
        <w:t>в пункте 7.5.5.2.1</w:t>
      </w: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Pr="000C2222" w:rsidRDefault="000C2222" w:rsidP="000C2222">
      <w:pPr>
        <w:spacing w:line="120" w:lineRule="exact"/>
        <w:rPr>
          <w:sz w:val="10"/>
          <w:lang w:bidi="ru-RU"/>
        </w:rPr>
      </w:pPr>
    </w:p>
    <w:p w:rsidR="000C2222" w:rsidRDefault="000C2222" w:rsidP="000C22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0C2222">
        <w:rPr>
          <w:lang w:bidi="ru-RU"/>
        </w:rPr>
        <w:tab/>
      </w:r>
      <w:r w:rsidRPr="000C2222">
        <w:rPr>
          <w:lang w:bidi="ru-RU"/>
        </w:rPr>
        <w:tab/>
        <w:t>Передано правительством Франции</w:t>
      </w:r>
      <w:r w:rsidRPr="00237E1D">
        <w:rPr>
          <w:b w:val="0"/>
          <w:color w:val="943634" w:themeColor="accent2" w:themeShade="BF"/>
          <w:sz w:val="20"/>
          <w:vertAlign w:val="superscript"/>
          <w:lang w:bidi="ru-RU"/>
        </w:rPr>
        <w:footnoteReference w:id="1"/>
      </w: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val="en-US" w:bidi="ru-RU"/>
        </w:rPr>
      </w:pP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0C2222" w:rsidTr="000C222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C2222" w:rsidRPr="000C2222" w:rsidRDefault="000C2222" w:rsidP="000C222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 w:bidi="ru-RU"/>
              </w:rPr>
            </w:pPr>
            <w:r>
              <w:rPr>
                <w:i/>
                <w:sz w:val="24"/>
                <w:lang w:val="en-US" w:bidi="ru-RU"/>
              </w:rPr>
              <w:tab/>
            </w:r>
            <w:proofErr w:type="spellStart"/>
            <w:r>
              <w:rPr>
                <w:i/>
                <w:sz w:val="24"/>
                <w:lang w:val="en-US" w:bidi="ru-RU"/>
              </w:rPr>
              <w:t>Резюме</w:t>
            </w:r>
            <w:proofErr w:type="spellEnd"/>
          </w:p>
        </w:tc>
      </w:tr>
      <w:tr w:rsidR="000C2222" w:rsidRPr="000C2222" w:rsidTr="000C2222">
        <w:tc>
          <w:tcPr>
            <w:tcW w:w="10051" w:type="dxa"/>
            <w:shd w:val="clear" w:color="auto" w:fill="auto"/>
          </w:tcPr>
          <w:p w:rsidR="000C2222" w:rsidRPr="000C2222" w:rsidRDefault="000C2222" w:rsidP="00237E1D">
            <w:pPr>
              <w:pStyle w:val="SingleTxt"/>
              <w:ind w:left="3859" w:hanging="2592"/>
              <w:rPr>
                <w:lang w:bidi="ru-RU"/>
              </w:rPr>
            </w:pPr>
            <w:r w:rsidRPr="00237E1D">
              <w:rPr>
                <w:b/>
                <w:lang w:bidi="ru-RU"/>
              </w:rPr>
              <w:t>Существо предложения</w:t>
            </w:r>
            <w:r w:rsidRPr="000C2222">
              <w:rPr>
                <w:lang w:bidi="ru-RU"/>
              </w:rPr>
              <w:t>:</w:t>
            </w:r>
            <w:r w:rsidRPr="000C2222">
              <w:rPr>
                <w:lang w:bidi="ru-RU"/>
              </w:rPr>
              <w:tab/>
            </w:r>
            <w:r w:rsidR="00F366C6" w:rsidRPr="00237E1D">
              <w:rPr>
                <w:lang w:bidi="ru-RU"/>
              </w:rPr>
              <w:tab/>
            </w:r>
            <w:r w:rsidRPr="000C2222">
              <w:rPr>
                <w:lang w:bidi="ru-RU"/>
              </w:rPr>
              <w:t>В таблице 7.5.5.2.1 установлена максимально допустимая масса нетто взрывчатого вещества, содержащегося в грузах класса 1, на одну транспортную единицу. В настоящее время вопрос заключается в том, как она должна применяться, если транспортная единица состоит из транспортных средств различных категорий (ЕХ/</w:t>
            </w:r>
            <w:r w:rsidRPr="000C2222">
              <w:rPr>
                <w:lang w:val="en-US" w:bidi="ru-RU"/>
              </w:rPr>
              <w:t>II</w:t>
            </w:r>
            <w:r w:rsidRPr="000C2222">
              <w:rPr>
                <w:lang w:bidi="ru-RU"/>
              </w:rPr>
              <w:t xml:space="preserve"> и </w:t>
            </w:r>
            <w:r w:rsidRPr="000C2222">
              <w:rPr>
                <w:lang w:val="en-US" w:bidi="ru-RU"/>
              </w:rPr>
              <w:t>EX</w:t>
            </w:r>
            <w:r w:rsidRPr="000C2222">
              <w:rPr>
                <w:lang w:bidi="ru-RU"/>
              </w:rPr>
              <w:t>/</w:t>
            </w:r>
            <w:r w:rsidRPr="000C2222">
              <w:rPr>
                <w:lang w:val="en-US" w:bidi="ru-RU"/>
              </w:rPr>
              <w:t>III</w:t>
            </w:r>
            <w:r w:rsidRPr="000C2222">
              <w:rPr>
                <w:lang w:bidi="ru-RU"/>
              </w:rPr>
              <w:t>).</w:t>
            </w:r>
          </w:p>
        </w:tc>
      </w:tr>
      <w:tr w:rsidR="000C2222" w:rsidRPr="000C2222" w:rsidTr="000C2222">
        <w:tc>
          <w:tcPr>
            <w:tcW w:w="10051" w:type="dxa"/>
            <w:shd w:val="clear" w:color="auto" w:fill="auto"/>
          </w:tcPr>
          <w:p w:rsidR="000C2222" w:rsidRPr="00237E1D" w:rsidRDefault="000C2222" w:rsidP="00237E1D">
            <w:pPr>
              <w:pStyle w:val="SingleTxt"/>
              <w:ind w:left="3859" w:hanging="2592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Предлагаемое решение:</w:t>
            </w:r>
            <w:r w:rsidRPr="00237E1D">
              <w:rPr>
                <w:b/>
                <w:lang w:bidi="ru-RU"/>
              </w:rPr>
              <w:tab/>
            </w:r>
            <w:r w:rsidR="00F366C6" w:rsidRPr="00237E1D">
              <w:rPr>
                <w:b/>
                <w:lang w:bidi="ru-RU"/>
              </w:rPr>
              <w:tab/>
            </w:r>
            <w:r w:rsidRPr="00237E1D">
              <w:rPr>
                <w:lang w:bidi="ru-RU"/>
              </w:rPr>
              <w:t>Изменить таблицу в пункте 7.5.5.2.1 ДОПОГ.</w:t>
            </w:r>
          </w:p>
        </w:tc>
      </w:tr>
      <w:tr w:rsidR="000C2222" w:rsidRPr="000C2222" w:rsidTr="000C222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C2222" w:rsidRDefault="000C2222" w:rsidP="00237E1D">
            <w:pPr>
              <w:pStyle w:val="SingleTxt"/>
              <w:ind w:left="3859" w:hanging="2592"/>
              <w:rPr>
                <w:lang w:bidi="ru-RU"/>
              </w:rPr>
            </w:pPr>
            <w:r>
              <w:rPr>
                <w:b/>
                <w:lang w:bidi="ru-RU"/>
              </w:rPr>
              <w:t>Справочные</w:t>
            </w:r>
            <w:r>
              <w:rPr>
                <w:b/>
              </w:rPr>
              <w:t xml:space="preserve"> документы:</w:t>
            </w:r>
            <w:r>
              <w:tab/>
              <w:t>ECE/TRANS/130 (ДОПОГ 1999 года), маргинальные номера 11 204 и 11 401.</w:t>
            </w:r>
          </w:p>
        </w:tc>
      </w:tr>
      <w:tr w:rsidR="000C2222" w:rsidRPr="000C2222" w:rsidTr="000C222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C2222" w:rsidRPr="000C2222" w:rsidRDefault="000C2222" w:rsidP="000C2222">
            <w:pPr>
              <w:pStyle w:val="SingleTxt"/>
              <w:rPr>
                <w:lang w:bidi="ru-RU"/>
              </w:rPr>
            </w:pPr>
          </w:p>
        </w:tc>
      </w:tr>
    </w:tbl>
    <w:p w:rsidR="000C2222" w:rsidRPr="000C2222" w:rsidRDefault="000C2222" w:rsidP="000C22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br w:type="page"/>
      </w:r>
      <w:r w:rsidRPr="000C2222">
        <w:rPr>
          <w:lang w:bidi="ru-RU"/>
        </w:rPr>
        <w:lastRenderedPageBreak/>
        <w:tab/>
      </w:r>
      <w:r w:rsidRPr="000C2222">
        <w:rPr>
          <w:lang w:bidi="ru-RU"/>
        </w:rPr>
        <w:tab/>
        <w:t>Введение</w:t>
      </w: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bidi="ru-RU"/>
        </w:rPr>
      </w:pP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bidi="ru-RU"/>
        </w:rPr>
      </w:pPr>
    </w:p>
    <w:p w:rsidR="000C2222" w:rsidRPr="00F366C6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1.</w:t>
      </w:r>
      <w:r w:rsidRPr="000C2222">
        <w:rPr>
          <w:lang w:bidi="ru-RU"/>
        </w:rPr>
        <w:tab/>
        <w:t xml:space="preserve">Согласно положению V2 в разделе 7.2.4 выбор транспортного </w:t>
      </w:r>
      <w:r w:rsidR="006163CE" w:rsidRPr="000C2222">
        <w:rPr>
          <w:lang w:bidi="ru-RU"/>
        </w:rPr>
        <w:t>средства</w:t>
      </w:r>
      <w:r w:rsidR="006163CE">
        <w:rPr>
          <w:lang w:val="en-US" w:bidi="ru-RU"/>
        </w:rPr>
        <w:t> </w:t>
      </w:r>
      <w:r w:rsidRPr="000C2222">
        <w:rPr>
          <w:lang w:bidi="ru-RU"/>
        </w:rPr>
        <w:t xml:space="preserve">ЕХ/II или ЕХ/III для перевозки упаковок класса 1 </w:t>
      </w:r>
      <w:r w:rsidR="00F366C6">
        <w:rPr>
          <w:lang w:bidi="ru-RU"/>
        </w:rPr>
        <w:t>«</w:t>
      </w:r>
      <w:r w:rsidRPr="000C2222">
        <w:rPr>
          <w:lang w:bidi="ru-RU"/>
        </w:rPr>
        <w:t>зависит от количества перевозимых грузов, которое ограничено в расчете на транспортную единицу в соответствии с положениями, касающимися погрузки (см. подраздел 7.5.5.2</w:t>
      </w:r>
      <w:r w:rsidR="00F366C6" w:rsidRPr="000C2222">
        <w:rPr>
          <w:lang w:bidi="ru-RU"/>
        </w:rPr>
        <w:t>)</w:t>
      </w:r>
      <w:r w:rsidR="00F366C6">
        <w:rPr>
          <w:lang w:bidi="ru-RU"/>
        </w:rPr>
        <w:t>»</w:t>
      </w:r>
      <w:r w:rsidR="00F366C6" w:rsidRPr="000C2222">
        <w:rPr>
          <w:lang w:bidi="ru-RU"/>
        </w:rPr>
        <w:t>.</w:t>
      </w:r>
      <w:r w:rsidR="00F366C6" w:rsidRPr="00237E1D">
        <w:rPr>
          <w:lang w:bidi="ru-RU"/>
        </w:rPr>
        <w:t xml:space="preserve"> 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2.</w:t>
      </w:r>
      <w:r w:rsidRPr="000C2222">
        <w:rPr>
          <w:lang w:bidi="ru-RU"/>
        </w:rPr>
        <w:tab/>
        <w:t>В таблице в пункте 7.5.5.2.1 установлена максимально допустимая масса нетто в килограммах взрывчатого вещества, содержащегося в грузах класса 1, на одну транспортную единицу.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3.</w:t>
      </w:r>
      <w:r w:rsidRPr="000C2222">
        <w:rPr>
          <w:lang w:bidi="ru-RU"/>
        </w:rPr>
        <w:tab/>
        <w:t>Порядок применения этой таблицы вполне понятен в том случае, если транспортные средства, образующие транспортную единицу, относятся к одной и той же категории, прежде всего в связи с тем, что в пункте 7.5.5.2.2 объясняется, как обращаться с партией, содержащей грузы различных подклассов класса 1.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4.</w:t>
      </w:r>
      <w:r w:rsidRPr="000C2222">
        <w:rPr>
          <w:lang w:bidi="ru-RU"/>
        </w:rPr>
        <w:tab/>
        <w:t>Ее применение становится проблематичным тогда, когда транспортная единица включает транспортные средства различных категорий. Например, каковы максимальные значения различных частей партии груза, размещаемых на грузовом автомобиле ЕХ/III и прицепе ЕХ/II?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5.</w:t>
      </w:r>
      <w:r w:rsidRPr="000C2222">
        <w:rPr>
          <w:lang w:bidi="ru-RU"/>
        </w:rPr>
        <w:tab/>
        <w:t>В практической деятельности можно было бы рассматривать эти ограничения не только по транспортным единицам, но и по транспортным средствам (учитывая то, что к перевозке допускаются транспортные средства, а не транспортные единицы). Таким образом, груз подкласса 1.2 массой нетто 16</w:t>
      </w:r>
      <w:r w:rsidR="005A735F" w:rsidRPr="00237E1D">
        <w:rPr>
          <w:lang w:bidi="ru-RU"/>
        </w:rPr>
        <w:t xml:space="preserve"> </w:t>
      </w:r>
      <w:r w:rsidRPr="000C2222">
        <w:rPr>
          <w:lang w:bidi="ru-RU"/>
        </w:rPr>
        <w:t>000 кг может быть перевезен с помощью транспортной единицы, состоящей из транспортного средства ЕХ/III (13</w:t>
      </w:r>
      <w:r w:rsidR="006163CE" w:rsidRPr="00237E1D">
        <w:rPr>
          <w:lang w:bidi="ru-RU"/>
        </w:rPr>
        <w:t xml:space="preserve"> </w:t>
      </w:r>
      <w:r w:rsidRPr="000C2222">
        <w:rPr>
          <w:lang w:bidi="ru-RU"/>
        </w:rPr>
        <w:t>000 кг груза), к которому может быть присоединен прицеп ЕХ/II (3</w:t>
      </w:r>
      <w:r w:rsidR="006163CE" w:rsidRPr="00237E1D">
        <w:rPr>
          <w:lang w:bidi="ru-RU"/>
        </w:rPr>
        <w:t xml:space="preserve"> </w:t>
      </w:r>
      <w:r w:rsidRPr="000C2222">
        <w:rPr>
          <w:lang w:bidi="ru-RU"/>
        </w:rPr>
        <w:t>000 кг груза).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6.</w:t>
      </w:r>
      <w:r w:rsidRPr="000C2222">
        <w:rPr>
          <w:lang w:bidi="ru-RU"/>
        </w:rPr>
        <w:tab/>
        <w:t>Если обратиться к варианту ДОПОГ до его реструктуризации, то выясняется, что согласно маргинальному номеру 11 204 ДОПОГ 1999 года перевозку веществ и изделий класса 1 осуществляют транспортные единицы ЕХ/II и EX/III, что соответствует маргинальному номеру 11 401 в таблице, которая идентична таблице в нынешнем пункте 7.5.5.2.1. Ограничения касаются транспортных единиц, при этом они определены для каждого их типа, в связи с чем у пользователей может сложиться мнение, что все транспортные средства данной транспортной единицы должны принадлежать к одной и той же категории.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7.</w:t>
      </w:r>
      <w:r w:rsidRPr="000C2222">
        <w:rPr>
          <w:lang w:bidi="ru-RU"/>
        </w:rPr>
        <w:tab/>
        <w:t xml:space="preserve">В свете конструкционных требований, применимых к транспортным средствам EX/II и EX/III, в том числе в отношении кузова, транспортной единице, включающей по меньшей мере одно транспортное средство ЕХ/II, не может, по нашему мнению, быть назначено максимальное значение, указанное в строке таблицы для ЕХ/III. Максимальное количество должно соответствовать показателю, указанному в строке для EX/II, даже если транспортная единица включает и транспортное средство ЕХ/III. </w:t>
      </w:r>
    </w:p>
    <w:p w:rsidR="000C2222" w:rsidRPr="000C2222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8.</w:t>
      </w:r>
      <w:r w:rsidRPr="000C2222">
        <w:rPr>
          <w:lang w:bidi="ru-RU"/>
        </w:rPr>
        <w:tab/>
        <w:t>С целью прояснить данный момент в таблице 7.5.5.2.1 мы предлагаем изменить ее следующим образом.</w:t>
      </w:r>
    </w:p>
    <w:p w:rsidR="000C2222" w:rsidRPr="000C2222" w:rsidRDefault="000C2222" w:rsidP="000C222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C2222" w:rsidRPr="000C2222" w:rsidRDefault="000C2222" w:rsidP="000C222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C2222" w:rsidRPr="000C2222" w:rsidRDefault="000C2222" w:rsidP="000C22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C2222">
        <w:rPr>
          <w:lang w:bidi="ru-RU"/>
        </w:rPr>
        <w:tab/>
      </w:r>
      <w:r w:rsidRPr="000C2222">
        <w:rPr>
          <w:lang w:bidi="ru-RU"/>
        </w:rPr>
        <w:tab/>
        <w:t>Предложение</w:t>
      </w: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bidi="ru-RU"/>
        </w:rPr>
      </w:pPr>
    </w:p>
    <w:p w:rsidR="000C2222" w:rsidRPr="000C2222" w:rsidRDefault="000C2222" w:rsidP="000C2222">
      <w:pPr>
        <w:pStyle w:val="SingleTxt"/>
        <w:spacing w:after="0" w:line="120" w:lineRule="exact"/>
        <w:rPr>
          <w:sz w:val="10"/>
          <w:lang w:bidi="ru-RU"/>
        </w:rPr>
      </w:pPr>
    </w:p>
    <w:p w:rsidR="000C2222" w:rsidRPr="00237E1D" w:rsidRDefault="000C2222" w:rsidP="000C2222">
      <w:pPr>
        <w:pStyle w:val="SingleTxt"/>
        <w:rPr>
          <w:lang w:bidi="ru-RU"/>
        </w:rPr>
      </w:pPr>
      <w:r w:rsidRPr="000C2222">
        <w:rPr>
          <w:lang w:bidi="ru-RU"/>
        </w:rPr>
        <w:t>9.</w:t>
      </w:r>
      <w:r w:rsidRPr="000C2222">
        <w:rPr>
          <w:lang w:bidi="ru-RU"/>
        </w:rPr>
        <w:tab/>
        <w:t>Изменить таблицу в пункте 7.5.5.2.1 следующим образом (новый текст выделен жирным курсивом):</w:t>
      </w:r>
    </w:p>
    <w:p w:rsidR="00FE2AC2" w:rsidRPr="00237E1D" w:rsidRDefault="00FE2AC2" w:rsidP="00237E1D">
      <w:pPr>
        <w:pStyle w:val="SingleTxt"/>
        <w:spacing w:after="0" w:line="120" w:lineRule="exact"/>
        <w:rPr>
          <w:sz w:val="10"/>
          <w:lang w:bidi="ru-RU"/>
        </w:rPr>
      </w:pPr>
      <w:r w:rsidRPr="00237E1D">
        <w:rPr>
          <w:lang w:bidi="ru-RU"/>
        </w:rPr>
        <w:br w:type="page"/>
      </w:r>
    </w:p>
    <w:p w:rsidR="00D3648C" w:rsidRPr="00237E1D" w:rsidRDefault="00D3648C" w:rsidP="00237E1D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jc w:val="center"/>
        <w:tblInd w:w="288" w:type="dxa"/>
        <w:tblCellMar>
          <w:left w:w="29" w:type="dxa"/>
          <w:right w:w="14" w:type="dxa"/>
        </w:tblCellMar>
        <w:tblLook w:val="04A0"/>
      </w:tblPr>
      <w:tblGrid>
        <w:gridCol w:w="1501"/>
        <w:gridCol w:w="1503"/>
        <w:gridCol w:w="544"/>
        <w:gridCol w:w="671"/>
        <w:gridCol w:w="688"/>
        <w:gridCol w:w="756"/>
        <w:gridCol w:w="747"/>
        <w:gridCol w:w="1233"/>
        <w:gridCol w:w="803"/>
        <w:gridCol w:w="1360"/>
      </w:tblGrid>
      <w:tr w:rsidR="00837726" w:rsidTr="00237E1D">
        <w:trPr>
          <w:cantSplit/>
          <w:trHeight w:val="613"/>
          <w:jc w:val="center"/>
        </w:trPr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 xml:space="preserve">Транспортная единица </w:t>
            </w:r>
            <w:r w:rsidR="006827A8">
              <w:rPr>
                <w:b/>
              </w:rPr>
              <w:br/>
            </w:r>
            <w:r>
              <w:rPr>
                <w:b/>
                <w:i/>
              </w:rPr>
              <w:t>в составе транспортных средств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Подкласс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1.5 и 1.6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Порожняя неочищенная тара</w:t>
            </w:r>
          </w:p>
        </w:tc>
      </w:tr>
      <w:tr w:rsidR="004D5E98" w:rsidTr="00237E1D">
        <w:trPr>
          <w:cantSplit/>
          <w:trHeight w:val="613"/>
          <w:jc w:val="center"/>
        </w:trPr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pacing w:line="240" w:lineRule="auto"/>
              <w:rPr>
                <w:b/>
                <w:bCs/>
                <w:lang w:bidi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Группа совместимости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1.1A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Кроме 1.1A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Кроме 1.4S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  <w:r>
              <w:rPr>
                <w:b/>
              </w:rPr>
              <w:t>1.4S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AC2" w:rsidRDefault="00FE2AC2">
            <w:pPr>
              <w:suppressAutoHyphens/>
              <w:jc w:val="center"/>
              <w:rPr>
                <w:b/>
                <w:bCs/>
                <w:lang w:bidi="ru-RU"/>
              </w:rPr>
            </w:pPr>
          </w:p>
        </w:tc>
      </w:tr>
      <w:tr w:rsidR="004D5E98" w:rsidTr="00237E1D">
        <w:trPr>
          <w:cantSplit/>
          <w:trHeight w:val="373"/>
          <w:jc w:val="center"/>
        </w:trPr>
        <w:tc>
          <w:tcPr>
            <w:tcW w:w="3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rPr>
                <w:lang w:bidi="ru-RU"/>
              </w:rPr>
            </w:pPr>
            <w:r>
              <w:t>EX/II</w:t>
            </w:r>
            <w:r>
              <w:rPr>
                <w:vertAlign w:val="superscript"/>
              </w:rPr>
              <w:t xml:space="preserve">a </w:t>
            </w:r>
            <w:r>
              <w:rPr>
                <w:b/>
                <w:i/>
              </w:rPr>
              <w:t>или EX/II</w:t>
            </w:r>
            <w:r w:rsidRPr="006827A8">
              <w:rPr>
                <w:b/>
                <w:i/>
                <w:vertAlign w:val="superscript"/>
              </w:rPr>
              <w:t>a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i/>
              </w:rPr>
              <w:t>и EX/III</w:t>
            </w:r>
            <w:r w:rsidRPr="006827A8">
              <w:rPr>
                <w:b/>
                <w:i/>
                <w:vertAlign w:val="superscript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6,25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1 000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3 000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5 000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15 000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без ограничений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без ограничений</w:t>
            </w:r>
          </w:p>
        </w:tc>
      </w:tr>
      <w:tr w:rsidR="004D5E98" w:rsidTr="00237E1D">
        <w:trPr>
          <w:cantSplit/>
          <w:trHeight w:val="392"/>
          <w:jc w:val="center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AC2" w:rsidRDefault="00FE2AC2">
            <w:pPr>
              <w:suppressAutoHyphens/>
              <w:rPr>
                <w:lang w:bidi="ru-RU"/>
              </w:rPr>
            </w:pPr>
            <w:r>
              <w:t>EX/III</w:t>
            </w:r>
            <w:r>
              <w:rPr>
                <w:vertAlign w:val="superscript"/>
              </w:rPr>
              <w:t>a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18,75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16 000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16 000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16 000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16 000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без ограничений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16 000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2AC2" w:rsidRDefault="00FE2AC2">
            <w:pPr>
              <w:suppressAutoHyphens/>
              <w:jc w:val="center"/>
              <w:rPr>
                <w:lang w:bidi="ru-RU"/>
              </w:rPr>
            </w:pPr>
            <w:r>
              <w:t>без ограничений</w:t>
            </w:r>
          </w:p>
        </w:tc>
      </w:tr>
    </w:tbl>
    <w:p w:rsidR="00FE2AC2" w:rsidRPr="00237E1D" w:rsidRDefault="00FE2AC2" w:rsidP="00237E1D">
      <w:pPr>
        <w:pStyle w:val="SingleTxt"/>
        <w:spacing w:after="0" w:line="120" w:lineRule="exact"/>
        <w:rPr>
          <w:sz w:val="10"/>
          <w:lang w:val="en-US" w:bidi="ru-RU"/>
        </w:rPr>
      </w:pPr>
    </w:p>
    <w:p w:rsidR="00FE2AC2" w:rsidRPr="00237E1D" w:rsidRDefault="00FE2AC2" w:rsidP="00237E1D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bidi="ru-RU"/>
        </w:rPr>
      </w:pPr>
      <w:r w:rsidRPr="00237E1D">
        <w:rPr>
          <w:lang w:bidi="ru-RU"/>
        </w:rPr>
        <w:tab/>
      </w:r>
      <w:r w:rsidRPr="00237E1D">
        <w:rPr>
          <w:vertAlign w:val="superscript"/>
          <w:lang w:bidi="ru-RU"/>
        </w:rPr>
        <w:t>а</w:t>
      </w:r>
      <w:r w:rsidRPr="00237E1D">
        <w:rPr>
          <w:lang w:bidi="ru-RU"/>
        </w:rPr>
        <w:tab/>
      </w:r>
      <w:r w:rsidRPr="00237E1D">
        <w:rPr>
          <w:i/>
          <w:lang w:bidi="ru-RU"/>
        </w:rPr>
        <w:t xml:space="preserve">Описание транспортных средств </w:t>
      </w:r>
      <w:r w:rsidRPr="00237E1D">
        <w:rPr>
          <w:i/>
          <w:lang w:val="en-US" w:bidi="ru-RU"/>
        </w:rPr>
        <w:t>EX</w:t>
      </w:r>
      <w:r w:rsidRPr="00237E1D">
        <w:rPr>
          <w:i/>
          <w:lang w:bidi="ru-RU"/>
        </w:rPr>
        <w:t>/</w:t>
      </w:r>
      <w:r w:rsidRPr="00237E1D">
        <w:rPr>
          <w:i/>
          <w:lang w:val="en-US" w:bidi="ru-RU"/>
        </w:rPr>
        <w:t>II</w:t>
      </w:r>
      <w:r w:rsidRPr="00237E1D">
        <w:rPr>
          <w:i/>
          <w:lang w:bidi="ru-RU"/>
        </w:rPr>
        <w:t xml:space="preserve"> и </w:t>
      </w:r>
      <w:r w:rsidRPr="00237E1D">
        <w:rPr>
          <w:i/>
          <w:lang w:val="en-US" w:bidi="ru-RU"/>
        </w:rPr>
        <w:t>EX</w:t>
      </w:r>
      <w:r w:rsidRPr="00237E1D">
        <w:rPr>
          <w:i/>
          <w:lang w:bidi="ru-RU"/>
        </w:rPr>
        <w:t>/</w:t>
      </w:r>
      <w:r w:rsidRPr="00237E1D">
        <w:rPr>
          <w:i/>
          <w:lang w:val="en-US" w:bidi="ru-RU"/>
        </w:rPr>
        <w:t>III</w:t>
      </w:r>
      <w:r w:rsidRPr="00237E1D">
        <w:rPr>
          <w:i/>
          <w:lang w:bidi="ru-RU"/>
        </w:rPr>
        <w:t xml:space="preserve"> см. в части 9</w:t>
      </w:r>
      <w:r w:rsidRPr="00237E1D">
        <w:rPr>
          <w:lang w:bidi="ru-RU"/>
        </w:rPr>
        <w:t>.</w:t>
      </w:r>
    </w:p>
    <w:p w:rsidR="00FE2AC2" w:rsidRPr="00237E1D" w:rsidRDefault="00FE2AC2" w:rsidP="00237E1D">
      <w:pPr>
        <w:pStyle w:val="SingleTxt"/>
        <w:spacing w:after="0" w:line="120" w:lineRule="exact"/>
        <w:rPr>
          <w:sz w:val="10"/>
          <w:lang w:bidi="ru-RU"/>
        </w:rPr>
      </w:pPr>
    </w:p>
    <w:p w:rsidR="00FE2AC2" w:rsidRPr="00237E1D" w:rsidRDefault="00FE2AC2" w:rsidP="00237E1D">
      <w:pPr>
        <w:pStyle w:val="SingleTxt"/>
        <w:spacing w:after="0" w:line="120" w:lineRule="exact"/>
        <w:rPr>
          <w:sz w:val="10"/>
          <w:lang w:bidi="ru-RU"/>
        </w:rPr>
      </w:pPr>
    </w:p>
    <w:p w:rsidR="00FE2AC2" w:rsidRPr="00237E1D" w:rsidRDefault="00FE2AC2" w:rsidP="00237E1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237E1D">
        <w:rPr>
          <w:lang w:bidi="ru-RU"/>
        </w:rPr>
        <w:tab/>
      </w:r>
      <w:r w:rsidRPr="00237E1D">
        <w:rPr>
          <w:lang w:bidi="ru-RU"/>
        </w:rPr>
        <w:tab/>
        <w:t>Обоснование</w:t>
      </w:r>
    </w:p>
    <w:p w:rsidR="00FE2AC2" w:rsidRPr="00237E1D" w:rsidRDefault="00FE2AC2" w:rsidP="00237E1D">
      <w:pPr>
        <w:pStyle w:val="SingleTxt"/>
        <w:spacing w:after="0" w:line="120" w:lineRule="exact"/>
        <w:rPr>
          <w:sz w:val="10"/>
          <w:lang w:bidi="ru-RU"/>
        </w:rPr>
      </w:pPr>
    </w:p>
    <w:p w:rsidR="00FE2AC2" w:rsidRPr="00237E1D" w:rsidRDefault="00FE2AC2" w:rsidP="00237E1D">
      <w:pPr>
        <w:pStyle w:val="SingleTxt"/>
        <w:spacing w:after="0" w:line="120" w:lineRule="exact"/>
        <w:rPr>
          <w:sz w:val="10"/>
          <w:lang w:bidi="ru-RU"/>
        </w:rPr>
      </w:pPr>
    </w:p>
    <w:p w:rsidR="00FE2AC2" w:rsidRPr="00237E1D" w:rsidRDefault="00FE2AC2" w:rsidP="00237E1D">
      <w:pPr>
        <w:pStyle w:val="SingleTxt"/>
        <w:ind w:left="5155" w:hanging="3888"/>
        <w:rPr>
          <w:lang w:bidi="ru-RU"/>
        </w:rPr>
      </w:pPr>
      <w:r w:rsidRPr="00237E1D">
        <w:rPr>
          <w:lang w:bidi="ru-RU"/>
        </w:rPr>
        <w:t>Безопасность:</w:t>
      </w:r>
      <w:r w:rsidRPr="00237E1D">
        <w:rPr>
          <w:lang w:bidi="ru-RU"/>
        </w:rPr>
        <w:tab/>
      </w:r>
      <w:r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Pr="00237E1D">
        <w:rPr>
          <w:lang w:bidi="ru-RU"/>
        </w:rPr>
        <w:t>повышает уровень безопасности.</w:t>
      </w:r>
    </w:p>
    <w:p w:rsidR="00FE2AC2" w:rsidRPr="00237E1D" w:rsidRDefault="00FE2AC2" w:rsidP="00237E1D">
      <w:pPr>
        <w:pStyle w:val="SingleTxt"/>
        <w:ind w:left="5155" w:hanging="3888"/>
        <w:rPr>
          <w:lang w:bidi="ru-RU"/>
        </w:rPr>
      </w:pPr>
      <w:r w:rsidRPr="00237E1D">
        <w:rPr>
          <w:lang w:bidi="ru-RU"/>
        </w:rPr>
        <w:t>Осуществимость:</w:t>
      </w:r>
      <w:r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="005224ED" w:rsidRPr="00237E1D">
        <w:rPr>
          <w:lang w:bidi="ru-RU"/>
        </w:rPr>
        <w:tab/>
      </w:r>
      <w:r w:rsidRPr="00237E1D">
        <w:rPr>
          <w:lang w:bidi="ru-RU"/>
        </w:rPr>
        <w:t>помогает избежать путаницы при толковании документов.</w:t>
      </w:r>
    </w:p>
    <w:p w:rsidR="00FE2AC2" w:rsidRPr="00237E1D" w:rsidRDefault="00FE2AC2" w:rsidP="00237E1D">
      <w:pPr>
        <w:pStyle w:val="SingleTxt"/>
        <w:ind w:left="5155" w:hanging="3888"/>
        <w:rPr>
          <w:lang w:bidi="ru-RU"/>
        </w:rPr>
      </w:pPr>
      <w:r w:rsidRPr="00237E1D">
        <w:rPr>
          <w:lang w:bidi="ru-RU"/>
        </w:rPr>
        <w:t>Возможность обеспечения исполнения:</w:t>
      </w:r>
      <w:r w:rsidRPr="00237E1D">
        <w:rPr>
          <w:lang w:bidi="ru-RU"/>
        </w:rPr>
        <w:tab/>
        <w:t>облегчает применение положений.</w:t>
      </w:r>
    </w:p>
    <w:p w:rsidR="000C2222" w:rsidRPr="00237E1D" w:rsidRDefault="00231FD3" w:rsidP="00237E1D">
      <w:pPr>
        <w:pStyle w:val="SingleTxt"/>
        <w:spacing w:after="0"/>
        <w:rPr>
          <w:vertAlign w:val="superscript"/>
          <w:lang w:bidi="ru-RU"/>
        </w:rPr>
      </w:pPr>
      <w:r w:rsidRPr="00231FD3">
        <w:rPr>
          <w:noProof/>
          <w:w w:val="100"/>
          <w:lang w:eastAsia="ru-RU"/>
        </w:rPr>
        <w:pict>
          <v:line id="Straight Connector 5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</w:pict>
      </w:r>
    </w:p>
    <w:sectPr w:rsidR="000C2222" w:rsidRPr="00237E1D" w:rsidSect="004B427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6A" w:rsidRDefault="0013406A" w:rsidP="008A1A7A">
      <w:pPr>
        <w:spacing w:line="240" w:lineRule="auto"/>
      </w:pPr>
      <w:r>
        <w:separator/>
      </w:r>
    </w:p>
  </w:endnote>
  <w:endnote w:type="continuationSeparator" w:id="0">
    <w:p w:rsidR="0013406A" w:rsidRDefault="0013406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B4271" w:rsidTr="004B427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4271" w:rsidRPr="004B4271" w:rsidRDefault="00231FD3" w:rsidP="004B4271">
          <w:pPr>
            <w:pStyle w:val="Pieddepage"/>
            <w:rPr>
              <w:color w:val="000000"/>
            </w:rPr>
          </w:pPr>
          <w:r>
            <w:fldChar w:fldCharType="begin"/>
          </w:r>
          <w:r w:rsidR="004B4271">
            <w:instrText xml:space="preserve"> PAGE  \* Arabic  \* MERGEFORMAT </w:instrText>
          </w:r>
          <w:r>
            <w:fldChar w:fldCharType="separate"/>
          </w:r>
          <w:r w:rsidR="00893214">
            <w:rPr>
              <w:noProof/>
            </w:rPr>
            <w:t>2</w:t>
          </w:r>
          <w:r>
            <w:fldChar w:fldCharType="end"/>
          </w:r>
          <w:r w:rsidR="004B4271">
            <w:t>/</w:t>
          </w:r>
          <w:fldSimple w:instr=" NUMPAGES  \* Arabic  \* MERGEFORMAT ">
            <w:r w:rsidR="00893214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B4271" w:rsidRPr="004B4271" w:rsidRDefault="00231FD3" w:rsidP="004B4271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EA781E">
              <w:rPr>
                <w:b w:val="0"/>
                <w:color w:val="000000"/>
                <w:sz w:val="14"/>
              </w:rPr>
              <w:t>GE.15-13381</w:t>
            </w:r>
          </w:fldSimple>
        </w:p>
      </w:tc>
    </w:tr>
  </w:tbl>
  <w:p w:rsidR="004B4271" w:rsidRPr="004B4271" w:rsidRDefault="004B4271" w:rsidP="004B42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B4271" w:rsidTr="004B427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4271" w:rsidRPr="004B4271" w:rsidRDefault="00231FD3" w:rsidP="004B4271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4B4271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A781E">
            <w:rPr>
              <w:b w:val="0"/>
              <w:color w:val="000000"/>
              <w:sz w:val="14"/>
            </w:rPr>
            <w:t>GE.15-13381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4271" w:rsidRPr="004B4271" w:rsidRDefault="00231FD3" w:rsidP="004B4271">
          <w:pPr>
            <w:pStyle w:val="Pieddepage"/>
            <w:jc w:val="right"/>
          </w:pPr>
          <w:r>
            <w:fldChar w:fldCharType="begin"/>
          </w:r>
          <w:r w:rsidR="004B4271">
            <w:instrText xml:space="preserve"> PAGE  \* Arabic  \* MERGEFORMAT </w:instrText>
          </w:r>
          <w:r>
            <w:fldChar w:fldCharType="separate"/>
          </w:r>
          <w:r w:rsidR="00893214">
            <w:rPr>
              <w:noProof/>
            </w:rPr>
            <w:t>3</w:t>
          </w:r>
          <w:r>
            <w:fldChar w:fldCharType="end"/>
          </w:r>
          <w:r w:rsidR="004B4271">
            <w:t>/</w:t>
          </w:r>
          <w:fldSimple w:instr=" NUMPAGES  \* Arabic  \* MERGEFORMAT ">
            <w:r w:rsidR="00893214">
              <w:rPr>
                <w:noProof/>
              </w:rPr>
              <w:t>3</w:t>
            </w:r>
          </w:fldSimple>
        </w:p>
      </w:tc>
    </w:tr>
  </w:tbl>
  <w:p w:rsidR="004B4271" w:rsidRPr="004B4271" w:rsidRDefault="004B4271" w:rsidP="004B427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4B4271" w:rsidTr="004B4271">
      <w:tc>
        <w:tcPr>
          <w:tcW w:w="3873" w:type="dxa"/>
        </w:tcPr>
        <w:p w:rsidR="00CE7D66" w:rsidRDefault="00CE7D66" w:rsidP="00CE7D66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GE.1513381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3381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t>GE.15-13381 (R)</w:t>
          </w:r>
          <w:r>
            <w:rPr>
              <w:color w:val="010000"/>
            </w:rPr>
            <w:t xml:space="preserve">    </w:t>
          </w:r>
          <w:r>
            <w:rPr>
              <w:color w:val="010000"/>
            </w:rPr>
            <w:t>1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0915    160915</w:t>
          </w:r>
        </w:p>
        <w:p w:rsidR="004B4271" w:rsidRPr="00CE7D66" w:rsidRDefault="00CE7D66" w:rsidP="00CE7D66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*1513381*</w:t>
          </w:r>
        </w:p>
      </w:tc>
      <w:tc>
        <w:tcPr>
          <w:tcW w:w="5127" w:type="dxa"/>
        </w:tcPr>
        <w:p w:rsidR="004B4271" w:rsidRDefault="004B4271" w:rsidP="004B4271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4271" w:rsidRPr="004B4271" w:rsidRDefault="004B4271" w:rsidP="004B4271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6A" w:rsidRPr="00237E1D" w:rsidRDefault="0013406A" w:rsidP="00237E1D">
      <w:pPr>
        <w:spacing w:after="80" w:line="240" w:lineRule="auto"/>
        <w:ind w:left="792"/>
        <w:rPr>
          <w:b/>
          <w:sz w:val="16"/>
        </w:rPr>
      </w:pPr>
      <w:r w:rsidRPr="00237E1D">
        <w:rPr>
          <w:b/>
          <w:sz w:val="16"/>
        </w:rPr>
        <w:t>__________________</w:t>
      </w:r>
    </w:p>
  </w:footnote>
  <w:footnote w:type="continuationSeparator" w:id="0">
    <w:p w:rsidR="0013406A" w:rsidRPr="00237E1D" w:rsidRDefault="0013406A" w:rsidP="00237E1D">
      <w:pPr>
        <w:spacing w:after="80" w:line="240" w:lineRule="auto"/>
        <w:ind w:left="792"/>
        <w:rPr>
          <w:b/>
          <w:sz w:val="16"/>
        </w:rPr>
      </w:pPr>
      <w:r w:rsidRPr="00237E1D">
        <w:rPr>
          <w:b/>
          <w:sz w:val="16"/>
        </w:rPr>
        <w:t>__________________</w:t>
      </w:r>
    </w:p>
  </w:footnote>
  <w:footnote w:id="1">
    <w:p w:rsidR="000C2222" w:rsidRDefault="000C2222" w:rsidP="00E30B4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 w:rsidR="00F366C6" w:rsidRPr="00237E1D">
        <w:br/>
      </w:r>
      <w:r>
        <w:t>на 2014−2015 годы (ECE/TRANS/240, пункт 100; ECE/TRANS/2014/23, направление деятельности 9, пункт 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B4271" w:rsidTr="004B427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4271" w:rsidRPr="00CE7D66" w:rsidRDefault="00231FD3" w:rsidP="004B4271">
          <w:pPr>
            <w:pStyle w:val="En-tte"/>
            <w:spacing w:after="80"/>
            <w:rPr>
              <w:b/>
            </w:rPr>
          </w:pPr>
          <w:fldSimple w:instr=" DOCVARIABLE &quot;Symbol1&quot; \* MERGEFORMAT ">
            <w:r w:rsidR="00EA781E">
              <w:rPr>
                <w:b/>
              </w:rPr>
              <w:t>ECE/TRANS/WP.15/2015/9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B4271" w:rsidRDefault="004B4271" w:rsidP="004B4271">
          <w:pPr>
            <w:pStyle w:val="En-tte"/>
          </w:pPr>
        </w:p>
      </w:tc>
    </w:tr>
  </w:tbl>
  <w:p w:rsidR="004B4271" w:rsidRPr="004B4271" w:rsidRDefault="004B4271" w:rsidP="004B42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B4271" w:rsidTr="004B427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4271" w:rsidRDefault="004B4271" w:rsidP="004B4271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4B4271" w:rsidRPr="00CE7D66" w:rsidRDefault="00231FD3" w:rsidP="004B4271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CE7D66"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EA781E">
            <w:rPr>
              <w:b/>
            </w:rPr>
            <w:t>ECE/TRANS/WP.15/2015/9</w:t>
          </w:r>
          <w:r>
            <w:rPr>
              <w:b/>
            </w:rPr>
            <w:fldChar w:fldCharType="end"/>
          </w:r>
          <w:r w:rsidR="00CE7D66">
            <w:rPr>
              <w:b/>
            </w:rPr>
            <w:br/>
          </w:r>
          <w:fldSimple w:instr=" DOCVARIABLE &quot;Symbol2&quot; \* MERGEFORMAT ">
            <w:r w:rsidR="00EA781E">
              <w:rPr>
                <w:b/>
              </w:rPr>
              <w:t>-</w:t>
            </w:r>
          </w:fldSimple>
        </w:p>
      </w:tc>
    </w:tr>
  </w:tbl>
  <w:p w:rsidR="004B4271" w:rsidRPr="004B4271" w:rsidRDefault="004B4271" w:rsidP="004B42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4B4271" w:rsidTr="004B427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B4271" w:rsidRPr="004B4271" w:rsidRDefault="004B4271" w:rsidP="004B427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B4271" w:rsidRDefault="004B4271" w:rsidP="004B4271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B4271" w:rsidRPr="00BD00FD" w:rsidRDefault="00BD00FD" w:rsidP="00BD00FD">
          <w:pPr>
            <w:pStyle w:val="En-tte"/>
            <w:spacing w:after="8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  <w:sz w:val="20"/>
            </w:rPr>
            <w:t>/TRANS/WP.15/2015/9</w:t>
          </w:r>
        </w:p>
      </w:tc>
    </w:tr>
    <w:tr w:rsidR="004B4271" w:rsidRPr="00237E1D" w:rsidTr="004B427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4271" w:rsidRPr="004B4271" w:rsidRDefault="004B4271" w:rsidP="004B4271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4271" w:rsidRPr="004B4271" w:rsidRDefault="004B4271" w:rsidP="004B427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4271" w:rsidRPr="004B4271" w:rsidRDefault="004B4271" w:rsidP="004B4271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4271" w:rsidRPr="000C2222" w:rsidRDefault="004B4271" w:rsidP="004B4271">
          <w:pPr>
            <w:pStyle w:val="Distribution"/>
            <w:rPr>
              <w:color w:val="000000"/>
              <w:lang w:val="en-US"/>
            </w:rPr>
          </w:pPr>
          <w:r w:rsidRPr="000C2222">
            <w:rPr>
              <w:color w:val="000000"/>
              <w:lang w:val="en-US"/>
            </w:rPr>
            <w:t>Distr.: General</w:t>
          </w:r>
        </w:p>
        <w:p w:rsidR="004B4271" w:rsidRPr="000C2222" w:rsidRDefault="006827A8" w:rsidP="004B4271">
          <w:pPr>
            <w:pStyle w:val="Publication"/>
            <w:rPr>
              <w:color w:val="000000"/>
              <w:lang w:val="en-US"/>
            </w:rPr>
          </w:pPr>
          <w:r w:rsidRPr="00237E1D">
            <w:rPr>
              <w:color w:val="000000"/>
              <w:lang w:val="en-US"/>
            </w:rPr>
            <w:t>7</w:t>
          </w:r>
          <w:r w:rsidR="004B4271" w:rsidRPr="000C2222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August</w:t>
          </w:r>
          <w:r w:rsidRPr="000C2222">
            <w:rPr>
              <w:color w:val="000000"/>
              <w:lang w:val="en-US"/>
            </w:rPr>
            <w:t xml:space="preserve"> </w:t>
          </w:r>
          <w:r w:rsidR="004B4271" w:rsidRPr="000C2222">
            <w:rPr>
              <w:color w:val="000000"/>
              <w:lang w:val="en-US"/>
            </w:rPr>
            <w:t>2015</w:t>
          </w:r>
        </w:p>
        <w:p w:rsidR="004B4271" w:rsidRPr="000C2222" w:rsidRDefault="004B4271" w:rsidP="004B4271">
          <w:pPr>
            <w:rPr>
              <w:color w:val="000000"/>
              <w:lang w:val="en-US"/>
            </w:rPr>
          </w:pPr>
          <w:r w:rsidRPr="000C2222">
            <w:rPr>
              <w:color w:val="000000"/>
              <w:lang w:val="en-US"/>
            </w:rPr>
            <w:t>Russian</w:t>
          </w:r>
        </w:p>
        <w:p w:rsidR="004B4271" w:rsidRPr="000C2222" w:rsidRDefault="004B4271" w:rsidP="004B4271">
          <w:pPr>
            <w:pStyle w:val="Original"/>
            <w:rPr>
              <w:color w:val="000000"/>
              <w:lang w:val="en-US"/>
            </w:rPr>
          </w:pPr>
          <w:r w:rsidRPr="000C2222">
            <w:rPr>
              <w:color w:val="000000"/>
              <w:lang w:val="en-US"/>
            </w:rPr>
            <w:t xml:space="preserve">Original: </w:t>
          </w:r>
          <w:r w:rsidR="00B65DA9">
            <w:rPr>
              <w:color w:val="000000"/>
              <w:lang w:val="en-US"/>
            </w:rPr>
            <w:t>French</w:t>
          </w:r>
        </w:p>
        <w:p w:rsidR="004B4271" w:rsidRPr="000C2222" w:rsidRDefault="004B4271" w:rsidP="004B4271">
          <w:pPr>
            <w:rPr>
              <w:lang w:val="en-US"/>
            </w:rPr>
          </w:pPr>
        </w:p>
      </w:tc>
    </w:tr>
  </w:tbl>
  <w:p w:rsidR="004B4271" w:rsidRPr="000C2222" w:rsidRDefault="004B4271" w:rsidP="004B4271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1513381"/>
    <w:docVar w:name="CreationDt" w:val="9/16/2015 10:03 AM"/>
    <w:docVar w:name="DocCategory" w:val="Doc"/>
    <w:docVar w:name="DocType" w:val="Final"/>
    <w:docVar w:name="DutyStation" w:val="Geneva"/>
    <w:docVar w:name="FooterJN" w:val="GE.15-13381"/>
    <w:docVar w:name="jobn" w:val="GE.15-13381(R)"/>
    <w:docVar w:name="jobnDT" w:val="GE.15-13381(R)   160915   "/>
    <w:docVar w:name="jobnDTDT" w:val="GE.15-13381 (R)   160915   160915"/>
    <w:docVar w:name="JobNo" w:val="GE.1513381R"/>
    <w:docVar w:name="JobNo2" w:val="1517524R"/>
    <w:docVar w:name="LocalDrive" w:val="0"/>
    <w:docVar w:name="OandT" w:val=" "/>
    <w:docVar w:name="PaperSize" w:val="A4"/>
    <w:docVar w:name="sss1" w:val="ECE/TRANS/WP.15/2015/9"/>
    <w:docVar w:name="sss2" w:val="-"/>
    <w:docVar w:name="SuppJobNo" w:val="GE.15-13381"/>
    <w:docVar w:name="Symbol1" w:val="ECE/TRANS/WP.15/2015/9"/>
    <w:docVar w:name="Symbol2" w:val="-"/>
  </w:docVars>
  <w:rsids>
    <w:rsidRoot w:val="003A50D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14DD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5AE7"/>
    <w:rsid w:val="000C069D"/>
    <w:rsid w:val="000C2222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406A"/>
    <w:rsid w:val="0014308F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1FD3"/>
    <w:rsid w:val="00237E1D"/>
    <w:rsid w:val="00242477"/>
    <w:rsid w:val="00244051"/>
    <w:rsid w:val="002524D1"/>
    <w:rsid w:val="002535D8"/>
    <w:rsid w:val="00254046"/>
    <w:rsid w:val="00255C4D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0D7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4271"/>
    <w:rsid w:val="004B722C"/>
    <w:rsid w:val="004C1B79"/>
    <w:rsid w:val="004C27B4"/>
    <w:rsid w:val="004C6A2C"/>
    <w:rsid w:val="004D275F"/>
    <w:rsid w:val="004D474D"/>
    <w:rsid w:val="004D5E98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1D4E"/>
    <w:rsid w:val="005224ED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35F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3C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7A8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7726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321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018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DA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0FD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E7D66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648C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0B4C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781E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366C6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2AC2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4B42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427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427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2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27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1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B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2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27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7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1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BBE7-562B-4F16-A6E9-037F408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Maison</cp:lastModifiedBy>
  <cp:revision>2</cp:revision>
  <cp:lastPrinted>2015-09-16T08:43:00Z</cp:lastPrinted>
  <dcterms:created xsi:type="dcterms:W3CDTF">2015-09-30T12:50:00Z</dcterms:created>
  <dcterms:modified xsi:type="dcterms:W3CDTF">2015-09-30T12:50:00Z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1517524R</vt:lpwstr>
  </property>
  <property fmtid="{D5CDD505-2E9C-101B-9397-08002B2CF9AE}" pid="3" name="Translator">
    <vt:lpwstr/>
  </property>
  <property fmtid="{D5CDD505-2E9C-101B-9397-08002B2CF9AE}" pid="4" name="Operator">
    <vt:lpwstr/>
  </property>
  <property fmtid="{D5CDD505-2E9C-101B-9397-08002B2CF9AE}" pid="5" name="DraftPages">
    <vt:lpwstr> </vt:lpwstr>
  </property>
  <property fmtid="{D5CDD505-2E9C-101B-9397-08002B2CF9AE}" pid="6" name="Comment">
    <vt:lpwstr/>
  </property>
  <property fmtid="{D5CDD505-2E9C-101B-9397-08002B2CF9AE}" pid="7" name="Distribution">
    <vt:lpwstr>General</vt:lpwstr>
  </property>
  <property fmtid="{D5CDD505-2E9C-101B-9397-08002B2CF9AE}" pid="8" name="Publication Date">
    <vt:lpwstr>16 September 2015</vt:lpwstr>
  </property>
  <property fmtid="{D5CDD505-2E9C-101B-9397-08002B2CF9AE}" pid="9" name="Original">
    <vt:lpwstr>English</vt:lpwstr>
  </property>
  <property fmtid="{D5CDD505-2E9C-101B-9397-08002B2CF9AE}" pid="10" name="Release Date">
    <vt:lpwstr>160915</vt:lpwstr>
  </property>
  <property fmtid="{D5CDD505-2E9C-101B-9397-08002B2CF9AE}" pid="11" name="Symbol1">
    <vt:lpwstr>ECE/TRANS/WP.15/2015/9</vt:lpwstr>
  </property>
  <property fmtid="{D5CDD505-2E9C-101B-9397-08002B2CF9AE}" pid="12" name="Symbol2">
    <vt:lpwstr>-</vt:lpwstr>
  </property>
  <property fmtid="{D5CDD505-2E9C-101B-9397-08002B2CF9AE}" pid="13" name="JobNo">
    <vt:lpwstr>GE.1513381R</vt:lpwstr>
  </property>
</Properties>
</file>