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CC71F8">
        <w:trPr>
          <w:cantSplit/>
          <w:trHeight w:hRule="exact" w:val="851"/>
        </w:trPr>
        <w:tc>
          <w:tcPr>
            <w:tcW w:w="1276" w:type="dxa"/>
            <w:tcBorders>
              <w:bottom w:val="single" w:sz="4" w:space="0" w:color="auto"/>
            </w:tcBorders>
            <w:shd w:val="clear" w:color="auto" w:fill="auto"/>
            <w:vAlign w:val="bottom"/>
          </w:tcPr>
          <w:p w:rsidR="00B56E9C" w:rsidRDefault="00B56E9C" w:rsidP="00CC71F8">
            <w:pPr>
              <w:spacing w:after="80"/>
            </w:pPr>
          </w:p>
        </w:tc>
        <w:tc>
          <w:tcPr>
            <w:tcW w:w="2268" w:type="dxa"/>
            <w:tcBorders>
              <w:bottom w:val="single" w:sz="4" w:space="0" w:color="auto"/>
            </w:tcBorders>
            <w:shd w:val="clear" w:color="auto" w:fill="auto"/>
            <w:vAlign w:val="bottom"/>
          </w:tcPr>
          <w:p w:rsidR="00B56E9C" w:rsidRPr="00CC71F8" w:rsidRDefault="00B56E9C" w:rsidP="00CC71F8">
            <w:pPr>
              <w:spacing w:after="80" w:line="300" w:lineRule="exact"/>
              <w:rPr>
                <w:b/>
                <w:sz w:val="24"/>
                <w:szCs w:val="24"/>
              </w:rPr>
            </w:pPr>
            <w:r w:rsidRPr="00CC71F8">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B83971" w:rsidP="00537E72">
            <w:pPr>
              <w:jc w:val="right"/>
            </w:pPr>
            <w:r w:rsidRPr="00B83971">
              <w:rPr>
                <w:sz w:val="40"/>
              </w:rPr>
              <w:t>ECE</w:t>
            </w:r>
            <w:r>
              <w:t>/TRANS/WP.15/2015/</w:t>
            </w:r>
            <w:r w:rsidR="001B499A">
              <w:t>1</w:t>
            </w:r>
            <w:r w:rsidR="00537E72">
              <w:t>4</w:t>
            </w:r>
          </w:p>
        </w:tc>
      </w:tr>
      <w:tr w:rsidR="00B56E9C" w:rsidTr="00CC71F8">
        <w:trPr>
          <w:cantSplit/>
          <w:trHeight w:hRule="exact" w:val="2835"/>
        </w:trPr>
        <w:tc>
          <w:tcPr>
            <w:tcW w:w="1276" w:type="dxa"/>
            <w:tcBorders>
              <w:top w:val="single" w:sz="4" w:space="0" w:color="auto"/>
              <w:bottom w:val="single" w:sz="12" w:space="0" w:color="auto"/>
            </w:tcBorders>
            <w:shd w:val="clear" w:color="auto" w:fill="auto"/>
          </w:tcPr>
          <w:p w:rsidR="00B56E9C" w:rsidRDefault="00E45A8E" w:rsidP="00CC71F8">
            <w:pPr>
              <w:spacing w:before="120"/>
            </w:pPr>
            <w:r>
              <w:rPr>
                <w:noProof/>
                <w:lang w:eastAsia="en-GB"/>
              </w:rPr>
              <w:drawing>
                <wp:inline distT="0" distB="0" distL="0" distR="0">
                  <wp:extent cx="714375" cy="590550"/>
                  <wp:effectExtent l="1905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srcRect/>
                          <a:stretch>
                            <a:fillRect/>
                          </a:stretch>
                        </pic:blipFill>
                        <pic:spPr bwMode="auto">
                          <a:xfrm>
                            <a:off x="0" y="0"/>
                            <a:ext cx="714375" cy="590550"/>
                          </a:xfrm>
                          <a:prstGeom prst="rect">
                            <a:avLst/>
                          </a:prstGeom>
                          <a:noFill/>
                          <a:ln w="9525">
                            <a:noFill/>
                            <a:miter lim="800000"/>
                            <a:headEnd/>
                            <a:tailEnd/>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CC71F8" w:rsidRDefault="00D773DF" w:rsidP="00CC71F8">
            <w:pPr>
              <w:spacing w:before="120" w:line="420" w:lineRule="exact"/>
              <w:rPr>
                <w:sz w:val="40"/>
                <w:szCs w:val="40"/>
              </w:rPr>
            </w:pPr>
            <w:r w:rsidRPr="00CC71F8">
              <w:rPr>
                <w:b/>
                <w:sz w:val="40"/>
                <w:szCs w:val="40"/>
              </w:rPr>
              <w:t>Economic and Social Council</w:t>
            </w:r>
          </w:p>
        </w:tc>
        <w:tc>
          <w:tcPr>
            <w:tcW w:w="2835" w:type="dxa"/>
            <w:tcBorders>
              <w:top w:val="single" w:sz="4" w:space="0" w:color="auto"/>
              <w:bottom w:val="single" w:sz="12" w:space="0" w:color="auto"/>
            </w:tcBorders>
            <w:shd w:val="clear" w:color="auto" w:fill="auto"/>
          </w:tcPr>
          <w:p w:rsidR="00B56E9C" w:rsidRDefault="00B83971" w:rsidP="00B83971">
            <w:pPr>
              <w:spacing w:before="240" w:line="240" w:lineRule="exact"/>
            </w:pPr>
            <w:r>
              <w:t>Distr.: General</w:t>
            </w:r>
          </w:p>
          <w:p w:rsidR="00B83971" w:rsidRDefault="00537E72" w:rsidP="00B83971">
            <w:pPr>
              <w:spacing w:line="240" w:lineRule="exact"/>
            </w:pPr>
            <w:r>
              <w:t>21</w:t>
            </w:r>
            <w:r w:rsidR="00416999">
              <w:t xml:space="preserve"> August 2015</w:t>
            </w:r>
          </w:p>
          <w:p w:rsidR="00B83971" w:rsidRDefault="008C6510" w:rsidP="00B83971">
            <w:pPr>
              <w:spacing w:line="240" w:lineRule="exact"/>
            </w:pPr>
            <w:r>
              <w:t>English</w:t>
            </w:r>
            <w:bookmarkStart w:id="0" w:name="_GoBack"/>
            <w:bookmarkEnd w:id="0"/>
          </w:p>
          <w:p w:rsidR="00B83971" w:rsidRDefault="00B83971" w:rsidP="00B83971">
            <w:pPr>
              <w:spacing w:line="240" w:lineRule="exact"/>
            </w:pPr>
            <w:r>
              <w:t>Original: English</w:t>
            </w:r>
            <w:r w:rsidR="00537E72">
              <w:t xml:space="preserve"> and French</w:t>
            </w:r>
          </w:p>
        </w:tc>
      </w:tr>
    </w:tbl>
    <w:p w:rsidR="00442A83" w:rsidRDefault="00C96DF2" w:rsidP="00C96DF2">
      <w:pPr>
        <w:spacing w:before="120"/>
        <w:rPr>
          <w:b/>
          <w:sz w:val="28"/>
          <w:szCs w:val="28"/>
        </w:rPr>
      </w:pPr>
      <w:r w:rsidRPr="00832334">
        <w:rPr>
          <w:b/>
          <w:sz w:val="28"/>
          <w:szCs w:val="28"/>
        </w:rPr>
        <w:t>Economic Commission for Europe</w:t>
      </w:r>
    </w:p>
    <w:p w:rsidR="00C96DF2" w:rsidRPr="008F31D2" w:rsidRDefault="008F31D2" w:rsidP="00C96DF2">
      <w:pPr>
        <w:spacing w:before="120"/>
        <w:rPr>
          <w:sz w:val="28"/>
          <w:szCs w:val="28"/>
        </w:rPr>
      </w:pPr>
      <w:r>
        <w:rPr>
          <w:sz w:val="28"/>
          <w:szCs w:val="28"/>
        </w:rPr>
        <w:t>Inland Transport Committee</w:t>
      </w:r>
    </w:p>
    <w:p w:rsidR="008F31D2" w:rsidRDefault="008F31D2" w:rsidP="00C96DF2">
      <w:pPr>
        <w:spacing w:before="120"/>
        <w:rPr>
          <w:b/>
          <w:sz w:val="24"/>
          <w:szCs w:val="24"/>
        </w:rPr>
      </w:pPr>
      <w:r>
        <w:rPr>
          <w:b/>
          <w:sz w:val="24"/>
          <w:szCs w:val="24"/>
        </w:rPr>
        <w:t>Working Party on the Transport of Dangerous Goods</w:t>
      </w:r>
    </w:p>
    <w:p w:rsidR="00900291" w:rsidRPr="00900291" w:rsidRDefault="00900291" w:rsidP="00900291">
      <w:pPr>
        <w:spacing w:before="120"/>
        <w:rPr>
          <w:b/>
        </w:rPr>
      </w:pPr>
      <w:r w:rsidRPr="00900291">
        <w:rPr>
          <w:b/>
        </w:rPr>
        <w:t xml:space="preserve">Ninety-ninth </w:t>
      </w:r>
      <w:proofErr w:type="gramStart"/>
      <w:r w:rsidRPr="00900291">
        <w:rPr>
          <w:b/>
        </w:rPr>
        <w:t>session</w:t>
      </w:r>
      <w:proofErr w:type="gramEnd"/>
    </w:p>
    <w:p w:rsidR="00900291" w:rsidRPr="00900291" w:rsidRDefault="00900291" w:rsidP="00900291">
      <w:r w:rsidRPr="00900291">
        <w:t>Geneva, 9-13 November 2015</w:t>
      </w:r>
    </w:p>
    <w:p w:rsidR="00C96DF2" w:rsidRDefault="00FA7D6D" w:rsidP="00C96DF2">
      <w:r>
        <w:t>I</w:t>
      </w:r>
      <w:r w:rsidR="00FF500E">
        <w:t xml:space="preserve">tem </w:t>
      </w:r>
      <w:r w:rsidR="006819D6">
        <w:t>6</w:t>
      </w:r>
      <w:r w:rsidR="00004AEB">
        <w:t xml:space="preserve"> (</w:t>
      </w:r>
      <w:r w:rsidR="006819D6">
        <w:t>b)</w:t>
      </w:r>
      <w:r w:rsidR="00FF500E">
        <w:t xml:space="preserve"> </w:t>
      </w:r>
      <w:r w:rsidR="0024772E">
        <w:t>of the provisional agenda</w:t>
      </w:r>
    </w:p>
    <w:p w:rsidR="003D777F" w:rsidRPr="003D777F" w:rsidRDefault="003D777F" w:rsidP="003D777F">
      <w:pPr>
        <w:rPr>
          <w:b/>
        </w:rPr>
      </w:pPr>
      <w:r w:rsidRPr="003D777F">
        <w:rPr>
          <w:b/>
        </w:rPr>
        <w:t>Proposals for amendments to Annexes A and B of ADR:</w:t>
      </w:r>
    </w:p>
    <w:p w:rsidR="003D777F" w:rsidRPr="003D777F" w:rsidRDefault="00537E72" w:rsidP="003D777F">
      <w:pPr>
        <w:rPr>
          <w:b/>
        </w:rPr>
      </w:pPr>
      <w:r>
        <w:rPr>
          <w:b/>
        </w:rPr>
        <w:t>M</w:t>
      </w:r>
      <w:r w:rsidR="003D777F" w:rsidRPr="003D777F">
        <w:rPr>
          <w:b/>
        </w:rPr>
        <w:t>iscellaneous proposals</w:t>
      </w:r>
    </w:p>
    <w:p w:rsidR="00B83971" w:rsidRDefault="00B83971" w:rsidP="00B83971">
      <w:pPr>
        <w:pStyle w:val="HChG"/>
      </w:pPr>
      <w:r>
        <w:tab/>
      </w:r>
      <w:r>
        <w:tab/>
      </w:r>
      <w:r w:rsidR="007776ED" w:rsidRPr="007776ED">
        <w:t>Draft proposal to amend sub-section 5.4.1.1.1 (f)</w:t>
      </w:r>
    </w:p>
    <w:p w:rsidR="00B83971" w:rsidRDefault="00B83971" w:rsidP="00B83971">
      <w:pPr>
        <w:pStyle w:val="H1G"/>
      </w:pPr>
      <w:r>
        <w:tab/>
      </w:r>
      <w:r>
        <w:tab/>
        <w:t xml:space="preserve">Transmitted by </w:t>
      </w:r>
      <w:r w:rsidR="007776ED" w:rsidRPr="007776ED">
        <w:t>the International Road Transport Union (IRU)</w:t>
      </w:r>
      <w:r>
        <w:rPr>
          <w:rStyle w:val="FootnoteReference"/>
          <w:b w:val="0"/>
          <w:bCs/>
        </w:rPr>
        <w:footnoteReference w:id="2"/>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B83971" w:rsidTr="00B83971">
        <w:trPr>
          <w:jc w:val="center"/>
        </w:trPr>
        <w:tc>
          <w:tcPr>
            <w:tcW w:w="9637" w:type="dxa"/>
            <w:tcBorders>
              <w:top w:val="single" w:sz="4" w:space="0" w:color="auto"/>
              <w:left w:val="single" w:sz="4" w:space="0" w:color="auto"/>
              <w:bottom w:val="nil"/>
              <w:right w:val="single" w:sz="4" w:space="0" w:color="auto"/>
            </w:tcBorders>
            <w:hideMark/>
          </w:tcPr>
          <w:p w:rsidR="00B83971" w:rsidRDefault="00B83971">
            <w:pPr>
              <w:tabs>
                <w:tab w:val="left" w:pos="255"/>
              </w:tabs>
              <w:suppressAutoHyphens w:val="0"/>
              <w:spacing w:before="240" w:after="120"/>
              <w:rPr>
                <w:sz w:val="24"/>
              </w:rPr>
            </w:pPr>
            <w:r>
              <w:tab/>
            </w:r>
            <w:r>
              <w:rPr>
                <w:i/>
                <w:sz w:val="24"/>
              </w:rPr>
              <w:t>Summary</w:t>
            </w:r>
          </w:p>
        </w:tc>
      </w:tr>
      <w:tr w:rsidR="00B83971" w:rsidRPr="00EE345D" w:rsidTr="00B83971">
        <w:trPr>
          <w:jc w:val="center"/>
        </w:trPr>
        <w:tc>
          <w:tcPr>
            <w:tcW w:w="9637" w:type="dxa"/>
            <w:tcBorders>
              <w:top w:val="nil"/>
              <w:left w:val="single" w:sz="4" w:space="0" w:color="auto"/>
              <w:bottom w:val="nil"/>
              <w:right w:val="single" w:sz="4" w:space="0" w:color="auto"/>
            </w:tcBorders>
            <w:hideMark/>
          </w:tcPr>
          <w:p w:rsidR="00A867C2" w:rsidRPr="00416999" w:rsidRDefault="00B83971" w:rsidP="007776ED">
            <w:pPr>
              <w:pStyle w:val="SingleTxtG"/>
              <w:tabs>
                <w:tab w:val="left" w:pos="2551"/>
              </w:tabs>
              <w:ind w:left="2551" w:hanging="2268"/>
            </w:pPr>
            <w:r w:rsidRPr="00416999">
              <w:rPr>
                <w:b/>
                <w:bCs/>
              </w:rPr>
              <w:t>Executive summary:</w:t>
            </w:r>
            <w:r w:rsidRPr="00416999">
              <w:rPr>
                <w:b/>
                <w:bCs/>
              </w:rPr>
              <w:tab/>
            </w:r>
            <w:r w:rsidR="00416999" w:rsidRPr="001C0637">
              <w:rPr>
                <w:iCs/>
              </w:rPr>
              <w:t>The interpretation of sub</w:t>
            </w:r>
            <w:r w:rsidR="00416999">
              <w:rPr>
                <w:iCs/>
              </w:rPr>
              <w:t>-</w:t>
            </w:r>
            <w:r w:rsidR="00416999" w:rsidRPr="001C0637">
              <w:rPr>
                <w:iCs/>
              </w:rPr>
              <w:t xml:space="preserve">section 5.4.1.1.1 </w:t>
            </w:r>
            <w:r w:rsidR="00537E72">
              <w:rPr>
                <w:iCs/>
              </w:rPr>
              <w:t>(</w:t>
            </w:r>
            <w:r w:rsidR="00416999" w:rsidRPr="001C0637">
              <w:rPr>
                <w:iCs/>
              </w:rPr>
              <w:t xml:space="preserve">f) poses problems for transport companies whose drivers are not familiar with </w:t>
            </w:r>
            <w:r w:rsidR="00416999">
              <w:rPr>
                <w:iCs/>
              </w:rPr>
              <w:t xml:space="preserve">the </w:t>
            </w:r>
            <w:r w:rsidR="00416999" w:rsidRPr="001C0637">
              <w:rPr>
                <w:iCs/>
              </w:rPr>
              <w:t>ADR</w:t>
            </w:r>
            <w:r w:rsidR="00A867C2" w:rsidRPr="00416999">
              <w:t>.</w:t>
            </w:r>
          </w:p>
          <w:p w:rsidR="007776ED" w:rsidRDefault="007776ED" w:rsidP="00A867C2">
            <w:pPr>
              <w:pStyle w:val="SingleTxtG"/>
              <w:tabs>
                <w:tab w:val="left" w:pos="2551"/>
              </w:tabs>
              <w:ind w:left="2551"/>
            </w:pPr>
            <w:r w:rsidRPr="007776ED">
              <w:t>Drivers performing such deliveries on a daily basis may well be breaching the rules, as they generally do not have the ADR regulations and are hence unable to calculate the values (in points) as per 1.1.3.6.</w:t>
            </w:r>
          </w:p>
          <w:p w:rsidR="00B83971" w:rsidRPr="007776ED" w:rsidRDefault="007776ED" w:rsidP="007776ED">
            <w:pPr>
              <w:pStyle w:val="SingleTxtG"/>
              <w:tabs>
                <w:tab w:val="left" w:pos="2551"/>
              </w:tabs>
              <w:ind w:left="2551"/>
            </w:pPr>
            <w:r w:rsidRPr="007776ED">
              <w:t>T</w:t>
            </w:r>
            <w:r w:rsidRPr="007776ED">
              <w:rPr>
                <w:iCs/>
              </w:rPr>
              <w:t xml:space="preserve">he total quantity of dangerous goods for each transport category </w:t>
            </w:r>
            <w:r w:rsidRPr="00B6313D">
              <w:rPr>
                <w:iCs/>
              </w:rPr>
              <w:t>and the sum of these values in points</w:t>
            </w:r>
            <w:r w:rsidRPr="007776ED">
              <w:rPr>
                <w:iCs/>
              </w:rPr>
              <w:t xml:space="preserve"> shall be indicated in the transport document in accordance with 1.1.3.6.3</w:t>
            </w:r>
          </w:p>
        </w:tc>
      </w:tr>
      <w:tr w:rsidR="00B83971" w:rsidRPr="00EE345D" w:rsidTr="00B83971">
        <w:trPr>
          <w:jc w:val="center"/>
        </w:trPr>
        <w:tc>
          <w:tcPr>
            <w:tcW w:w="9637" w:type="dxa"/>
            <w:tcBorders>
              <w:top w:val="nil"/>
              <w:left w:val="single" w:sz="4" w:space="0" w:color="auto"/>
              <w:bottom w:val="nil"/>
              <w:right w:val="single" w:sz="4" w:space="0" w:color="auto"/>
            </w:tcBorders>
            <w:hideMark/>
          </w:tcPr>
          <w:p w:rsidR="00B83971" w:rsidRDefault="00B83971" w:rsidP="00C0505D">
            <w:pPr>
              <w:pStyle w:val="SingleTxtG"/>
              <w:tabs>
                <w:tab w:val="left" w:pos="2551"/>
              </w:tabs>
              <w:ind w:left="2552" w:hanging="2268"/>
              <w:rPr>
                <w:rFonts w:eastAsia="SimSun"/>
              </w:rPr>
            </w:pPr>
            <w:r>
              <w:rPr>
                <w:b/>
                <w:bCs/>
              </w:rPr>
              <w:t>Action to be taken:</w:t>
            </w:r>
            <w:r>
              <w:rPr>
                <w:b/>
                <w:bCs/>
              </w:rPr>
              <w:tab/>
            </w:r>
            <w:r w:rsidR="00537E72">
              <w:t>Amend</w:t>
            </w:r>
            <w:r w:rsidR="00C0505D">
              <w:t xml:space="preserve"> Note 1 of </w:t>
            </w:r>
            <w:r w:rsidR="007776ED">
              <w:t>sub-section 5.4.1.1.1 (f)</w:t>
            </w:r>
            <w:r>
              <w:t>.</w:t>
            </w:r>
          </w:p>
        </w:tc>
      </w:tr>
      <w:tr w:rsidR="00B83971" w:rsidRPr="00EE345D" w:rsidTr="00B83971">
        <w:trPr>
          <w:jc w:val="center"/>
        </w:trPr>
        <w:tc>
          <w:tcPr>
            <w:tcW w:w="9637" w:type="dxa"/>
            <w:tcBorders>
              <w:top w:val="nil"/>
              <w:left w:val="single" w:sz="4" w:space="0" w:color="auto"/>
              <w:bottom w:val="single" w:sz="4" w:space="0" w:color="auto"/>
              <w:right w:val="single" w:sz="4" w:space="0" w:color="auto"/>
            </w:tcBorders>
          </w:tcPr>
          <w:p w:rsidR="00B83971" w:rsidRDefault="00B83971"/>
        </w:tc>
      </w:tr>
    </w:tbl>
    <w:p w:rsidR="00B83971" w:rsidRDefault="00B83971" w:rsidP="008F0A45">
      <w:pPr>
        <w:pStyle w:val="HChG"/>
        <w:ind w:firstLine="0"/>
      </w:pPr>
      <w:r>
        <w:br w:type="page"/>
      </w:r>
      <w:r>
        <w:lastRenderedPageBreak/>
        <w:t>Introduction</w:t>
      </w:r>
    </w:p>
    <w:p w:rsidR="00C0505D" w:rsidRPr="00C0505D" w:rsidRDefault="00B83971" w:rsidP="00C0505D">
      <w:pPr>
        <w:pStyle w:val="SingleTxtG"/>
      </w:pPr>
      <w:r>
        <w:t>1.</w:t>
      </w:r>
      <w:r>
        <w:tab/>
      </w:r>
      <w:r w:rsidR="00C0505D" w:rsidRPr="00C0505D">
        <w:t>The transport document(s) must contain the information set out in ADR sub-section 5.4.1.1.</w:t>
      </w:r>
      <w:r w:rsidR="00C0505D">
        <w:t xml:space="preserve"> </w:t>
      </w:r>
      <w:r w:rsidR="00C0505D" w:rsidRPr="00C0505D">
        <w:t>The current wording of ADR sub-section 5.4.1.1 (f) is as follows:</w:t>
      </w:r>
    </w:p>
    <w:p w:rsidR="00C0505D" w:rsidRPr="00C0505D" w:rsidRDefault="00C0505D" w:rsidP="00004AEB">
      <w:pPr>
        <w:pStyle w:val="SingleTxtG"/>
        <w:ind w:left="1701"/>
      </w:pPr>
      <w:r w:rsidRPr="00C0505D">
        <w:t>“</w:t>
      </w:r>
      <w:r w:rsidR="00004AEB">
        <w:t>T</w:t>
      </w:r>
      <w:r w:rsidRPr="00C0505D">
        <w:t>he total quantity of each item of dangerous goods bearing a different UN number, proper shipping name or, when applicable, packing group (as a volume or as a gross mass, or as a net mass as appropriate);</w:t>
      </w:r>
    </w:p>
    <w:p w:rsidR="00A6129C" w:rsidRPr="00C0505D" w:rsidRDefault="00C0505D" w:rsidP="008C09D6">
      <w:pPr>
        <w:pStyle w:val="SingleTxtG"/>
        <w:ind w:left="1701"/>
        <w:rPr>
          <w:i/>
        </w:rPr>
      </w:pPr>
      <w:r w:rsidRPr="00C0505D">
        <w:rPr>
          <w:b/>
          <w:i/>
        </w:rPr>
        <w:t>NOTE 1:</w:t>
      </w:r>
      <w:r w:rsidRPr="00C0505D">
        <w:rPr>
          <w:i/>
        </w:rPr>
        <w:t xml:space="preserve"> In the case of intended application of 1.1.3.6, the total quantity of dangerous goods for each transport category shall be indicated in the transport document in accordance with 1.1.3.6.3.”</w:t>
      </w:r>
    </w:p>
    <w:p w:rsidR="00C0505D" w:rsidRPr="00C0505D" w:rsidRDefault="00B83971" w:rsidP="00C0505D">
      <w:pPr>
        <w:pStyle w:val="SingleTxtG"/>
      </w:pPr>
      <w:r>
        <w:t>2.</w:t>
      </w:r>
      <w:r>
        <w:tab/>
      </w:r>
      <w:r w:rsidR="00C0505D" w:rsidRPr="00C0505D">
        <w:rPr>
          <w:iCs/>
        </w:rPr>
        <w:t>The interpretation of sub-section 5.4.1.1.1</w:t>
      </w:r>
      <w:r w:rsidR="00C0505D">
        <w:rPr>
          <w:iCs/>
        </w:rPr>
        <w:t xml:space="preserve"> </w:t>
      </w:r>
      <w:r w:rsidR="00537E72">
        <w:rPr>
          <w:iCs/>
        </w:rPr>
        <w:t>(</w:t>
      </w:r>
      <w:r w:rsidR="00C0505D">
        <w:rPr>
          <w:iCs/>
        </w:rPr>
        <w:t xml:space="preserve">f) </w:t>
      </w:r>
      <w:r w:rsidR="00C0505D" w:rsidRPr="00C0505D">
        <w:rPr>
          <w:iCs/>
        </w:rPr>
        <w:t>poses problems for transport companies whose drivers are not familiar with ADR.</w:t>
      </w:r>
      <w:r w:rsidR="00C0505D">
        <w:rPr>
          <w:iCs/>
        </w:rPr>
        <w:t xml:space="preserve"> </w:t>
      </w:r>
      <w:r w:rsidR="00C0505D" w:rsidRPr="00C0505D">
        <w:rPr>
          <w:iCs/>
        </w:rPr>
        <w:t>As the drivers do not necessarily have ADR training, they perform their delivery tour without worrying about what might happen, as in the following example:</w:t>
      </w:r>
    </w:p>
    <w:p w:rsidR="00C0505D" w:rsidRPr="00C0505D" w:rsidRDefault="00A867C2" w:rsidP="00C0505D">
      <w:pPr>
        <w:pStyle w:val="SingleTxtG"/>
      </w:pPr>
      <w:r>
        <w:t>3.</w:t>
      </w:r>
      <w:r>
        <w:tab/>
      </w:r>
      <w:r w:rsidR="00C0505D" w:rsidRPr="00C0505D">
        <w:t>A driver without an ADR training certificate makes his delivery tour as follows:</w:t>
      </w:r>
    </w:p>
    <w:p w:rsidR="00C0505D" w:rsidRPr="00C0505D" w:rsidRDefault="00C0505D" w:rsidP="00C0505D">
      <w:pPr>
        <w:pStyle w:val="SingleTxtG"/>
        <w:numPr>
          <w:ilvl w:val="0"/>
          <w:numId w:val="16"/>
        </w:numPr>
        <w:rPr>
          <w:iCs/>
        </w:rPr>
      </w:pPr>
      <w:r w:rsidRPr="00C0505D">
        <w:rPr>
          <w:iCs/>
        </w:rPr>
        <w:t>At 14 h, he gets a call from the shipping offic</w:t>
      </w:r>
      <w:r w:rsidR="00004AEB">
        <w:rPr>
          <w:iCs/>
        </w:rPr>
        <w:t>e to pick up goods from company </w:t>
      </w:r>
      <w:r w:rsidRPr="00C0505D">
        <w:rPr>
          <w:iCs/>
        </w:rPr>
        <w:t>X.</w:t>
      </w:r>
    </w:p>
    <w:p w:rsidR="00C0505D" w:rsidRPr="00537E72" w:rsidRDefault="00C0505D" w:rsidP="00C0505D">
      <w:pPr>
        <w:pStyle w:val="SingleTxtG"/>
        <w:numPr>
          <w:ilvl w:val="0"/>
          <w:numId w:val="17"/>
        </w:numPr>
        <w:rPr>
          <w:lang w:val="fr-CH"/>
        </w:rPr>
      </w:pPr>
      <w:r w:rsidRPr="00537E72">
        <w:rPr>
          <w:lang w:val="fr-CH"/>
        </w:rPr>
        <w:t xml:space="preserve">20 kg UN 1016 </w:t>
      </w:r>
      <w:proofErr w:type="spellStart"/>
      <w:r w:rsidRPr="00537E72">
        <w:rPr>
          <w:lang w:val="fr-CH"/>
        </w:rPr>
        <w:t>carbon</w:t>
      </w:r>
      <w:proofErr w:type="spellEnd"/>
      <w:r w:rsidRPr="00537E72">
        <w:rPr>
          <w:lang w:val="fr-CH"/>
        </w:rPr>
        <w:t xml:space="preserve"> </w:t>
      </w:r>
      <w:proofErr w:type="spellStart"/>
      <w:r w:rsidRPr="00537E72">
        <w:rPr>
          <w:lang w:val="fr-CH"/>
        </w:rPr>
        <w:t>monoxide</w:t>
      </w:r>
      <w:proofErr w:type="spellEnd"/>
      <w:r w:rsidRPr="00537E72">
        <w:rPr>
          <w:lang w:val="fr-CH"/>
        </w:rPr>
        <w:t xml:space="preserve">, </w:t>
      </w:r>
      <w:proofErr w:type="spellStart"/>
      <w:r w:rsidRPr="00537E72">
        <w:rPr>
          <w:lang w:val="fr-CH"/>
        </w:rPr>
        <w:t>compressed</w:t>
      </w:r>
      <w:proofErr w:type="spellEnd"/>
      <w:r w:rsidRPr="00537E72">
        <w:rPr>
          <w:lang w:val="fr-CH"/>
        </w:rPr>
        <w:t>, 2.3 (2.1).</w:t>
      </w:r>
    </w:p>
    <w:p w:rsidR="00C0505D" w:rsidRPr="00C0505D" w:rsidRDefault="00C0505D" w:rsidP="00C0505D">
      <w:pPr>
        <w:pStyle w:val="SingleTxtG"/>
        <w:numPr>
          <w:ilvl w:val="0"/>
          <w:numId w:val="16"/>
        </w:numPr>
      </w:pPr>
      <w:r w:rsidRPr="00C0505D">
        <w:t xml:space="preserve">At about 14.40 h, he gets a new pick-up order : </w:t>
      </w:r>
    </w:p>
    <w:p w:rsidR="00C0505D" w:rsidRPr="00C0505D" w:rsidRDefault="00537E72" w:rsidP="00C0505D">
      <w:pPr>
        <w:pStyle w:val="SingleTxtG"/>
        <w:numPr>
          <w:ilvl w:val="0"/>
          <w:numId w:val="17"/>
        </w:numPr>
      </w:pPr>
      <w:r>
        <w:t xml:space="preserve">30 litres UN 1090 Acetone, 3, </w:t>
      </w:r>
      <w:proofErr w:type="gramStart"/>
      <w:r>
        <w:t>II</w:t>
      </w:r>
      <w:r w:rsidR="00C0505D" w:rsidRPr="00C0505D">
        <w:t> ;</w:t>
      </w:r>
      <w:proofErr w:type="gramEnd"/>
      <w:r w:rsidR="00C0505D" w:rsidRPr="00C0505D">
        <w:t xml:space="preserve"> from company Z.</w:t>
      </w:r>
    </w:p>
    <w:p w:rsidR="00C0505D" w:rsidRPr="00C0505D" w:rsidRDefault="00C0505D" w:rsidP="00C0505D">
      <w:pPr>
        <w:pStyle w:val="SingleTxtG"/>
        <w:numPr>
          <w:ilvl w:val="0"/>
          <w:numId w:val="16"/>
        </w:numPr>
      </w:pPr>
      <w:r w:rsidRPr="00C0505D">
        <w:t>And finally, a third pick-up order at 15.30 h:</w:t>
      </w:r>
    </w:p>
    <w:p w:rsidR="00C0505D" w:rsidRPr="00C0505D" w:rsidRDefault="00C0505D" w:rsidP="00C0505D">
      <w:pPr>
        <w:pStyle w:val="SingleTxtG"/>
        <w:numPr>
          <w:ilvl w:val="0"/>
          <w:numId w:val="17"/>
        </w:numPr>
        <w:rPr>
          <w:lang w:val="fr-CH"/>
        </w:rPr>
      </w:pPr>
      <w:r w:rsidRPr="00C0505D">
        <w:rPr>
          <w:lang w:val="fr-CH"/>
        </w:rPr>
        <w:t>50 lit</w:t>
      </w:r>
      <w:r w:rsidR="00537E72">
        <w:rPr>
          <w:lang w:val="fr-CH"/>
        </w:rPr>
        <w:t xml:space="preserve">res UN 1888 </w:t>
      </w:r>
      <w:proofErr w:type="spellStart"/>
      <w:r w:rsidR="00537E72">
        <w:rPr>
          <w:lang w:val="fr-CH"/>
        </w:rPr>
        <w:t>Chloroform</w:t>
      </w:r>
      <w:proofErr w:type="spellEnd"/>
      <w:r w:rsidR="00537E72">
        <w:rPr>
          <w:lang w:val="fr-CH"/>
        </w:rPr>
        <w:t>, 6.1, III</w:t>
      </w:r>
      <w:r w:rsidRPr="00C0505D">
        <w:rPr>
          <w:lang w:val="fr-CH"/>
        </w:rPr>
        <w:t>.</w:t>
      </w:r>
    </w:p>
    <w:p w:rsidR="00C0505D" w:rsidRDefault="00FA74C4" w:rsidP="00C0505D">
      <w:pPr>
        <w:pStyle w:val="HChG"/>
        <w:ind w:firstLine="0"/>
      </w:pPr>
      <w:r>
        <w:t xml:space="preserve">IRU </w:t>
      </w:r>
      <w:r w:rsidR="00C0505D">
        <w:t>Observation</w:t>
      </w:r>
      <w:r>
        <w:t>s</w:t>
      </w:r>
    </w:p>
    <w:p w:rsidR="00C0505D" w:rsidRPr="00C0505D" w:rsidRDefault="00A867C2" w:rsidP="00C0505D">
      <w:pPr>
        <w:pStyle w:val="SingleTxtG"/>
        <w:rPr>
          <w:iCs/>
        </w:rPr>
      </w:pPr>
      <w:r>
        <w:t>4</w:t>
      </w:r>
      <w:r w:rsidR="00C0505D">
        <w:t>.</w:t>
      </w:r>
      <w:r w:rsidR="00C0505D">
        <w:tab/>
      </w:r>
      <w:r w:rsidR="00C0505D" w:rsidRPr="00C0505D">
        <w:rPr>
          <w:iCs/>
        </w:rPr>
        <w:t>ADR sub-section 5.4.1.1 does not specify the number of points required to determine the maximum quantity as per sub-section 1.1.3.6. This means that drivers must perform all calculations based on the transport category for each item of dangerous goods.</w:t>
      </w:r>
    </w:p>
    <w:p w:rsidR="00C0505D" w:rsidRPr="00C0505D" w:rsidRDefault="00A867C2" w:rsidP="00C0505D">
      <w:pPr>
        <w:pStyle w:val="SingleTxtG"/>
        <w:rPr>
          <w:iCs/>
        </w:rPr>
      </w:pPr>
      <w:r>
        <w:rPr>
          <w:iCs/>
        </w:rPr>
        <w:t>5</w:t>
      </w:r>
      <w:r w:rsidR="00C0505D" w:rsidRPr="00C0505D">
        <w:rPr>
          <w:iCs/>
        </w:rPr>
        <w:t>.</w:t>
      </w:r>
      <w:r w:rsidR="00C0505D" w:rsidRPr="00C0505D">
        <w:rPr>
          <w:iCs/>
        </w:rPr>
        <w:tab/>
        <w:t>The calculation method is provided only as part of ADR driver training.</w:t>
      </w:r>
    </w:p>
    <w:p w:rsidR="00A867C2" w:rsidRDefault="00A867C2" w:rsidP="00C0505D">
      <w:pPr>
        <w:pStyle w:val="SingleTxtG"/>
        <w:rPr>
          <w:iCs/>
        </w:rPr>
      </w:pPr>
      <w:r>
        <w:rPr>
          <w:iCs/>
        </w:rPr>
        <w:t>6</w:t>
      </w:r>
      <w:r w:rsidR="00C0505D">
        <w:rPr>
          <w:iCs/>
        </w:rPr>
        <w:t>.</w:t>
      </w:r>
      <w:r w:rsidR="00C0505D">
        <w:rPr>
          <w:iCs/>
        </w:rPr>
        <w:tab/>
      </w:r>
      <w:r w:rsidR="00537E72">
        <w:rPr>
          <w:iCs/>
        </w:rPr>
        <w:t>If one applies 1.1.3.6, non-</w:t>
      </w:r>
      <w:r w:rsidR="00C0505D" w:rsidRPr="00C0505D">
        <w:rPr>
          <w:iCs/>
        </w:rPr>
        <w:t>ADR drivers should be trained according to ADR Chapter 1.3, which is virtually never the case in practice.</w:t>
      </w:r>
      <w:r w:rsidR="00C0505D">
        <w:rPr>
          <w:iCs/>
        </w:rPr>
        <w:t xml:space="preserve"> </w:t>
      </w:r>
    </w:p>
    <w:p w:rsidR="00C0505D" w:rsidRPr="00C0505D" w:rsidRDefault="00A867C2" w:rsidP="00C0505D">
      <w:pPr>
        <w:pStyle w:val="SingleTxtG"/>
        <w:rPr>
          <w:iCs/>
        </w:rPr>
      </w:pPr>
      <w:r>
        <w:rPr>
          <w:iCs/>
        </w:rPr>
        <w:t>7.</w:t>
      </w:r>
      <w:r>
        <w:rPr>
          <w:iCs/>
        </w:rPr>
        <w:tab/>
      </w:r>
      <w:r w:rsidR="00C0505D" w:rsidRPr="00C0505D">
        <w:rPr>
          <w:iCs/>
        </w:rPr>
        <w:t>So in the above example, can this driver perform the carriage? If not, at which stage should he decline the load?</w:t>
      </w:r>
    </w:p>
    <w:p w:rsidR="00B83971" w:rsidRDefault="00B83971" w:rsidP="00B83971">
      <w:pPr>
        <w:pStyle w:val="HChG"/>
      </w:pPr>
      <w:r w:rsidRPr="00C0505D">
        <w:tab/>
      </w:r>
      <w:r w:rsidRPr="00C0505D">
        <w:tab/>
      </w:r>
      <w:r>
        <w:t>Proposal</w:t>
      </w:r>
    </w:p>
    <w:p w:rsidR="00C0505D" w:rsidRPr="00C0505D" w:rsidRDefault="00A867C2" w:rsidP="00C0505D">
      <w:pPr>
        <w:pStyle w:val="SingleTxtG"/>
      </w:pPr>
      <w:r>
        <w:t>8</w:t>
      </w:r>
      <w:r w:rsidR="00C0505D">
        <w:t>.</w:t>
      </w:r>
      <w:r w:rsidR="00C0505D">
        <w:tab/>
      </w:r>
      <w:r w:rsidR="00C0505D" w:rsidRPr="00C0505D">
        <w:t xml:space="preserve">Drivers performing such deliveries on a daily basis may well be breaching the rules, as they generally do not have the ADR regulations and are hence unable to calculate the values (in points) as per 1.1.3.6. </w:t>
      </w:r>
    </w:p>
    <w:p w:rsidR="00C0505D" w:rsidRPr="00C0505D" w:rsidRDefault="00A867C2" w:rsidP="00C0505D">
      <w:pPr>
        <w:pStyle w:val="SingleTxtG"/>
      </w:pPr>
      <w:r>
        <w:t>9</w:t>
      </w:r>
      <w:r w:rsidR="00C0505D">
        <w:t>.</w:t>
      </w:r>
      <w:r w:rsidR="00C0505D">
        <w:tab/>
      </w:r>
      <w:r w:rsidR="00C0505D" w:rsidRPr="00C0505D">
        <w:t>In practice and for ADR trained drivers, one only uses the points (rather than the quantity in litres or kg). Therefore, non-ADR drivers never know if they may or may not carry dangerous goods in accordance with 1.1.3.6.</w:t>
      </w:r>
    </w:p>
    <w:p w:rsidR="00C0505D" w:rsidRPr="00C0505D" w:rsidRDefault="00A867C2" w:rsidP="00C0505D">
      <w:pPr>
        <w:pStyle w:val="SingleTxtG"/>
      </w:pPr>
      <w:r>
        <w:lastRenderedPageBreak/>
        <w:t>10</w:t>
      </w:r>
      <w:r w:rsidR="00C0505D">
        <w:t>.</w:t>
      </w:r>
      <w:r w:rsidR="00C0505D">
        <w:tab/>
      </w:r>
      <w:r w:rsidR="00C0505D" w:rsidRPr="00C0505D">
        <w:t>They usually consider that one may lawfully carry such goods up to 1000 kg or 1000 litres. This is a serious mistake.</w:t>
      </w:r>
    </w:p>
    <w:p w:rsidR="00C0505D" w:rsidRPr="00C0505D" w:rsidRDefault="00A867C2" w:rsidP="00C0505D">
      <w:pPr>
        <w:pStyle w:val="SingleTxtG"/>
      </w:pPr>
      <w:r>
        <w:t>11</w:t>
      </w:r>
      <w:r w:rsidR="00C0505D">
        <w:t>.</w:t>
      </w:r>
      <w:r w:rsidR="00C0505D">
        <w:tab/>
      </w:r>
      <w:r w:rsidR="00C0505D" w:rsidRPr="00C0505D">
        <w:t>If each transport document gave the sum of points, the calculation would be as follows:</w:t>
      </w:r>
    </w:p>
    <w:p w:rsidR="009D5E8F" w:rsidRDefault="00C0505D" w:rsidP="009D5E8F">
      <w:pPr>
        <w:pStyle w:val="SingleTxtG"/>
        <w:numPr>
          <w:ilvl w:val="0"/>
          <w:numId w:val="18"/>
        </w:numPr>
        <w:tabs>
          <w:tab w:val="left" w:pos="6663"/>
        </w:tabs>
        <w:rPr>
          <w:lang w:val="fr-CH"/>
        </w:rPr>
      </w:pPr>
      <w:r w:rsidRPr="00C0505D">
        <w:rPr>
          <w:lang w:val="fr-CH"/>
        </w:rPr>
        <w:t xml:space="preserve">UN 1016 </w:t>
      </w:r>
      <w:proofErr w:type="spellStart"/>
      <w:r w:rsidRPr="00C0505D">
        <w:rPr>
          <w:lang w:val="fr-CH"/>
        </w:rPr>
        <w:t>carbon</w:t>
      </w:r>
      <w:proofErr w:type="spellEnd"/>
      <w:r w:rsidRPr="00C0505D">
        <w:rPr>
          <w:lang w:val="fr-CH"/>
        </w:rPr>
        <w:t xml:space="preserve"> </w:t>
      </w:r>
      <w:proofErr w:type="spellStart"/>
      <w:r w:rsidRPr="00C0505D">
        <w:rPr>
          <w:lang w:val="fr-CH"/>
        </w:rPr>
        <w:t>monoxide</w:t>
      </w:r>
      <w:proofErr w:type="spellEnd"/>
      <w:r w:rsidRPr="00C0505D">
        <w:rPr>
          <w:lang w:val="fr-CH"/>
        </w:rPr>
        <w:t xml:space="preserve">, </w:t>
      </w:r>
      <w:proofErr w:type="spellStart"/>
      <w:r w:rsidRPr="00C0505D">
        <w:rPr>
          <w:lang w:val="fr-CH"/>
        </w:rPr>
        <w:t>compressed</w:t>
      </w:r>
      <w:proofErr w:type="spellEnd"/>
      <w:r w:rsidRPr="00C0505D">
        <w:rPr>
          <w:lang w:val="fr-CH"/>
        </w:rPr>
        <w:t xml:space="preserve">, </w:t>
      </w:r>
      <w:r>
        <w:rPr>
          <w:lang w:val="fr-CH"/>
        </w:rPr>
        <w:t>2.3 (2.1); 20 kg:</w:t>
      </w:r>
      <w:r w:rsidR="00004AEB">
        <w:rPr>
          <w:lang w:val="fr-CH"/>
        </w:rPr>
        <w:tab/>
      </w:r>
      <w:r w:rsidR="009D5E8F">
        <w:rPr>
          <w:lang w:val="fr-CH"/>
        </w:rPr>
        <w:t xml:space="preserve">  </w:t>
      </w:r>
      <w:r w:rsidRPr="00C0505D">
        <w:rPr>
          <w:lang w:val="fr-CH"/>
        </w:rPr>
        <w:t>1000 ADR points</w:t>
      </w:r>
    </w:p>
    <w:p w:rsidR="00C0505D" w:rsidRPr="009D5E8F" w:rsidRDefault="00C0505D" w:rsidP="009D5E8F">
      <w:pPr>
        <w:pStyle w:val="SingleTxtG"/>
        <w:numPr>
          <w:ilvl w:val="0"/>
          <w:numId w:val="19"/>
        </w:numPr>
        <w:tabs>
          <w:tab w:val="left" w:pos="6663"/>
        </w:tabs>
        <w:rPr>
          <w:lang w:val="fr-CH"/>
        </w:rPr>
      </w:pPr>
      <w:r w:rsidRPr="009D5E8F">
        <w:rPr>
          <w:lang w:val="fr-CH"/>
        </w:rPr>
        <w:t xml:space="preserve">UN 1090 </w:t>
      </w:r>
      <w:proofErr w:type="spellStart"/>
      <w:r w:rsidRPr="009D5E8F">
        <w:rPr>
          <w:lang w:val="fr-CH"/>
        </w:rPr>
        <w:t>Acetone</w:t>
      </w:r>
      <w:proofErr w:type="spellEnd"/>
      <w:r w:rsidRPr="009D5E8F">
        <w:rPr>
          <w:lang w:val="fr-CH"/>
        </w:rPr>
        <w:t>,</w:t>
      </w:r>
      <w:r w:rsidR="00537E72">
        <w:rPr>
          <w:lang w:val="fr-CH"/>
        </w:rPr>
        <w:t xml:space="preserve"> 3, II</w:t>
      </w:r>
      <w:r w:rsidRPr="009D5E8F">
        <w:rPr>
          <w:lang w:val="fr-CH"/>
        </w:rPr>
        <w:t>;   30 litres:</w:t>
      </w:r>
      <w:r w:rsidR="00004AEB">
        <w:rPr>
          <w:lang w:val="fr-CH"/>
        </w:rPr>
        <w:tab/>
      </w:r>
      <w:r w:rsidR="00004AEB">
        <w:rPr>
          <w:lang w:val="fr-CH"/>
        </w:rPr>
        <w:tab/>
        <w:t xml:space="preserve">   </w:t>
      </w:r>
      <w:r w:rsidR="009D5E8F">
        <w:rPr>
          <w:lang w:val="fr-CH"/>
        </w:rPr>
        <w:t xml:space="preserve">  </w:t>
      </w:r>
      <w:r w:rsidRPr="009D5E8F">
        <w:rPr>
          <w:lang w:val="fr-CH"/>
        </w:rPr>
        <w:t xml:space="preserve"> 90 ADR points</w:t>
      </w:r>
    </w:p>
    <w:p w:rsidR="00C0505D" w:rsidRPr="00C0505D" w:rsidRDefault="00537E72" w:rsidP="009D5E8F">
      <w:pPr>
        <w:pStyle w:val="SingleTxtG"/>
        <w:numPr>
          <w:ilvl w:val="0"/>
          <w:numId w:val="18"/>
        </w:numPr>
        <w:rPr>
          <w:lang w:val="fr-CH"/>
        </w:rPr>
      </w:pPr>
      <w:r>
        <w:rPr>
          <w:lang w:val="fr-CH"/>
        </w:rPr>
        <w:t xml:space="preserve">UN 1888 </w:t>
      </w:r>
      <w:proofErr w:type="spellStart"/>
      <w:r>
        <w:rPr>
          <w:lang w:val="fr-CH"/>
        </w:rPr>
        <w:t>Chloroform</w:t>
      </w:r>
      <w:proofErr w:type="spellEnd"/>
      <w:r>
        <w:rPr>
          <w:lang w:val="fr-CH"/>
        </w:rPr>
        <w:t>, 6.1, III</w:t>
      </w:r>
      <w:r w:rsidR="00C0505D" w:rsidRPr="00C0505D">
        <w:rPr>
          <w:lang w:val="fr-CH"/>
        </w:rPr>
        <w:t xml:space="preserve"> ; 50 litres :                            </w:t>
      </w:r>
      <w:r w:rsidR="00004AEB">
        <w:rPr>
          <w:lang w:val="fr-CH"/>
        </w:rPr>
        <w:t xml:space="preserve">    </w:t>
      </w:r>
      <w:r w:rsidR="00FA74C4">
        <w:rPr>
          <w:lang w:val="fr-CH"/>
        </w:rPr>
        <w:t xml:space="preserve"> 150 ADR points</w:t>
      </w:r>
    </w:p>
    <w:p w:rsidR="00C0505D" w:rsidRPr="00C0505D" w:rsidRDefault="00FA74C4" w:rsidP="00C0505D">
      <w:pPr>
        <w:pStyle w:val="SingleTxtG"/>
      </w:pPr>
      <w:r w:rsidRPr="00FA74C4">
        <w:t>1</w:t>
      </w:r>
      <w:r w:rsidR="00A867C2">
        <w:t>2</w:t>
      </w:r>
      <w:r w:rsidRPr="00FA74C4">
        <w:t>.</w:t>
      </w:r>
      <w:r w:rsidRPr="00FA74C4">
        <w:tab/>
      </w:r>
      <w:r w:rsidR="00C0505D" w:rsidRPr="00C0505D">
        <w:t xml:space="preserve">If the transport document indicated the sum of points, the driver would know that he may carry either only the carbon monoxide, or the acetone with the chloroform. But if the transport document only mentions the quantity in kg or litres as foreseen in 5.4.1.1.1 </w:t>
      </w:r>
      <w:r w:rsidR="00537E72">
        <w:t>(</w:t>
      </w:r>
      <w:r w:rsidR="00C0505D" w:rsidRPr="00C0505D">
        <w:t>f), the driver cannot assess the values for the maximum quantity and exposes himself to sanctions despite genuinely thinking that he is within his rights.</w:t>
      </w:r>
    </w:p>
    <w:p w:rsidR="00C0505D" w:rsidRPr="00C0505D" w:rsidRDefault="00FA74C4" w:rsidP="00C0505D">
      <w:pPr>
        <w:pStyle w:val="SingleTxtG"/>
      </w:pPr>
      <w:r>
        <w:t>1</w:t>
      </w:r>
      <w:r w:rsidR="00A867C2">
        <w:t>3</w:t>
      </w:r>
      <w:r>
        <w:t xml:space="preserve">. </w:t>
      </w:r>
      <w:r w:rsidR="008C09D6">
        <w:tab/>
      </w:r>
      <w:r w:rsidR="00C0505D" w:rsidRPr="00C0505D">
        <w:t xml:space="preserve">Draft proposal to amend sub-section 5.4.1.1.1 (f) of </w:t>
      </w:r>
      <w:r w:rsidR="00537E72">
        <w:t>ADR</w:t>
      </w:r>
      <w:r w:rsidR="00C0505D" w:rsidRPr="00C0505D">
        <w:t>:</w:t>
      </w:r>
    </w:p>
    <w:p w:rsidR="00C0505D" w:rsidRPr="00C0505D" w:rsidRDefault="00C0505D" w:rsidP="008C09D6">
      <w:pPr>
        <w:pStyle w:val="SingleTxtG"/>
        <w:ind w:firstLine="567"/>
        <w:rPr>
          <w:i/>
          <w:iCs/>
        </w:rPr>
      </w:pPr>
      <w:r w:rsidRPr="00C0505D">
        <w:rPr>
          <w:i/>
          <w:iCs/>
        </w:rPr>
        <w:t xml:space="preserve">Amend Note 1 in sub-section 5.4.1.1.1 (f) to read as follows (changes </w:t>
      </w:r>
      <w:r w:rsidRPr="00C0505D">
        <w:rPr>
          <w:b/>
          <w:i/>
          <w:iCs/>
        </w:rPr>
        <w:t>in bold</w:t>
      </w:r>
      <w:r w:rsidRPr="00C0505D">
        <w:rPr>
          <w:i/>
          <w:iCs/>
        </w:rPr>
        <w:t>):</w:t>
      </w:r>
    </w:p>
    <w:p w:rsidR="00C0505D" w:rsidRPr="00C0505D" w:rsidRDefault="00C0505D" w:rsidP="008C09D6">
      <w:pPr>
        <w:pStyle w:val="SingleTxtG"/>
        <w:ind w:left="1701"/>
        <w:rPr>
          <w:i/>
          <w:iCs/>
        </w:rPr>
      </w:pPr>
      <w:r w:rsidRPr="00C0505D">
        <w:rPr>
          <w:i/>
          <w:iCs/>
        </w:rPr>
        <w:t>“</w:t>
      </w:r>
      <w:r w:rsidRPr="008C09D6">
        <w:rPr>
          <w:b/>
          <w:i/>
          <w:iCs/>
        </w:rPr>
        <w:t>NOTE 1</w:t>
      </w:r>
      <w:r w:rsidRPr="00C0505D">
        <w:rPr>
          <w:i/>
          <w:iCs/>
        </w:rPr>
        <w:t xml:space="preserve">: In the case of intended application of 1.1.3.6, the total quantity of dangerous goods for each transport category </w:t>
      </w:r>
      <w:r w:rsidRPr="00C0505D">
        <w:rPr>
          <w:b/>
          <w:i/>
          <w:iCs/>
        </w:rPr>
        <w:t>and the sum of these values in points</w:t>
      </w:r>
      <w:r w:rsidRPr="00C0505D">
        <w:rPr>
          <w:i/>
          <w:iCs/>
        </w:rPr>
        <w:t xml:space="preserve"> shall be indicated in the transport document in accordance with 1.1.3.6.3.”</w:t>
      </w:r>
    </w:p>
    <w:p w:rsidR="00B83971" w:rsidRDefault="00B83971" w:rsidP="00B83971">
      <w:pPr>
        <w:pStyle w:val="HChG"/>
      </w:pPr>
      <w:r>
        <w:tab/>
      </w:r>
      <w:r>
        <w:tab/>
        <w:t>Justification</w:t>
      </w:r>
    </w:p>
    <w:p w:rsidR="00FA74C4" w:rsidRPr="00FA74C4" w:rsidRDefault="00FA74C4" w:rsidP="00FA74C4">
      <w:pPr>
        <w:pStyle w:val="SingleTxtG"/>
      </w:pPr>
      <w:r w:rsidRPr="00FA74C4">
        <w:t>Safety:</w:t>
      </w:r>
      <w:r w:rsidRPr="00FA74C4">
        <w:rPr>
          <w:b/>
        </w:rPr>
        <w:t xml:space="preserve"> </w:t>
      </w:r>
      <w:r w:rsidR="00537E72">
        <w:t xml:space="preserve">Clear text improves </w:t>
      </w:r>
      <w:r w:rsidRPr="00FA74C4">
        <w:t>transport safety.</w:t>
      </w:r>
    </w:p>
    <w:p w:rsidR="00FA74C4" w:rsidRPr="00FA74C4" w:rsidRDefault="00FA74C4" w:rsidP="00FA74C4">
      <w:pPr>
        <w:spacing w:after="120"/>
        <w:ind w:left="1134" w:right="1134"/>
        <w:jc w:val="both"/>
        <w:rPr>
          <w:b/>
        </w:rPr>
      </w:pPr>
      <w:r w:rsidRPr="00FA74C4">
        <w:t xml:space="preserve">Feasibility: </w:t>
      </w:r>
      <w:r w:rsidR="00A867C2" w:rsidRPr="00A867C2">
        <w:t>Avoids any confusion in the interpretation of texts.</w:t>
      </w:r>
    </w:p>
    <w:p w:rsidR="00FA74C4" w:rsidRDefault="00A867C2" w:rsidP="00FA74C4">
      <w:pPr>
        <w:spacing w:after="120"/>
        <w:ind w:left="1134" w:right="1134"/>
        <w:jc w:val="both"/>
      </w:pPr>
      <w:proofErr w:type="gramStart"/>
      <w:r w:rsidRPr="00A867C2">
        <w:t xml:space="preserve">Facilitates the application of </w:t>
      </w:r>
      <w:r>
        <w:t xml:space="preserve">sub-sections 1.1.3.6 and </w:t>
      </w:r>
      <w:r w:rsidRPr="00A867C2">
        <w:t xml:space="preserve">5.4.1.1.1 </w:t>
      </w:r>
      <w:r>
        <w:t>(f)</w:t>
      </w:r>
      <w:r w:rsidRPr="00A867C2">
        <w:t>.</w:t>
      </w:r>
      <w:proofErr w:type="gramEnd"/>
    </w:p>
    <w:p w:rsidR="001B499A" w:rsidRPr="001B499A" w:rsidRDefault="001B499A" w:rsidP="001B499A">
      <w:pPr>
        <w:spacing w:before="240"/>
        <w:ind w:left="1134" w:right="1134"/>
        <w:jc w:val="center"/>
        <w:rPr>
          <w:u w:val="single"/>
        </w:rPr>
      </w:pPr>
      <w:r>
        <w:rPr>
          <w:u w:val="single"/>
        </w:rPr>
        <w:tab/>
      </w:r>
      <w:r>
        <w:rPr>
          <w:u w:val="single"/>
        </w:rPr>
        <w:tab/>
      </w:r>
      <w:r>
        <w:rPr>
          <w:u w:val="single"/>
        </w:rPr>
        <w:tab/>
      </w:r>
    </w:p>
    <w:sectPr w:rsidR="001B499A" w:rsidRPr="001B499A" w:rsidSect="00B83971">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590" w:rsidRDefault="00DF4590"/>
  </w:endnote>
  <w:endnote w:type="continuationSeparator" w:id="0">
    <w:p w:rsidR="00DF4590" w:rsidRDefault="00DF4590"/>
  </w:endnote>
  <w:endnote w:type="continuationNotice" w:id="1">
    <w:p w:rsidR="00DF4590" w:rsidRDefault="00DF45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9D6" w:rsidRPr="00B83971" w:rsidRDefault="00AC4909" w:rsidP="00B83971">
    <w:pPr>
      <w:pStyle w:val="Footer"/>
      <w:tabs>
        <w:tab w:val="right" w:pos="9638"/>
      </w:tabs>
      <w:rPr>
        <w:sz w:val="18"/>
      </w:rPr>
    </w:pPr>
    <w:r w:rsidRPr="00B83971">
      <w:rPr>
        <w:b/>
        <w:sz w:val="18"/>
      </w:rPr>
      <w:fldChar w:fldCharType="begin"/>
    </w:r>
    <w:r w:rsidR="006819D6" w:rsidRPr="00B83971">
      <w:rPr>
        <w:b/>
        <w:sz w:val="18"/>
      </w:rPr>
      <w:instrText xml:space="preserve"> PAGE  \* MERGEFORMAT </w:instrText>
    </w:r>
    <w:r w:rsidRPr="00B83971">
      <w:rPr>
        <w:b/>
        <w:sz w:val="18"/>
      </w:rPr>
      <w:fldChar w:fldCharType="separate"/>
    </w:r>
    <w:r w:rsidR="008C6510">
      <w:rPr>
        <w:b/>
        <w:noProof/>
        <w:sz w:val="18"/>
      </w:rPr>
      <w:t>2</w:t>
    </w:r>
    <w:r w:rsidRPr="00B83971">
      <w:rPr>
        <w:b/>
        <w:sz w:val="18"/>
      </w:rPr>
      <w:fldChar w:fldCharType="end"/>
    </w:r>
    <w:r w:rsidR="006819D6">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9D6" w:rsidRPr="00B83971" w:rsidRDefault="006819D6" w:rsidP="00B83971">
    <w:pPr>
      <w:pStyle w:val="Footer"/>
      <w:tabs>
        <w:tab w:val="right" w:pos="9638"/>
      </w:tabs>
      <w:rPr>
        <w:b/>
        <w:sz w:val="18"/>
      </w:rPr>
    </w:pPr>
    <w:r>
      <w:tab/>
    </w:r>
    <w:r w:rsidR="00AC4909" w:rsidRPr="00B83971">
      <w:rPr>
        <w:b/>
        <w:sz w:val="18"/>
      </w:rPr>
      <w:fldChar w:fldCharType="begin"/>
    </w:r>
    <w:r w:rsidRPr="00B83971">
      <w:rPr>
        <w:b/>
        <w:sz w:val="18"/>
      </w:rPr>
      <w:instrText xml:space="preserve"> PAGE  \* MERGEFORMAT </w:instrText>
    </w:r>
    <w:r w:rsidR="00AC4909" w:rsidRPr="00B83971">
      <w:rPr>
        <w:b/>
        <w:sz w:val="18"/>
      </w:rPr>
      <w:fldChar w:fldCharType="separate"/>
    </w:r>
    <w:r w:rsidR="008C6510">
      <w:rPr>
        <w:b/>
        <w:noProof/>
        <w:sz w:val="18"/>
      </w:rPr>
      <w:t>3</w:t>
    </w:r>
    <w:r w:rsidR="00AC4909" w:rsidRPr="00B8397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9D6" w:rsidRPr="00B83971" w:rsidRDefault="006819D6">
    <w:pPr>
      <w:pStyle w:val="Footer"/>
      <w:rPr>
        <w:sz w:val="20"/>
      </w:rPr>
    </w:pPr>
    <w:r>
      <w:rPr>
        <w:noProof/>
        <w:lang w:eastAsia="en-GB"/>
      </w:rPr>
      <w:drawing>
        <wp:anchor distT="0" distB="0" distL="114300" distR="114300" simplePos="0" relativeHeight="251657728" behindDoc="0" locked="1" layoutInCell="1" allowOverlap="1" wp14:anchorId="7BF58267" wp14:editId="1498A98C">
          <wp:simplePos x="0" y="0"/>
          <wp:positionH relativeFrom="column">
            <wp:posOffset>5148580</wp:posOffset>
          </wp:positionH>
          <wp:positionV relativeFrom="paragraph">
            <wp:posOffset>-79375</wp:posOffset>
          </wp:positionV>
          <wp:extent cx="930275" cy="230505"/>
          <wp:effectExtent l="19050" t="0" r="3175" b="0"/>
          <wp:wrapNone/>
          <wp:docPr id="1"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srcRect/>
                  <a:stretch>
                    <a:fillRect/>
                  </a:stretch>
                </pic:blipFill>
                <pic:spPr bwMode="auto">
                  <a:xfrm>
                    <a:off x="0" y="0"/>
                    <a:ext cx="930275" cy="230505"/>
                  </a:xfrm>
                  <a:prstGeom prst="rect">
                    <a:avLst/>
                  </a:prstGeom>
                  <a:noFill/>
                  <a:ln w="9525">
                    <a:noFill/>
                    <a:miter lim="800000"/>
                    <a:headEnd/>
                    <a:tailEnd/>
                  </a:ln>
                </pic:spPr>
              </pic:pic>
            </a:graphicData>
          </a:graphic>
        </wp:anchor>
      </w:drawing>
    </w:r>
    <w:r>
      <w:rPr>
        <w:sz w:val="20"/>
      </w:rPr>
      <w:t>GE.15-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590" w:rsidRPr="000B175B" w:rsidRDefault="00DF4590" w:rsidP="000B175B">
      <w:pPr>
        <w:tabs>
          <w:tab w:val="right" w:pos="2155"/>
        </w:tabs>
        <w:spacing w:after="80"/>
        <w:ind w:left="680"/>
        <w:rPr>
          <w:u w:val="single"/>
        </w:rPr>
      </w:pPr>
      <w:r>
        <w:rPr>
          <w:u w:val="single"/>
        </w:rPr>
        <w:tab/>
      </w:r>
    </w:p>
  </w:footnote>
  <w:footnote w:type="continuationSeparator" w:id="0">
    <w:p w:rsidR="00DF4590" w:rsidRPr="00FC68B7" w:rsidRDefault="00DF4590" w:rsidP="00FC68B7">
      <w:pPr>
        <w:tabs>
          <w:tab w:val="left" w:pos="2155"/>
        </w:tabs>
        <w:spacing w:after="80"/>
        <w:ind w:left="680"/>
        <w:rPr>
          <w:u w:val="single"/>
        </w:rPr>
      </w:pPr>
      <w:r>
        <w:rPr>
          <w:u w:val="single"/>
        </w:rPr>
        <w:tab/>
      </w:r>
    </w:p>
  </w:footnote>
  <w:footnote w:type="continuationNotice" w:id="1">
    <w:p w:rsidR="00DF4590" w:rsidRDefault="00DF4590"/>
  </w:footnote>
  <w:footnote w:id="2">
    <w:p w:rsidR="006819D6" w:rsidRDefault="006819D6" w:rsidP="00B83971">
      <w:pPr>
        <w:pStyle w:val="FootnoteText"/>
      </w:pPr>
      <w:r>
        <w:tab/>
      </w:r>
      <w:r>
        <w:rPr>
          <w:rStyle w:val="FootnoteReference"/>
        </w:rPr>
        <w:footnoteRef/>
      </w:r>
      <w:r>
        <w:tab/>
        <w:t>The present document is submitted in accordance with paragraph 1 (c) of the terms of reference of the Working Party, as contained in document ECE/TRANS/WP.15/190/Add.1, which provides a mandate to “develop and update the European Agreement concerning the International Carriage of Dangerous Goods by Road (ADR)”.</w:t>
      </w:r>
    </w:p>
    <w:p w:rsidR="006819D6" w:rsidRDefault="006819D6" w:rsidP="00B8397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9D6" w:rsidRPr="00B83971" w:rsidRDefault="00537E72">
    <w:pPr>
      <w:pStyle w:val="Header"/>
    </w:pPr>
    <w:r>
      <w:t>ECE/TRANS/WP.15/2015/14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9D6" w:rsidRPr="00B83971" w:rsidRDefault="00537E72" w:rsidP="00B83971">
    <w:pPr>
      <w:pStyle w:val="Header"/>
      <w:jc w:val="right"/>
    </w:pPr>
    <w:r>
      <w:t>ECE/TRANS/WP.15/2015/14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E72" w:rsidRPr="00537E72" w:rsidRDefault="00537E72" w:rsidP="00537E72">
    <w:pPr>
      <w:pStyle w:val="Header"/>
      <w:jc w:val="cent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0E829FD"/>
    <w:multiLevelType w:val="hybridMultilevel"/>
    <w:tmpl w:val="6BC86016"/>
    <w:lvl w:ilvl="0" w:tplc="FAE4B376">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65925DC1"/>
    <w:multiLevelType w:val="hybridMultilevel"/>
    <w:tmpl w:val="FAA66F24"/>
    <w:lvl w:ilvl="0" w:tplc="C5C6B2EE">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EABE305C" w:tentative="1">
      <w:start w:val="1"/>
      <w:numFmt w:val="bullet"/>
      <w:lvlText w:val="o"/>
      <w:lvlJc w:val="left"/>
      <w:pPr>
        <w:tabs>
          <w:tab w:val="num" w:pos="1440"/>
        </w:tabs>
        <w:ind w:left="1440" w:hanging="360"/>
      </w:pPr>
      <w:rPr>
        <w:rFonts w:ascii="Courier New" w:hAnsi="Courier New" w:cs="Courier New" w:hint="default"/>
      </w:rPr>
    </w:lvl>
    <w:lvl w:ilvl="2" w:tplc="84682FC2" w:tentative="1">
      <w:start w:val="1"/>
      <w:numFmt w:val="bullet"/>
      <w:lvlText w:val=""/>
      <w:lvlJc w:val="left"/>
      <w:pPr>
        <w:tabs>
          <w:tab w:val="num" w:pos="2160"/>
        </w:tabs>
        <w:ind w:left="2160" w:hanging="360"/>
      </w:pPr>
      <w:rPr>
        <w:rFonts w:ascii="Wingdings" w:hAnsi="Wingdings" w:hint="default"/>
      </w:rPr>
    </w:lvl>
    <w:lvl w:ilvl="3" w:tplc="82C08A84" w:tentative="1">
      <w:start w:val="1"/>
      <w:numFmt w:val="bullet"/>
      <w:lvlText w:val=""/>
      <w:lvlJc w:val="left"/>
      <w:pPr>
        <w:tabs>
          <w:tab w:val="num" w:pos="2880"/>
        </w:tabs>
        <w:ind w:left="2880" w:hanging="360"/>
      </w:pPr>
      <w:rPr>
        <w:rFonts w:ascii="Symbol" w:hAnsi="Symbol" w:hint="default"/>
      </w:rPr>
    </w:lvl>
    <w:lvl w:ilvl="4" w:tplc="852440C4" w:tentative="1">
      <w:start w:val="1"/>
      <w:numFmt w:val="bullet"/>
      <w:lvlText w:val="o"/>
      <w:lvlJc w:val="left"/>
      <w:pPr>
        <w:tabs>
          <w:tab w:val="num" w:pos="3600"/>
        </w:tabs>
        <w:ind w:left="3600" w:hanging="360"/>
      </w:pPr>
      <w:rPr>
        <w:rFonts w:ascii="Courier New" w:hAnsi="Courier New" w:cs="Courier New" w:hint="default"/>
      </w:rPr>
    </w:lvl>
    <w:lvl w:ilvl="5" w:tplc="0002A380" w:tentative="1">
      <w:start w:val="1"/>
      <w:numFmt w:val="bullet"/>
      <w:lvlText w:val=""/>
      <w:lvlJc w:val="left"/>
      <w:pPr>
        <w:tabs>
          <w:tab w:val="num" w:pos="4320"/>
        </w:tabs>
        <w:ind w:left="4320" w:hanging="360"/>
      </w:pPr>
      <w:rPr>
        <w:rFonts w:ascii="Wingdings" w:hAnsi="Wingdings" w:hint="default"/>
      </w:rPr>
    </w:lvl>
    <w:lvl w:ilvl="6" w:tplc="DBD86AEE" w:tentative="1">
      <w:start w:val="1"/>
      <w:numFmt w:val="bullet"/>
      <w:lvlText w:val=""/>
      <w:lvlJc w:val="left"/>
      <w:pPr>
        <w:tabs>
          <w:tab w:val="num" w:pos="5040"/>
        </w:tabs>
        <w:ind w:left="5040" w:hanging="360"/>
      </w:pPr>
      <w:rPr>
        <w:rFonts w:ascii="Symbol" w:hAnsi="Symbol" w:hint="default"/>
      </w:rPr>
    </w:lvl>
    <w:lvl w:ilvl="7" w:tplc="BECABEA4" w:tentative="1">
      <w:start w:val="1"/>
      <w:numFmt w:val="bullet"/>
      <w:lvlText w:val="o"/>
      <w:lvlJc w:val="left"/>
      <w:pPr>
        <w:tabs>
          <w:tab w:val="num" w:pos="5760"/>
        </w:tabs>
        <w:ind w:left="5760" w:hanging="360"/>
      </w:pPr>
      <w:rPr>
        <w:rFonts w:ascii="Courier New" w:hAnsi="Courier New" w:cs="Courier New" w:hint="default"/>
      </w:rPr>
    </w:lvl>
    <w:lvl w:ilvl="8" w:tplc="11D6A756" w:tentative="1">
      <w:start w:val="1"/>
      <w:numFmt w:val="bullet"/>
      <w:lvlText w:val=""/>
      <w:lvlJc w:val="left"/>
      <w:pPr>
        <w:tabs>
          <w:tab w:val="num" w:pos="6480"/>
        </w:tabs>
        <w:ind w:left="6480" w:hanging="360"/>
      </w:pPr>
      <w:rPr>
        <w:rFonts w:ascii="Wingdings" w:hAnsi="Wingdings" w:hint="default"/>
      </w:rPr>
    </w:lvl>
  </w:abstractNum>
  <w:abstractNum w:abstractNumId="15">
    <w:nsid w:val="6CE00DA7"/>
    <w:multiLevelType w:val="hybridMultilevel"/>
    <w:tmpl w:val="FC26FCFE"/>
    <w:lvl w:ilvl="0" w:tplc="4A0C2BD6">
      <w:start w:val="1"/>
      <w:numFmt w:val="bullet"/>
      <w:lvlText w:val=""/>
      <w:lvlJc w:val="left"/>
      <w:pPr>
        <w:ind w:left="2061" w:hanging="360"/>
      </w:pPr>
      <w:rPr>
        <w:rFonts w:ascii="Symbol" w:hAnsi="Symbol" w:hint="default"/>
      </w:rPr>
    </w:lvl>
    <w:lvl w:ilvl="1" w:tplc="100C0003" w:tentative="1">
      <w:start w:val="1"/>
      <w:numFmt w:val="bullet"/>
      <w:lvlText w:val="o"/>
      <w:lvlJc w:val="left"/>
      <w:pPr>
        <w:ind w:left="2781" w:hanging="360"/>
      </w:pPr>
      <w:rPr>
        <w:rFonts w:ascii="Courier New" w:hAnsi="Courier New" w:cs="Courier New" w:hint="default"/>
      </w:rPr>
    </w:lvl>
    <w:lvl w:ilvl="2" w:tplc="100C0005" w:tentative="1">
      <w:start w:val="1"/>
      <w:numFmt w:val="bullet"/>
      <w:lvlText w:val=""/>
      <w:lvlJc w:val="left"/>
      <w:pPr>
        <w:ind w:left="3501" w:hanging="360"/>
      </w:pPr>
      <w:rPr>
        <w:rFonts w:ascii="Wingdings" w:hAnsi="Wingdings" w:hint="default"/>
      </w:rPr>
    </w:lvl>
    <w:lvl w:ilvl="3" w:tplc="100C0001" w:tentative="1">
      <w:start w:val="1"/>
      <w:numFmt w:val="bullet"/>
      <w:lvlText w:val=""/>
      <w:lvlJc w:val="left"/>
      <w:pPr>
        <w:ind w:left="4221" w:hanging="360"/>
      </w:pPr>
      <w:rPr>
        <w:rFonts w:ascii="Symbol" w:hAnsi="Symbol" w:hint="default"/>
      </w:rPr>
    </w:lvl>
    <w:lvl w:ilvl="4" w:tplc="100C0003" w:tentative="1">
      <w:start w:val="1"/>
      <w:numFmt w:val="bullet"/>
      <w:lvlText w:val="o"/>
      <w:lvlJc w:val="left"/>
      <w:pPr>
        <w:ind w:left="4941" w:hanging="360"/>
      </w:pPr>
      <w:rPr>
        <w:rFonts w:ascii="Courier New" w:hAnsi="Courier New" w:cs="Courier New" w:hint="default"/>
      </w:rPr>
    </w:lvl>
    <w:lvl w:ilvl="5" w:tplc="100C0005" w:tentative="1">
      <w:start w:val="1"/>
      <w:numFmt w:val="bullet"/>
      <w:lvlText w:val=""/>
      <w:lvlJc w:val="left"/>
      <w:pPr>
        <w:ind w:left="5661" w:hanging="360"/>
      </w:pPr>
      <w:rPr>
        <w:rFonts w:ascii="Wingdings" w:hAnsi="Wingdings" w:hint="default"/>
      </w:rPr>
    </w:lvl>
    <w:lvl w:ilvl="6" w:tplc="100C0001" w:tentative="1">
      <w:start w:val="1"/>
      <w:numFmt w:val="bullet"/>
      <w:lvlText w:val=""/>
      <w:lvlJc w:val="left"/>
      <w:pPr>
        <w:ind w:left="6381" w:hanging="360"/>
      </w:pPr>
      <w:rPr>
        <w:rFonts w:ascii="Symbol" w:hAnsi="Symbol" w:hint="default"/>
      </w:rPr>
    </w:lvl>
    <w:lvl w:ilvl="7" w:tplc="100C0003" w:tentative="1">
      <w:start w:val="1"/>
      <w:numFmt w:val="bullet"/>
      <w:lvlText w:val="o"/>
      <w:lvlJc w:val="left"/>
      <w:pPr>
        <w:ind w:left="7101" w:hanging="360"/>
      </w:pPr>
      <w:rPr>
        <w:rFonts w:ascii="Courier New" w:hAnsi="Courier New" w:cs="Courier New" w:hint="default"/>
      </w:rPr>
    </w:lvl>
    <w:lvl w:ilvl="8" w:tplc="100C0005" w:tentative="1">
      <w:start w:val="1"/>
      <w:numFmt w:val="bullet"/>
      <w:lvlText w:val=""/>
      <w:lvlJc w:val="left"/>
      <w:pPr>
        <w:ind w:left="7821" w:hanging="360"/>
      </w:pPr>
      <w:rPr>
        <w:rFonts w:ascii="Wingdings" w:hAnsi="Wingdings" w:hint="default"/>
      </w:rPr>
    </w:lvl>
  </w:abstractNum>
  <w:abstractNum w:abstractNumId="16">
    <w:nsid w:val="6D505E5D"/>
    <w:multiLevelType w:val="hybridMultilevel"/>
    <w:tmpl w:val="519C5D72"/>
    <w:lvl w:ilvl="0" w:tplc="8C4849AC">
      <w:start w:val="1"/>
      <w:numFmt w:val="bullet"/>
      <w:lvlText w:val=""/>
      <w:lvlJc w:val="left"/>
      <w:pPr>
        <w:ind w:left="2061" w:hanging="360"/>
      </w:pPr>
      <w:rPr>
        <w:rFonts w:ascii="Symbol" w:hAnsi="Symbol"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17">
    <w:nsid w:val="6E2854E8"/>
    <w:multiLevelType w:val="hybridMultilevel"/>
    <w:tmpl w:val="38E87356"/>
    <w:lvl w:ilvl="0" w:tplc="100C0001">
      <w:start w:val="1"/>
      <w:numFmt w:val="bullet"/>
      <w:lvlText w:val=""/>
      <w:lvlJc w:val="left"/>
      <w:pPr>
        <w:ind w:left="2061" w:hanging="360"/>
      </w:pPr>
      <w:rPr>
        <w:rFonts w:ascii="Symbol" w:hAnsi="Symbol" w:hint="default"/>
      </w:rPr>
    </w:lvl>
    <w:lvl w:ilvl="1" w:tplc="100C0003" w:tentative="1">
      <w:start w:val="1"/>
      <w:numFmt w:val="bullet"/>
      <w:lvlText w:val="o"/>
      <w:lvlJc w:val="left"/>
      <w:pPr>
        <w:ind w:left="2781" w:hanging="360"/>
      </w:pPr>
      <w:rPr>
        <w:rFonts w:ascii="Courier New" w:hAnsi="Courier New" w:cs="Courier New" w:hint="default"/>
      </w:rPr>
    </w:lvl>
    <w:lvl w:ilvl="2" w:tplc="100C0005" w:tentative="1">
      <w:start w:val="1"/>
      <w:numFmt w:val="bullet"/>
      <w:lvlText w:val=""/>
      <w:lvlJc w:val="left"/>
      <w:pPr>
        <w:ind w:left="3501" w:hanging="360"/>
      </w:pPr>
      <w:rPr>
        <w:rFonts w:ascii="Wingdings" w:hAnsi="Wingdings" w:hint="default"/>
      </w:rPr>
    </w:lvl>
    <w:lvl w:ilvl="3" w:tplc="100C0001" w:tentative="1">
      <w:start w:val="1"/>
      <w:numFmt w:val="bullet"/>
      <w:lvlText w:val=""/>
      <w:lvlJc w:val="left"/>
      <w:pPr>
        <w:ind w:left="4221" w:hanging="360"/>
      </w:pPr>
      <w:rPr>
        <w:rFonts w:ascii="Symbol" w:hAnsi="Symbol" w:hint="default"/>
      </w:rPr>
    </w:lvl>
    <w:lvl w:ilvl="4" w:tplc="100C0003" w:tentative="1">
      <w:start w:val="1"/>
      <w:numFmt w:val="bullet"/>
      <w:lvlText w:val="o"/>
      <w:lvlJc w:val="left"/>
      <w:pPr>
        <w:ind w:left="4941" w:hanging="360"/>
      </w:pPr>
      <w:rPr>
        <w:rFonts w:ascii="Courier New" w:hAnsi="Courier New" w:cs="Courier New" w:hint="default"/>
      </w:rPr>
    </w:lvl>
    <w:lvl w:ilvl="5" w:tplc="100C0005" w:tentative="1">
      <w:start w:val="1"/>
      <w:numFmt w:val="bullet"/>
      <w:lvlText w:val=""/>
      <w:lvlJc w:val="left"/>
      <w:pPr>
        <w:ind w:left="5661" w:hanging="360"/>
      </w:pPr>
      <w:rPr>
        <w:rFonts w:ascii="Wingdings" w:hAnsi="Wingdings" w:hint="default"/>
      </w:rPr>
    </w:lvl>
    <w:lvl w:ilvl="6" w:tplc="100C0001" w:tentative="1">
      <w:start w:val="1"/>
      <w:numFmt w:val="bullet"/>
      <w:lvlText w:val=""/>
      <w:lvlJc w:val="left"/>
      <w:pPr>
        <w:ind w:left="6381" w:hanging="360"/>
      </w:pPr>
      <w:rPr>
        <w:rFonts w:ascii="Symbol" w:hAnsi="Symbol" w:hint="default"/>
      </w:rPr>
    </w:lvl>
    <w:lvl w:ilvl="7" w:tplc="100C0003" w:tentative="1">
      <w:start w:val="1"/>
      <w:numFmt w:val="bullet"/>
      <w:lvlText w:val="o"/>
      <w:lvlJc w:val="left"/>
      <w:pPr>
        <w:ind w:left="7101" w:hanging="360"/>
      </w:pPr>
      <w:rPr>
        <w:rFonts w:ascii="Courier New" w:hAnsi="Courier New" w:cs="Courier New" w:hint="default"/>
      </w:rPr>
    </w:lvl>
    <w:lvl w:ilvl="8" w:tplc="100C0005" w:tentative="1">
      <w:start w:val="1"/>
      <w:numFmt w:val="bullet"/>
      <w:lvlText w:val=""/>
      <w:lvlJc w:val="left"/>
      <w:pPr>
        <w:ind w:left="7821" w:hanging="360"/>
      </w:pPr>
      <w:rPr>
        <w:rFonts w:ascii="Wingdings" w:hAnsi="Wingdings" w:hint="default"/>
      </w:rPr>
    </w:lvl>
  </w:abstractNum>
  <w:abstractNum w:abstractNumId="18">
    <w:nsid w:val="75E223DA"/>
    <w:multiLevelType w:val="hybridMultilevel"/>
    <w:tmpl w:val="5B7ACB42"/>
    <w:lvl w:ilvl="0" w:tplc="4A0C2BD6">
      <w:start w:val="1"/>
      <w:numFmt w:val="bullet"/>
      <w:pStyle w:val="Bullet2G"/>
      <w:lvlText w:val="•"/>
      <w:lvlJc w:val="left"/>
      <w:pPr>
        <w:tabs>
          <w:tab w:val="num" w:pos="2268"/>
        </w:tabs>
        <w:ind w:left="2268" w:hanging="170"/>
      </w:pPr>
      <w:rPr>
        <w:rFonts w:ascii="Times New Roman" w:hAnsi="Times New Roman" w:cs="Times New Roman"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0"/>
  </w:num>
  <w:num w:numId="14">
    <w:abstractNumId w:val="14"/>
  </w:num>
  <w:num w:numId="15">
    <w:abstractNumId w:val="18"/>
  </w:num>
  <w:num w:numId="16">
    <w:abstractNumId w:val="16"/>
  </w:num>
  <w:num w:numId="17">
    <w:abstractNumId w:val="12"/>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1F8"/>
    <w:rsid w:val="00004AEB"/>
    <w:rsid w:val="00046B1F"/>
    <w:rsid w:val="00050F6B"/>
    <w:rsid w:val="00057E97"/>
    <w:rsid w:val="000646F4"/>
    <w:rsid w:val="00072C8C"/>
    <w:rsid w:val="000733B5"/>
    <w:rsid w:val="00081815"/>
    <w:rsid w:val="000931C0"/>
    <w:rsid w:val="000B0595"/>
    <w:rsid w:val="000B175B"/>
    <w:rsid w:val="000B3A0F"/>
    <w:rsid w:val="000B4EF7"/>
    <w:rsid w:val="000C2C03"/>
    <w:rsid w:val="000C2D2E"/>
    <w:rsid w:val="000E0415"/>
    <w:rsid w:val="001103AA"/>
    <w:rsid w:val="00112B33"/>
    <w:rsid w:val="0011666B"/>
    <w:rsid w:val="00165F3A"/>
    <w:rsid w:val="00196859"/>
    <w:rsid w:val="001B499A"/>
    <w:rsid w:val="001B4B04"/>
    <w:rsid w:val="001C6663"/>
    <w:rsid w:val="001C7895"/>
    <w:rsid w:val="001D0C8C"/>
    <w:rsid w:val="001D1419"/>
    <w:rsid w:val="001D26DF"/>
    <w:rsid w:val="001D3A03"/>
    <w:rsid w:val="001E7B67"/>
    <w:rsid w:val="00202DA8"/>
    <w:rsid w:val="00211E0B"/>
    <w:rsid w:val="00237E67"/>
    <w:rsid w:val="0024772E"/>
    <w:rsid w:val="00267F5F"/>
    <w:rsid w:val="00286B4D"/>
    <w:rsid w:val="002D4643"/>
    <w:rsid w:val="002F175C"/>
    <w:rsid w:val="00302E18"/>
    <w:rsid w:val="003229D8"/>
    <w:rsid w:val="00352709"/>
    <w:rsid w:val="003619B5"/>
    <w:rsid w:val="00365763"/>
    <w:rsid w:val="00371178"/>
    <w:rsid w:val="00392E47"/>
    <w:rsid w:val="003A6810"/>
    <w:rsid w:val="003C2CC4"/>
    <w:rsid w:val="003D1847"/>
    <w:rsid w:val="003D4B23"/>
    <w:rsid w:val="003D777F"/>
    <w:rsid w:val="003E130E"/>
    <w:rsid w:val="00410C89"/>
    <w:rsid w:val="00416999"/>
    <w:rsid w:val="00422E03"/>
    <w:rsid w:val="00426B9B"/>
    <w:rsid w:val="004325CB"/>
    <w:rsid w:val="00442A83"/>
    <w:rsid w:val="0045495B"/>
    <w:rsid w:val="004561E5"/>
    <w:rsid w:val="0048397A"/>
    <w:rsid w:val="00485CBB"/>
    <w:rsid w:val="004866B7"/>
    <w:rsid w:val="004C2461"/>
    <w:rsid w:val="004C7462"/>
    <w:rsid w:val="004E77B2"/>
    <w:rsid w:val="00502EC2"/>
    <w:rsid w:val="00504B2D"/>
    <w:rsid w:val="0052136D"/>
    <w:rsid w:val="0052775E"/>
    <w:rsid w:val="00534511"/>
    <w:rsid w:val="00537E72"/>
    <w:rsid w:val="005420F2"/>
    <w:rsid w:val="005628B6"/>
    <w:rsid w:val="00584198"/>
    <w:rsid w:val="005941EC"/>
    <w:rsid w:val="0059724D"/>
    <w:rsid w:val="005B3DB3"/>
    <w:rsid w:val="005B4E13"/>
    <w:rsid w:val="005C342F"/>
    <w:rsid w:val="005F7B75"/>
    <w:rsid w:val="006001EE"/>
    <w:rsid w:val="00605042"/>
    <w:rsid w:val="00611FC4"/>
    <w:rsid w:val="006176FB"/>
    <w:rsid w:val="00640B26"/>
    <w:rsid w:val="00652D0A"/>
    <w:rsid w:val="00662BB6"/>
    <w:rsid w:val="00676606"/>
    <w:rsid w:val="006819D6"/>
    <w:rsid w:val="00684C21"/>
    <w:rsid w:val="00690457"/>
    <w:rsid w:val="006A2530"/>
    <w:rsid w:val="006C3589"/>
    <w:rsid w:val="006D37AF"/>
    <w:rsid w:val="006D51D0"/>
    <w:rsid w:val="006D5FB9"/>
    <w:rsid w:val="006E564B"/>
    <w:rsid w:val="006E7191"/>
    <w:rsid w:val="00703577"/>
    <w:rsid w:val="00705894"/>
    <w:rsid w:val="0072632A"/>
    <w:rsid w:val="007327D5"/>
    <w:rsid w:val="007629C8"/>
    <w:rsid w:val="0077047D"/>
    <w:rsid w:val="007776ED"/>
    <w:rsid w:val="007B6BA5"/>
    <w:rsid w:val="007C3390"/>
    <w:rsid w:val="007C4F4B"/>
    <w:rsid w:val="007E01E9"/>
    <w:rsid w:val="007E63F3"/>
    <w:rsid w:val="007F6611"/>
    <w:rsid w:val="00811920"/>
    <w:rsid w:val="00815AD0"/>
    <w:rsid w:val="008242D7"/>
    <w:rsid w:val="008257B1"/>
    <w:rsid w:val="00832334"/>
    <w:rsid w:val="00843767"/>
    <w:rsid w:val="008679D9"/>
    <w:rsid w:val="008878DE"/>
    <w:rsid w:val="008979B1"/>
    <w:rsid w:val="008A6B25"/>
    <w:rsid w:val="008A6C4F"/>
    <w:rsid w:val="008B2335"/>
    <w:rsid w:val="008C09D6"/>
    <w:rsid w:val="008C6510"/>
    <w:rsid w:val="008E0678"/>
    <w:rsid w:val="008F0A45"/>
    <w:rsid w:val="008F31D2"/>
    <w:rsid w:val="00900291"/>
    <w:rsid w:val="00917FDE"/>
    <w:rsid w:val="009223CA"/>
    <w:rsid w:val="00940F93"/>
    <w:rsid w:val="009760F3"/>
    <w:rsid w:val="00976CFB"/>
    <w:rsid w:val="009A0830"/>
    <w:rsid w:val="009A0E8D"/>
    <w:rsid w:val="009B26E7"/>
    <w:rsid w:val="009D5E8F"/>
    <w:rsid w:val="00A00697"/>
    <w:rsid w:val="00A00A3F"/>
    <w:rsid w:val="00A01489"/>
    <w:rsid w:val="00A3026E"/>
    <w:rsid w:val="00A338F1"/>
    <w:rsid w:val="00A35BE0"/>
    <w:rsid w:val="00A6129C"/>
    <w:rsid w:val="00A72F22"/>
    <w:rsid w:val="00A7360F"/>
    <w:rsid w:val="00A748A6"/>
    <w:rsid w:val="00A769F4"/>
    <w:rsid w:val="00A776B4"/>
    <w:rsid w:val="00A867C2"/>
    <w:rsid w:val="00A94361"/>
    <w:rsid w:val="00AA293C"/>
    <w:rsid w:val="00AC4909"/>
    <w:rsid w:val="00B30179"/>
    <w:rsid w:val="00B421C1"/>
    <w:rsid w:val="00B55C71"/>
    <w:rsid w:val="00B56E4A"/>
    <w:rsid w:val="00B56E9C"/>
    <w:rsid w:val="00B6313D"/>
    <w:rsid w:val="00B64B1F"/>
    <w:rsid w:val="00B6553F"/>
    <w:rsid w:val="00B77D05"/>
    <w:rsid w:val="00B81206"/>
    <w:rsid w:val="00B81E12"/>
    <w:rsid w:val="00B83971"/>
    <w:rsid w:val="00BC3FA0"/>
    <w:rsid w:val="00BC74E9"/>
    <w:rsid w:val="00BF68A8"/>
    <w:rsid w:val="00C035DC"/>
    <w:rsid w:val="00C0505D"/>
    <w:rsid w:val="00C11A03"/>
    <w:rsid w:val="00C22C0C"/>
    <w:rsid w:val="00C4527F"/>
    <w:rsid w:val="00C463DD"/>
    <w:rsid w:val="00C4724C"/>
    <w:rsid w:val="00C54590"/>
    <w:rsid w:val="00C629A0"/>
    <w:rsid w:val="00C64629"/>
    <w:rsid w:val="00C745C3"/>
    <w:rsid w:val="00C96DF2"/>
    <w:rsid w:val="00CB3E03"/>
    <w:rsid w:val="00CC71F8"/>
    <w:rsid w:val="00CD4AA6"/>
    <w:rsid w:val="00CE4A8F"/>
    <w:rsid w:val="00D2031B"/>
    <w:rsid w:val="00D248B6"/>
    <w:rsid w:val="00D25FE2"/>
    <w:rsid w:val="00D43252"/>
    <w:rsid w:val="00D47EEA"/>
    <w:rsid w:val="00D773DF"/>
    <w:rsid w:val="00D81F83"/>
    <w:rsid w:val="00D95303"/>
    <w:rsid w:val="00D978C6"/>
    <w:rsid w:val="00DA3C1C"/>
    <w:rsid w:val="00DF4590"/>
    <w:rsid w:val="00E046DF"/>
    <w:rsid w:val="00E27346"/>
    <w:rsid w:val="00E45A8E"/>
    <w:rsid w:val="00E71BC8"/>
    <w:rsid w:val="00E7260F"/>
    <w:rsid w:val="00E73F5D"/>
    <w:rsid w:val="00E77E4E"/>
    <w:rsid w:val="00E83C4C"/>
    <w:rsid w:val="00E96630"/>
    <w:rsid w:val="00ED7A2A"/>
    <w:rsid w:val="00EE345D"/>
    <w:rsid w:val="00EF1D7F"/>
    <w:rsid w:val="00EF3E9C"/>
    <w:rsid w:val="00F31E5F"/>
    <w:rsid w:val="00F6100A"/>
    <w:rsid w:val="00F93781"/>
    <w:rsid w:val="00FA74C4"/>
    <w:rsid w:val="00FA7D6D"/>
    <w:rsid w:val="00FB613B"/>
    <w:rsid w:val="00FC68B7"/>
    <w:rsid w:val="00FD3F98"/>
    <w:rsid w:val="00FD67D2"/>
    <w:rsid w:val="00FE106A"/>
    <w:rsid w:val="00FF145D"/>
    <w:rsid w:val="00FF500E"/>
    <w:rsid w:val="00FF7D02"/>
    <w:rsid w:val="00FF7D4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D81F83"/>
    <w:rPr>
      <w:rFonts w:cs="Courier New"/>
    </w:rPr>
  </w:style>
  <w:style w:type="paragraph" w:styleId="BodyText">
    <w:name w:val="Body Text"/>
    <w:basedOn w:val="Normal"/>
    <w:next w:val="Normal"/>
    <w:semiHidden/>
    <w:rsid w:val="00D81F83"/>
  </w:style>
  <w:style w:type="paragraph" w:styleId="BodyTextIndent">
    <w:name w:val="Body Text Indent"/>
    <w:basedOn w:val="Normal"/>
    <w:semiHidden/>
    <w:rsid w:val="00D81F83"/>
    <w:pPr>
      <w:spacing w:after="120"/>
      <w:ind w:left="283"/>
    </w:pPr>
  </w:style>
  <w:style w:type="paragraph" w:styleId="BlockText">
    <w:name w:val="Block Text"/>
    <w:basedOn w:val="Normal"/>
    <w:semiHidden/>
    <w:rsid w:val="00D81F83"/>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D81F83"/>
    <w:rPr>
      <w:sz w:val="6"/>
    </w:rPr>
  </w:style>
  <w:style w:type="paragraph" w:styleId="CommentText">
    <w:name w:val="annotation text"/>
    <w:basedOn w:val="Normal"/>
    <w:semiHidden/>
    <w:rsid w:val="00D81F83"/>
  </w:style>
  <w:style w:type="character" w:styleId="LineNumber">
    <w:name w:val="line number"/>
    <w:semiHidden/>
    <w:rsid w:val="00D81F83"/>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FootnoteTextChar">
    <w:name w:val="Footnote Text Char"/>
    <w:aliases w:val="5_G Char"/>
    <w:link w:val="FootnoteText"/>
    <w:locked/>
    <w:rsid w:val="00B83971"/>
    <w:rPr>
      <w:sz w:val="18"/>
      <w:lang w:val="en-GB" w:eastAsia="en-US"/>
    </w:rPr>
  </w:style>
  <w:style w:type="paragraph" w:styleId="BalloonText">
    <w:name w:val="Balloon Text"/>
    <w:basedOn w:val="Normal"/>
    <w:link w:val="BalloonTextChar"/>
    <w:rsid w:val="007776E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776ED"/>
    <w:rPr>
      <w:rFonts w:ascii="Tahoma" w:hAnsi="Tahoma" w:cs="Tahoma"/>
      <w:sz w:val="16"/>
      <w:szCs w:val="16"/>
      <w:lang w:val="en-GB" w:eastAsia="en-US"/>
    </w:rPr>
  </w:style>
  <w:style w:type="character" w:customStyle="1" w:styleId="SingleTxtGChar">
    <w:name w:val="_ Single Txt_G Char"/>
    <w:link w:val="SingleTxtG"/>
    <w:rsid w:val="00FA74C4"/>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D81F83"/>
    <w:rPr>
      <w:rFonts w:cs="Courier New"/>
    </w:rPr>
  </w:style>
  <w:style w:type="paragraph" w:styleId="BodyText">
    <w:name w:val="Body Text"/>
    <w:basedOn w:val="Normal"/>
    <w:next w:val="Normal"/>
    <w:semiHidden/>
    <w:rsid w:val="00D81F83"/>
  </w:style>
  <w:style w:type="paragraph" w:styleId="BodyTextIndent">
    <w:name w:val="Body Text Indent"/>
    <w:basedOn w:val="Normal"/>
    <w:semiHidden/>
    <w:rsid w:val="00D81F83"/>
    <w:pPr>
      <w:spacing w:after="120"/>
      <w:ind w:left="283"/>
    </w:pPr>
  </w:style>
  <w:style w:type="paragraph" w:styleId="BlockText">
    <w:name w:val="Block Text"/>
    <w:basedOn w:val="Normal"/>
    <w:semiHidden/>
    <w:rsid w:val="00D81F83"/>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D81F83"/>
    <w:rPr>
      <w:sz w:val="6"/>
    </w:rPr>
  </w:style>
  <w:style w:type="paragraph" w:styleId="CommentText">
    <w:name w:val="annotation text"/>
    <w:basedOn w:val="Normal"/>
    <w:semiHidden/>
    <w:rsid w:val="00D81F83"/>
  </w:style>
  <w:style w:type="character" w:styleId="LineNumber">
    <w:name w:val="line number"/>
    <w:semiHidden/>
    <w:rsid w:val="00D81F83"/>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FootnoteTextChar">
    <w:name w:val="Footnote Text Char"/>
    <w:aliases w:val="5_G Char"/>
    <w:link w:val="FootnoteText"/>
    <w:locked/>
    <w:rsid w:val="00B83971"/>
    <w:rPr>
      <w:sz w:val="18"/>
      <w:lang w:val="en-GB" w:eastAsia="en-US"/>
    </w:rPr>
  </w:style>
  <w:style w:type="paragraph" w:styleId="BalloonText">
    <w:name w:val="Balloon Text"/>
    <w:basedOn w:val="Normal"/>
    <w:link w:val="BalloonTextChar"/>
    <w:rsid w:val="007776E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776ED"/>
    <w:rPr>
      <w:rFonts w:ascii="Tahoma" w:hAnsi="Tahoma" w:cs="Tahoma"/>
      <w:sz w:val="16"/>
      <w:szCs w:val="16"/>
      <w:lang w:val="en-GB" w:eastAsia="en-US"/>
    </w:rPr>
  </w:style>
  <w:style w:type="character" w:customStyle="1" w:styleId="SingleTxtGChar">
    <w:name w:val="_ Single Txt_G Char"/>
    <w:link w:val="SingleTxtG"/>
    <w:rsid w:val="00FA74C4"/>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14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E9B1A-A503-46AB-94ED-B9B64AAC7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TRANS_WP15_AC1_E.dotm</Template>
  <TotalTime>60</TotalTime>
  <Pages>3</Pages>
  <Words>802</Words>
  <Characters>4044</Characters>
  <Application>Microsoft Office Word</Application>
  <DocSecurity>0</DocSecurity>
  <Lines>90</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Sabrina Mansion</dc:creator>
  <cp:lastModifiedBy>Laurence Berthet</cp:lastModifiedBy>
  <cp:revision>7</cp:revision>
  <cp:lastPrinted>2015-08-21T07:51:00Z</cp:lastPrinted>
  <dcterms:created xsi:type="dcterms:W3CDTF">2015-08-20T06:41:00Z</dcterms:created>
  <dcterms:modified xsi:type="dcterms:W3CDTF">2015-08-21T07:54:00Z</dcterms:modified>
</cp:coreProperties>
</file>