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99" w:rsidRDefault="000B6399" w:rsidP="000B6399">
      <w:pPr>
        <w:spacing w:line="240" w:lineRule="auto"/>
        <w:rPr>
          <w:sz w:val="2"/>
        </w:rPr>
        <w:sectPr w:rsidR="000B6399" w:rsidSect="000B639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ED3F13" w:rsidRPr="00ED3F13" w:rsidRDefault="00ED3F13" w:rsidP="00237EF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CH"/>
        </w:rPr>
        <w:lastRenderedPageBreak/>
        <w:t>Comité d’experts du transport des marchandises dangereuses</w:t>
      </w:r>
      <w:r w:rsidR="00237EFD">
        <w:rPr>
          <w:lang w:val="fr-CH"/>
        </w:rPr>
        <w:t xml:space="preserve"> </w:t>
      </w:r>
      <w:r w:rsidR="00237EFD">
        <w:rPr>
          <w:lang w:val="fr-CH"/>
        </w:rPr>
        <w:br/>
      </w:r>
      <w:r>
        <w:rPr>
          <w:lang w:val="fr-CH"/>
        </w:rPr>
        <w:t>et du Système général harmonisé de classification</w:t>
      </w:r>
      <w:r w:rsidR="00237EFD">
        <w:rPr>
          <w:lang w:val="fr-CH"/>
        </w:rPr>
        <w:t xml:space="preserve"> </w:t>
      </w:r>
      <w:r w:rsidR="00237EFD">
        <w:rPr>
          <w:lang w:val="fr-CH"/>
        </w:rPr>
        <w:br/>
      </w:r>
      <w:r>
        <w:rPr>
          <w:lang w:val="fr-CH"/>
        </w:rPr>
        <w:t xml:space="preserve">et d’étiquetage des produits chimiques </w:t>
      </w:r>
    </w:p>
    <w:p w:rsidR="00ED3F13" w:rsidRPr="00ED3F13" w:rsidRDefault="00ED3F13" w:rsidP="00ED3F13">
      <w:pPr>
        <w:spacing w:line="120" w:lineRule="exact"/>
        <w:rPr>
          <w:rFonts w:eastAsia="Times New Roman"/>
          <w:b/>
          <w:sz w:val="10"/>
          <w:szCs w:val="24"/>
          <w:lang w:val="fr-CH"/>
        </w:rPr>
      </w:pPr>
    </w:p>
    <w:tbl>
      <w:tblPr>
        <w:tblW w:w="10134" w:type="dxa"/>
        <w:tblInd w:w="18" w:type="dxa"/>
        <w:tblLayout w:type="fixed"/>
        <w:tblLook w:val="0000" w:firstRow="0" w:lastRow="0" w:firstColumn="0" w:lastColumn="0" w:noHBand="0" w:noVBand="0"/>
      </w:tblPr>
      <w:tblGrid>
        <w:gridCol w:w="4770"/>
        <w:gridCol w:w="270"/>
        <w:gridCol w:w="5094"/>
      </w:tblGrid>
      <w:tr w:rsidR="000B6399" w:rsidTr="00FD30EE">
        <w:tc>
          <w:tcPr>
            <w:tcW w:w="4770" w:type="dxa"/>
            <w:shd w:val="clear" w:color="auto" w:fill="auto"/>
          </w:tcPr>
          <w:p w:rsidR="000B6399" w:rsidRDefault="00ED3F13" w:rsidP="00ED3F13">
            <w:pPr>
              <w:pStyle w:val="H23"/>
            </w:pPr>
            <w:r w:rsidRPr="00ED3F13">
              <w:rPr>
                <w:lang w:val="fr-CH"/>
              </w:rPr>
              <w:t xml:space="preserve">Sous-Comité d’experts du transport </w:t>
            </w:r>
            <w:r>
              <w:rPr>
                <w:lang w:val="fr-CH"/>
              </w:rPr>
              <w:br/>
            </w:r>
            <w:r w:rsidRPr="00ED3F13">
              <w:rPr>
                <w:lang w:val="fr-CH"/>
              </w:rPr>
              <w:t>des marchandises dangereuses</w:t>
            </w:r>
          </w:p>
        </w:tc>
        <w:tc>
          <w:tcPr>
            <w:tcW w:w="270" w:type="dxa"/>
            <w:shd w:val="clear" w:color="auto" w:fill="auto"/>
          </w:tcPr>
          <w:p w:rsidR="000B6399" w:rsidRDefault="000B6399" w:rsidP="000B6399">
            <w:pPr>
              <w:pStyle w:val="H23"/>
            </w:pPr>
          </w:p>
        </w:tc>
        <w:tc>
          <w:tcPr>
            <w:tcW w:w="5094" w:type="dxa"/>
            <w:shd w:val="clear" w:color="auto" w:fill="auto"/>
          </w:tcPr>
          <w:p w:rsidR="00424476" w:rsidRPr="00424476" w:rsidRDefault="00ED3F13" w:rsidP="00F33E69">
            <w:pPr>
              <w:spacing w:after="60"/>
              <w:rPr>
                <w:b/>
                <w:spacing w:val="0"/>
                <w:lang w:val="fr-CH"/>
              </w:rPr>
            </w:pPr>
            <w:r w:rsidRPr="00237EFD">
              <w:rPr>
                <w:b/>
                <w:spacing w:val="0"/>
                <w:lang w:val="fr-CH"/>
              </w:rPr>
              <w:t xml:space="preserve">Sous-Comité d’experts du Système général </w:t>
            </w:r>
            <w:r w:rsidR="00237EFD">
              <w:rPr>
                <w:b/>
                <w:spacing w:val="0"/>
                <w:lang w:val="fr-CH"/>
              </w:rPr>
              <w:br/>
            </w:r>
            <w:r w:rsidRPr="00237EFD">
              <w:rPr>
                <w:b/>
                <w:spacing w:val="0"/>
                <w:lang w:val="fr-CH"/>
              </w:rPr>
              <w:t xml:space="preserve">harmonisé de classification et d’étiquetage </w:t>
            </w:r>
            <w:r w:rsidR="00237EFD">
              <w:rPr>
                <w:b/>
                <w:spacing w:val="0"/>
                <w:lang w:val="fr-CH"/>
              </w:rPr>
              <w:br/>
            </w:r>
            <w:r w:rsidRPr="00237EFD">
              <w:rPr>
                <w:b/>
                <w:spacing w:val="0"/>
                <w:lang w:val="fr-CH"/>
              </w:rPr>
              <w:t xml:space="preserve">des produits chimiques </w:t>
            </w:r>
          </w:p>
        </w:tc>
      </w:tr>
      <w:tr w:rsidR="000B6399" w:rsidTr="00FD30EE">
        <w:tc>
          <w:tcPr>
            <w:tcW w:w="4770" w:type="dxa"/>
            <w:shd w:val="clear" w:color="auto" w:fill="auto"/>
          </w:tcPr>
          <w:p w:rsidR="000B6399" w:rsidRDefault="00ED3F13" w:rsidP="00ED3F13">
            <w:pPr>
              <w:pStyle w:val="H23"/>
              <w:outlineLvl w:val="9"/>
            </w:pPr>
            <w:proofErr w:type="spellStart"/>
            <w:r w:rsidRPr="00ED3F13">
              <w:rPr>
                <w:lang w:val="en-GB"/>
              </w:rPr>
              <w:t>Quarante-huitième</w:t>
            </w:r>
            <w:proofErr w:type="spellEnd"/>
            <w:r w:rsidRPr="00ED3F13">
              <w:rPr>
                <w:lang w:val="en-GB"/>
              </w:rPr>
              <w:t xml:space="preserve"> session</w:t>
            </w:r>
          </w:p>
        </w:tc>
        <w:tc>
          <w:tcPr>
            <w:tcW w:w="270" w:type="dxa"/>
            <w:shd w:val="clear" w:color="auto" w:fill="auto"/>
          </w:tcPr>
          <w:p w:rsidR="000B6399" w:rsidRPr="00FD30EE" w:rsidRDefault="000B6399" w:rsidP="000B6399">
            <w:pPr>
              <w:pStyle w:val="H23"/>
              <w:rPr>
                <w:lang w:val="fr-CH"/>
              </w:rPr>
            </w:pPr>
          </w:p>
        </w:tc>
        <w:tc>
          <w:tcPr>
            <w:tcW w:w="5094" w:type="dxa"/>
            <w:shd w:val="clear" w:color="auto" w:fill="auto"/>
          </w:tcPr>
          <w:p w:rsidR="000B6399" w:rsidRDefault="00ED3F13" w:rsidP="000B6399">
            <w:pPr>
              <w:pStyle w:val="H23"/>
            </w:pPr>
            <w:r w:rsidRPr="00FD30EE">
              <w:rPr>
                <w:lang w:val="fr-CH"/>
              </w:rPr>
              <w:t>Trentième</w:t>
            </w:r>
            <w:r w:rsidRPr="00ED3F13">
              <w:rPr>
                <w:lang w:val="en-GB"/>
              </w:rPr>
              <w:t xml:space="preserve"> session</w:t>
            </w:r>
          </w:p>
        </w:tc>
      </w:tr>
      <w:tr w:rsidR="00ED3F13" w:rsidTr="00FD30EE">
        <w:tc>
          <w:tcPr>
            <w:tcW w:w="4770" w:type="dxa"/>
            <w:shd w:val="clear" w:color="auto" w:fill="auto"/>
          </w:tcPr>
          <w:p w:rsidR="00ED3F13" w:rsidRPr="00424476" w:rsidRDefault="00424476" w:rsidP="00424476">
            <w:pPr>
              <w:rPr>
                <w:rFonts w:eastAsia="Times New Roman"/>
                <w:sz w:val="19"/>
                <w:szCs w:val="19"/>
                <w:lang w:val="fr-CH" w:eastAsia="en-GB"/>
              </w:rPr>
            </w:pPr>
            <w:r>
              <w:rPr>
                <w:rFonts w:eastAsia="Times New Roman"/>
                <w:sz w:val="19"/>
                <w:szCs w:val="19"/>
                <w:lang w:val="fr-CH" w:eastAsia="en-GB"/>
              </w:rPr>
              <w:t>Genève, 30 novembre-9 décembre 2015</w:t>
            </w:r>
          </w:p>
        </w:tc>
        <w:tc>
          <w:tcPr>
            <w:tcW w:w="270" w:type="dxa"/>
            <w:shd w:val="clear" w:color="auto" w:fill="auto"/>
          </w:tcPr>
          <w:p w:rsidR="00ED3F13" w:rsidRDefault="00ED3F13" w:rsidP="000B6399">
            <w:pPr>
              <w:pStyle w:val="H23"/>
            </w:pPr>
          </w:p>
        </w:tc>
        <w:tc>
          <w:tcPr>
            <w:tcW w:w="5094" w:type="dxa"/>
            <w:shd w:val="clear" w:color="auto" w:fill="auto"/>
          </w:tcPr>
          <w:p w:rsidR="00ED3F13" w:rsidRPr="00ED3F13" w:rsidRDefault="00ED3F13" w:rsidP="00ED3F13">
            <w:pPr>
              <w:rPr>
                <w:rFonts w:eastAsia="Times New Roman"/>
                <w:lang w:val="fr-CH" w:eastAsia="en-GB"/>
              </w:rPr>
            </w:pPr>
            <w:r>
              <w:rPr>
                <w:rFonts w:eastAsia="Times New Roman"/>
                <w:lang w:val="fr-CH" w:eastAsia="en-GB"/>
              </w:rPr>
              <w:t>Genève, 9-11 décembre 2015</w:t>
            </w:r>
          </w:p>
        </w:tc>
      </w:tr>
      <w:tr w:rsidR="00ED3F13" w:rsidTr="00FD30EE">
        <w:tc>
          <w:tcPr>
            <w:tcW w:w="4770" w:type="dxa"/>
            <w:shd w:val="clear" w:color="auto" w:fill="auto"/>
          </w:tcPr>
          <w:p w:rsidR="00ED3F13" w:rsidRDefault="00ED3F13" w:rsidP="00ED3F13">
            <w:pPr>
              <w:pStyle w:val="H23"/>
              <w:outlineLvl w:val="9"/>
              <w:rPr>
                <w:rFonts w:eastAsia="Times New Roman"/>
                <w:b w:val="0"/>
                <w:lang w:val="en-GB" w:eastAsia="en-GB"/>
              </w:rPr>
            </w:pPr>
            <w:r w:rsidRPr="00ED3F13">
              <w:rPr>
                <w:rFonts w:eastAsia="Times New Roman"/>
                <w:b w:val="0"/>
                <w:lang w:val="fr-CH" w:eastAsia="en-GB"/>
              </w:rPr>
              <w:t>Point 10 g) de l’ordre du jour provisoire</w:t>
            </w:r>
          </w:p>
        </w:tc>
        <w:tc>
          <w:tcPr>
            <w:tcW w:w="270" w:type="dxa"/>
            <w:shd w:val="clear" w:color="auto" w:fill="auto"/>
          </w:tcPr>
          <w:p w:rsidR="00ED3F13" w:rsidRDefault="00ED3F13" w:rsidP="000B6399">
            <w:pPr>
              <w:pStyle w:val="H23"/>
            </w:pPr>
          </w:p>
        </w:tc>
        <w:tc>
          <w:tcPr>
            <w:tcW w:w="5094" w:type="dxa"/>
            <w:shd w:val="clear" w:color="auto" w:fill="auto"/>
          </w:tcPr>
          <w:p w:rsidR="00ED3F13" w:rsidRDefault="00237EFD" w:rsidP="00237EFD">
            <w:pPr>
              <w:rPr>
                <w:rFonts w:eastAsia="Times New Roman"/>
                <w:lang w:val="fr-CH" w:eastAsia="en-GB"/>
              </w:rPr>
            </w:pPr>
            <w:r>
              <w:rPr>
                <w:rFonts w:eastAsia="Times New Roman"/>
                <w:lang w:val="fr-CH" w:eastAsia="en-GB"/>
              </w:rPr>
              <w:t>Point </w:t>
            </w:r>
            <w:r w:rsidR="00ED3F13">
              <w:rPr>
                <w:rFonts w:eastAsia="Times New Roman"/>
                <w:lang w:val="fr-CH" w:eastAsia="en-GB"/>
              </w:rPr>
              <w:t>2</w:t>
            </w:r>
            <w:r>
              <w:rPr>
                <w:rFonts w:eastAsia="Times New Roman"/>
                <w:lang w:val="fr-CH" w:eastAsia="en-GB"/>
              </w:rPr>
              <w:t> </w:t>
            </w:r>
            <w:r w:rsidR="00ED3F13">
              <w:rPr>
                <w:rFonts w:eastAsia="Times New Roman"/>
                <w:lang w:val="fr-CH" w:eastAsia="en-GB"/>
              </w:rPr>
              <w:t>a) de l’ordre du jour provisoire</w:t>
            </w:r>
          </w:p>
        </w:tc>
      </w:tr>
      <w:tr w:rsidR="00ED3F13" w:rsidTr="00FD30EE">
        <w:tc>
          <w:tcPr>
            <w:tcW w:w="4770" w:type="dxa"/>
            <w:shd w:val="clear" w:color="auto" w:fill="auto"/>
          </w:tcPr>
          <w:p w:rsidR="00ED3F13" w:rsidRPr="00ED3F13" w:rsidRDefault="00ED3F13" w:rsidP="00ED3F13">
            <w:pPr>
              <w:pStyle w:val="H23"/>
              <w:outlineLvl w:val="9"/>
              <w:rPr>
                <w:rFonts w:eastAsia="Times New Roman"/>
                <w:b w:val="0"/>
                <w:lang w:val="fr-CH" w:eastAsia="en-GB"/>
              </w:rPr>
            </w:pPr>
            <w:r w:rsidRPr="00ED3F13">
              <w:t xml:space="preserve">Questions relatives au Système général harmonisé </w:t>
            </w:r>
            <w:r>
              <w:br/>
            </w:r>
            <w:r w:rsidRPr="00ED3F13">
              <w:t>de classification et d’étiquetage des produits chimiques</w:t>
            </w:r>
            <w:r>
              <w:t> </w:t>
            </w:r>
            <w:r w:rsidRPr="00ED3F13">
              <w:t xml:space="preserve">: Utilisation du Manuel d’épreuves </w:t>
            </w:r>
            <w:r>
              <w:br/>
            </w:r>
            <w:r w:rsidRPr="00ED3F13">
              <w:t>et de critères dans le contexte du SGH</w:t>
            </w:r>
          </w:p>
        </w:tc>
        <w:tc>
          <w:tcPr>
            <w:tcW w:w="270" w:type="dxa"/>
            <w:shd w:val="clear" w:color="auto" w:fill="auto"/>
          </w:tcPr>
          <w:p w:rsidR="00ED3F13" w:rsidRDefault="00ED3F13" w:rsidP="000B6399">
            <w:pPr>
              <w:pStyle w:val="H23"/>
            </w:pPr>
          </w:p>
        </w:tc>
        <w:tc>
          <w:tcPr>
            <w:tcW w:w="5094" w:type="dxa"/>
            <w:shd w:val="clear" w:color="auto" w:fill="auto"/>
          </w:tcPr>
          <w:p w:rsidR="00ED3F13" w:rsidRDefault="00ED3F13" w:rsidP="00237E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outlineLvl w:val="9"/>
              <w:rPr>
                <w:lang w:val="fr-CH" w:eastAsia="en-GB"/>
              </w:rPr>
            </w:pPr>
            <w:r>
              <w:rPr>
                <w:lang w:val="fr-CH" w:eastAsia="en-GB"/>
              </w:rPr>
              <w:t xml:space="preserve">Travaux à mener conjointement avec </w:t>
            </w:r>
            <w:r w:rsidR="00237EFD">
              <w:rPr>
                <w:lang w:val="fr-CH" w:eastAsia="en-GB"/>
              </w:rPr>
              <w:br/>
            </w:r>
            <w:r>
              <w:rPr>
                <w:lang w:val="fr-CH" w:eastAsia="en-GB"/>
              </w:rPr>
              <w:t xml:space="preserve">le Sous-Comité d’experts du transport </w:t>
            </w:r>
            <w:r w:rsidR="00237EFD">
              <w:rPr>
                <w:lang w:val="fr-CH" w:eastAsia="en-GB"/>
              </w:rPr>
              <w:br/>
            </w:r>
            <w:r>
              <w:rPr>
                <w:lang w:val="fr-CH" w:eastAsia="en-GB"/>
              </w:rPr>
              <w:t>des marchandises dangereuses</w:t>
            </w:r>
          </w:p>
        </w:tc>
      </w:tr>
    </w:tbl>
    <w:p w:rsidR="000B6399" w:rsidRPr="00ED3F13" w:rsidRDefault="000B6399" w:rsidP="00ED3F13">
      <w:pPr>
        <w:pStyle w:val="SingleTxt"/>
        <w:spacing w:after="0" w:line="120" w:lineRule="exact"/>
        <w:rPr>
          <w:sz w:val="10"/>
        </w:rPr>
      </w:pPr>
    </w:p>
    <w:p w:rsidR="00ED3F13" w:rsidRPr="00ED3F13" w:rsidRDefault="00ED3F13" w:rsidP="00ED3F13">
      <w:pPr>
        <w:pStyle w:val="SingleTxt"/>
        <w:spacing w:after="0" w:line="120" w:lineRule="exact"/>
        <w:rPr>
          <w:sz w:val="10"/>
        </w:rPr>
      </w:pPr>
    </w:p>
    <w:p w:rsidR="00ED3F13" w:rsidRPr="00ED3F13" w:rsidRDefault="00ED3F13" w:rsidP="00ED3F13">
      <w:pPr>
        <w:pStyle w:val="SingleTxt"/>
        <w:spacing w:after="0" w:line="120" w:lineRule="exact"/>
        <w:rPr>
          <w:sz w:val="10"/>
        </w:rPr>
      </w:pPr>
    </w:p>
    <w:p w:rsidR="00ED3F13" w:rsidRDefault="00ED3F13" w:rsidP="00ED3F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ED3F13">
        <w:rPr>
          <w:lang w:val="fr-CH"/>
        </w:rPr>
        <w:t xml:space="preserve">Utilisation du Manuel d’épreuves et de critères </w:t>
      </w:r>
      <w:r>
        <w:rPr>
          <w:lang w:val="fr-CH"/>
        </w:rPr>
        <w:br/>
      </w:r>
      <w:r w:rsidRPr="00ED3F13">
        <w:rPr>
          <w:lang w:val="fr-CH"/>
        </w:rPr>
        <w:t>dans le contexte du SGH</w:t>
      </w:r>
    </w:p>
    <w:p w:rsidR="00ED3F13" w:rsidRPr="00ED3F13" w:rsidRDefault="00ED3F13" w:rsidP="00ED3F13">
      <w:pPr>
        <w:pStyle w:val="SingleTxt"/>
        <w:spacing w:after="0" w:line="120" w:lineRule="exact"/>
        <w:rPr>
          <w:sz w:val="10"/>
          <w:lang w:val="fr-CH"/>
        </w:rPr>
      </w:pPr>
    </w:p>
    <w:p w:rsidR="00ED3F13" w:rsidRPr="00ED3F13" w:rsidRDefault="00ED3F13" w:rsidP="00ED3F13">
      <w:pPr>
        <w:pStyle w:val="SingleTxt"/>
        <w:spacing w:after="0" w:line="120" w:lineRule="exact"/>
        <w:rPr>
          <w:sz w:val="10"/>
          <w:lang w:val="fr-CH"/>
        </w:rPr>
      </w:pPr>
    </w:p>
    <w:p w:rsidR="00ED3F13" w:rsidRDefault="00ED3F13" w:rsidP="00ED3F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ED3F13">
        <w:rPr>
          <w:lang w:val="fr-CH"/>
        </w:rPr>
        <w:tab/>
      </w:r>
      <w:r w:rsidRPr="00ED3F13">
        <w:rPr>
          <w:lang w:val="fr-CH"/>
        </w:rPr>
        <w:tab/>
        <w:t>Communication du Président du Groupe de travail des explosifs</w:t>
      </w:r>
      <w:r w:rsidRPr="00F6207E">
        <w:rPr>
          <w:rStyle w:val="FootnoteReference"/>
          <w:b w:val="0"/>
          <w:sz w:val="20"/>
          <w:szCs w:val="20"/>
          <w:lang w:val="fr-CH"/>
        </w:rPr>
        <w:footnoteReference w:id="1"/>
      </w:r>
    </w:p>
    <w:p w:rsidR="00ED3F13" w:rsidRPr="00ED3F13" w:rsidRDefault="00ED3F13" w:rsidP="00ED3F13">
      <w:pPr>
        <w:pStyle w:val="SingleTxt"/>
        <w:spacing w:after="0" w:line="120" w:lineRule="exact"/>
        <w:rPr>
          <w:sz w:val="10"/>
          <w:lang w:val="fr-CH"/>
        </w:rPr>
      </w:pPr>
    </w:p>
    <w:p w:rsidR="00ED3F13" w:rsidRPr="00ED3F13" w:rsidRDefault="00ED3F13" w:rsidP="00ED3F13">
      <w:pPr>
        <w:pStyle w:val="SingleTxt"/>
        <w:spacing w:after="0" w:line="120" w:lineRule="exact"/>
        <w:rPr>
          <w:sz w:val="10"/>
          <w:lang w:val="fr-CH"/>
        </w:rPr>
      </w:pPr>
    </w:p>
    <w:p w:rsidR="00ED3F13" w:rsidRDefault="00ED3F13" w:rsidP="00ED3F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3F13">
        <w:rPr>
          <w:lang w:val="fr-CH"/>
        </w:rPr>
        <w:tab/>
      </w:r>
      <w:r w:rsidRPr="00ED3F13">
        <w:rPr>
          <w:lang w:val="fr-CH"/>
        </w:rPr>
        <w:tab/>
        <w:t>Introduction</w:t>
      </w:r>
    </w:p>
    <w:p w:rsidR="00ED3F13" w:rsidRPr="00ED3F13" w:rsidRDefault="00ED3F13" w:rsidP="00ED3F13">
      <w:pPr>
        <w:pStyle w:val="SingleTxt"/>
        <w:spacing w:after="0" w:line="120" w:lineRule="exact"/>
        <w:rPr>
          <w:sz w:val="10"/>
          <w:lang w:val="fr-CH"/>
        </w:rPr>
      </w:pPr>
    </w:p>
    <w:p w:rsidR="00ED3F13" w:rsidRPr="00ED3F13" w:rsidRDefault="00ED3F13" w:rsidP="00ED3F13">
      <w:pPr>
        <w:pStyle w:val="SingleTxt"/>
        <w:spacing w:after="0" w:line="120" w:lineRule="exact"/>
        <w:rPr>
          <w:sz w:val="10"/>
          <w:lang w:val="fr-CH"/>
        </w:rPr>
      </w:pPr>
    </w:p>
    <w:p w:rsidR="00ED3F13" w:rsidRPr="00ED3F13" w:rsidRDefault="00ED3F13" w:rsidP="00ED3F13">
      <w:pPr>
        <w:pStyle w:val="SingleTxt"/>
        <w:numPr>
          <w:ilvl w:val="0"/>
          <w:numId w:val="7"/>
        </w:numPr>
        <w:tabs>
          <w:tab w:val="left" w:pos="1742"/>
        </w:tabs>
        <w:rPr>
          <w:lang w:val="fr-CH"/>
        </w:rPr>
      </w:pPr>
      <w:r w:rsidRPr="00ED3F13">
        <w:rPr>
          <w:lang w:val="fr-CH"/>
        </w:rPr>
        <w:t>Lors de la quarante-cinquième session, le document du secrétariat</w:t>
      </w:r>
      <w:r w:rsidR="00705810">
        <w:rPr>
          <w:lang w:val="fr-CH"/>
        </w:rPr>
        <w:t xml:space="preserve"> </w:t>
      </w:r>
      <w:r w:rsidRPr="00ED3F13">
        <w:rPr>
          <w:lang w:val="fr-CH"/>
        </w:rPr>
        <w:t xml:space="preserve">ST/SG/AC.10/C.3/2014/61 et le </w:t>
      </w:r>
      <w:r w:rsidR="00F6207E">
        <w:rPr>
          <w:lang w:val="fr-CH"/>
        </w:rPr>
        <w:t>document informel INF.8 et Add.</w:t>
      </w:r>
      <w:r w:rsidRPr="00ED3F13">
        <w:rPr>
          <w:lang w:val="fr-CH"/>
        </w:rPr>
        <w:t>1</w:t>
      </w:r>
      <w:r w:rsidR="00F6207E">
        <w:rPr>
          <w:lang w:val="fr-CH"/>
        </w:rPr>
        <w:t>-</w:t>
      </w:r>
      <w:r w:rsidRPr="00ED3F13">
        <w:rPr>
          <w:lang w:val="fr-CH"/>
        </w:rPr>
        <w:t xml:space="preserve">5 ont été examinés en même temps que le document INF.35 de l’IME. Il a alors été convenu qu’il </w:t>
      </w:r>
      <w:r w:rsidR="00F6207E">
        <w:rPr>
          <w:lang w:val="fr-CH"/>
        </w:rPr>
        <w:t>« </w:t>
      </w:r>
      <w:r w:rsidRPr="00ED3F13">
        <w:rPr>
          <w:lang w:val="fr-CH"/>
        </w:rPr>
        <w:t>…</w:t>
      </w:r>
      <w:r w:rsidR="003F3214">
        <w:rPr>
          <w:lang w:val="fr-CH"/>
        </w:rPr>
        <w:t> </w:t>
      </w:r>
      <w:r w:rsidRPr="00ED3F13">
        <w:rPr>
          <w:lang w:val="fr-CH"/>
        </w:rPr>
        <w:t>conviendrait de publier une sixième édition révisée du Manuel en 2015</w:t>
      </w:r>
      <w:r w:rsidR="00F6207E">
        <w:rPr>
          <w:lang w:val="fr-CH"/>
        </w:rPr>
        <w:t> »</w:t>
      </w:r>
      <w:r w:rsidRPr="00ED3F13">
        <w:rPr>
          <w:lang w:val="fr-CH"/>
        </w:rPr>
        <w:t xml:space="preserve"> et …</w:t>
      </w:r>
      <w:r w:rsidR="00F6207E">
        <w:rPr>
          <w:lang w:val="fr-CH"/>
        </w:rPr>
        <w:t xml:space="preserve"> </w:t>
      </w:r>
      <w:r w:rsidRPr="00ED3F13">
        <w:rPr>
          <w:lang w:val="fr-CH"/>
        </w:rPr>
        <w:t xml:space="preserve">qu’une </w:t>
      </w:r>
      <w:r w:rsidR="00F6207E">
        <w:rPr>
          <w:lang w:val="fr-CH"/>
        </w:rPr>
        <w:t>« </w:t>
      </w:r>
      <w:r w:rsidRPr="00ED3F13">
        <w:rPr>
          <w:lang w:val="fr-CH"/>
        </w:rPr>
        <w:t>septième édition révisée pourrait être publiée en 2017 pour refléter les modifications éditoriales jugées nécessaires pour faciliter l’utilisation du Manuel dans le contexte du SGH</w:t>
      </w:r>
      <w:r w:rsidR="00F6207E">
        <w:rPr>
          <w:lang w:val="fr-CH"/>
        </w:rPr>
        <w:t> »</w:t>
      </w:r>
      <w:r w:rsidRPr="00ED3F13">
        <w:rPr>
          <w:lang w:val="fr-CH"/>
        </w:rPr>
        <w:t xml:space="preserve"> (voir le do</w:t>
      </w:r>
      <w:r w:rsidR="00F6207E">
        <w:rPr>
          <w:lang w:val="fr-CH"/>
        </w:rPr>
        <w:t>cument ST/SG/AC.10/C.3/90, par. </w:t>
      </w:r>
      <w:r w:rsidRPr="00ED3F13">
        <w:rPr>
          <w:lang w:val="fr-CH"/>
        </w:rPr>
        <w:t>37).</w:t>
      </w:r>
    </w:p>
    <w:p w:rsidR="00ED3F13" w:rsidRPr="00ED3F13" w:rsidRDefault="00F6207E" w:rsidP="00ED3F13">
      <w:pPr>
        <w:pStyle w:val="SingleTxt"/>
        <w:numPr>
          <w:ilvl w:val="0"/>
          <w:numId w:val="7"/>
        </w:numPr>
        <w:tabs>
          <w:tab w:val="left" w:pos="1742"/>
        </w:tabs>
        <w:rPr>
          <w:lang w:val="fr-CH"/>
        </w:rPr>
      </w:pPr>
      <w:r>
        <w:rPr>
          <w:lang w:val="fr-CH"/>
        </w:rPr>
        <w:t>À</w:t>
      </w:r>
      <w:r w:rsidR="00ED3F13" w:rsidRPr="00ED3F13">
        <w:rPr>
          <w:lang w:val="fr-CH"/>
        </w:rPr>
        <w:t xml:space="preserve"> la quarante-septième session, le Groupe de travail des explosifs a examiné le document informel INF.8 (et les additifs) pour faire le point sur la question matière/mélange ainsi que pour suggérer des simplifications et pour déterminer quand il serait nécessaire d’utiliser les deux termes. Il s’agissait également de déterminer quand la référence aux secteurs est appropriée et quand elle ne l’est pas. Le </w:t>
      </w:r>
      <w:r w:rsidR="00286527">
        <w:rPr>
          <w:lang w:val="fr-CH"/>
        </w:rPr>
        <w:t>P</w:t>
      </w:r>
      <w:r w:rsidR="00ED3F13" w:rsidRPr="00ED3F13">
        <w:rPr>
          <w:lang w:val="fr-CH"/>
        </w:rPr>
        <w:t>résident du Groupe de travail et le SAAMI devaient revoir la Partie</w:t>
      </w:r>
      <w:r>
        <w:rPr>
          <w:lang w:val="fr-CH"/>
        </w:rPr>
        <w:t> </w:t>
      </w:r>
      <w:r w:rsidR="00ED3F13" w:rsidRPr="00ED3F13">
        <w:rPr>
          <w:lang w:val="fr-CH"/>
        </w:rPr>
        <w:t xml:space="preserve">I et l’Introduction, tandis que l’Allemagne, le CEFIC et le </w:t>
      </w:r>
      <w:r w:rsidR="00286527">
        <w:rPr>
          <w:lang w:val="fr-CH"/>
        </w:rPr>
        <w:t>P</w:t>
      </w:r>
      <w:r w:rsidR="00ED3F13" w:rsidRPr="00ED3F13">
        <w:rPr>
          <w:lang w:val="fr-CH"/>
        </w:rPr>
        <w:t>résident</w:t>
      </w:r>
      <w:r>
        <w:rPr>
          <w:lang w:val="fr-CH"/>
        </w:rPr>
        <w:t xml:space="preserve"> reverraient la Partie </w:t>
      </w:r>
      <w:r w:rsidR="00ED3F13" w:rsidRPr="00ED3F13">
        <w:rPr>
          <w:lang w:val="fr-CH"/>
        </w:rPr>
        <w:t>II. Ce travail devait être terminé dans un délai de deux mois (voir le document informel INF.53 (</w:t>
      </w:r>
      <w:r>
        <w:rPr>
          <w:lang w:val="fr-CH"/>
        </w:rPr>
        <w:t>quarante-septième </w:t>
      </w:r>
      <w:r w:rsidR="00ED3F13" w:rsidRPr="00ED3F13">
        <w:rPr>
          <w:lang w:val="fr-CH"/>
        </w:rPr>
        <w:t>session), par.</w:t>
      </w:r>
      <w:r>
        <w:rPr>
          <w:lang w:val="fr-CH"/>
        </w:rPr>
        <w:t> </w:t>
      </w:r>
      <w:r w:rsidR="00ED3F13" w:rsidRPr="00ED3F13">
        <w:rPr>
          <w:lang w:val="fr-CH"/>
        </w:rPr>
        <w:t>21).</w:t>
      </w:r>
    </w:p>
    <w:p w:rsidR="00ED3F13" w:rsidRPr="00ED3F13" w:rsidRDefault="00ED3F13" w:rsidP="00ED3F13">
      <w:pPr>
        <w:pStyle w:val="SingleTxt"/>
        <w:numPr>
          <w:ilvl w:val="0"/>
          <w:numId w:val="7"/>
        </w:numPr>
        <w:tabs>
          <w:tab w:val="left" w:pos="1742"/>
        </w:tabs>
        <w:rPr>
          <w:lang w:val="fr-CH"/>
        </w:rPr>
      </w:pPr>
      <w:r w:rsidRPr="00ED3F13">
        <w:rPr>
          <w:lang w:val="fr-CH"/>
        </w:rPr>
        <w:lastRenderedPageBreak/>
        <w:t xml:space="preserve">Le SAAMI et le </w:t>
      </w:r>
      <w:r w:rsidR="00286527">
        <w:rPr>
          <w:lang w:val="fr-CH"/>
        </w:rPr>
        <w:t>P</w:t>
      </w:r>
      <w:r w:rsidRPr="00ED3F13">
        <w:rPr>
          <w:lang w:val="fr-CH"/>
        </w:rPr>
        <w:t>résident du Groupe de travail ont procédé par courriels à la révision de la Partie</w:t>
      </w:r>
      <w:r w:rsidR="00705810">
        <w:rPr>
          <w:lang w:val="fr-CH"/>
        </w:rPr>
        <w:t> </w:t>
      </w:r>
      <w:r w:rsidRPr="00ED3F13">
        <w:rPr>
          <w:lang w:val="fr-CH"/>
        </w:rPr>
        <w:t xml:space="preserve">I et de l’Introduction. L’Allemagne, le CEFIC et le </w:t>
      </w:r>
      <w:r w:rsidR="00286527">
        <w:rPr>
          <w:lang w:val="fr-CH"/>
        </w:rPr>
        <w:t>P</w:t>
      </w:r>
      <w:r w:rsidRPr="00ED3F13">
        <w:rPr>
          <w:lang w:val="fr-CH"/>
        </w:rPr>
        <w:t>réside</w:t>
      </w:r>
      <w:r w:rsidR="00F6207E">
        <w:rPr>
          <w:lang w:val="fr-CH"/>
        </w:rPr>
        <w:t>nt se sont réunis à Berlin le 7 </w:t>
      </w:r>
      <w:r w:rsidRPr="00ED3F13">
        <w:rPr>
          <w:lang w:val="fr-CH"/>
        </w:rPr>
        <w:t>août 2015 pour revoir la Partie</w:t>
      </w:r>
      <w:r w:rsidR="00705810">
        <w:rPr>
          <w:lang w:val="fr-CH"/>
        </w:rPr>
        <w:t> </w:t>
      </w:r>
      <w:r w:rsidRPr="00ED3F13">
        <w:rPr>
          <w:lang w:val="fr-CH"/>
        </w:rPr>
        <w:t>II et, sur un plan plus général, la Partie</w:t>
      </w:r>
      <w:r w:rsidR="00705810">
        <w:rPr>
          <w:lang w:val="fr-CH"/>
        </w:rPr>
        <w:t> </w:t>
      </w:r>
      <w:r w:rsidRPr="00ED3F13">
        <w:rPr>
          <w:lang w:val="fr-CH"/>
        </w:rPr>
        <w:t>III. Le résultat de ce travail apparaîtra dans la nouvelle version du document informel</w:t>
      </w:r>
      <w:r w:rsidR="00705810">
        <w:rPr>
          <w:lang w:val="fr-CH"/>
        </w:rPr>
        <w:t xml:space="preserve"> </w:t>
      </w:r>
      <w:r w:rsidRPr="00ED3F13">
        <w:rPr>
          <w:lang w:val="fr-CH"/>
        </w:rPr>
        <w:t xml:space="preserve">INF.8 et additifs, sur la base de la sixième édition révisée du Manuel. </w:t>
      </w:r>
    </w:p>
    <w:p w:rsidR="00ED3F13" w:rsidRDefault="00ED3F13" w:rsidP="00ED3F13">
      <w:pPr>
        <w:pStyle w:val="SingleTxt"/>
        <w:numPr>
          <w:ilvl w:val="0"/>
          <w:numId w:val="7"/>
        </w:numPr>
        <w:tabs>
          <w:tab w:val="left" w:pos="1742"/>
        </w:tabs>
        <w:rPr>
          <w:lang w:val="fr-CH"/>
        </w:rPr>
      </w:pPr>
      <w:r w:rsidRPr="00ED3F13">
        <w:rPr>
          <w:lang w:val="fr-CH"/>
        </w:rPr>
        <w:t>Il a été convenu de soumettre un document dans lequel des principes généraux seraient proposés. Une fois ces principes examinés et adoptés, il serait beaucoup plus facile de réviser le Manuel. Ces principes sont énoncés aux paragraphes suivants.</w:t>
      </w:r>
    </w:p>
    <w:p w:rsidR="00ED3F13" w:rsidRPr="00F6207E" w:rsidRDefault="00ED3F13" w:rsidP="00F6207E">
      <w:pPr>
        <w:pStyle w:val="SingleTxt"/>
        <w:spacing w:after="0" w:line="120" w:lineRule="exact"/>
        <w:rPr>
          <w:sz w:val="10"/>
          <w:lang w:val="fr-CH"/>
        </w:rPr>
      </w:pPr>
    </w:p>
    <w:p w:rsidR="00F6207E" w:rsidRPr="00ED3F13" w:rsidRDefault="00F6207E" w:rsidP="00ED3F13">
      <w:pPr>
        <w:pStyle w:val="SingleTxt"/>
        <w:spacing w:after="0" w:line="120" w:lineRule="exact"/>
        <w:rPr>
          <w:sz w:val="10"/>
          <w:lang w:val="fr-CH"/>
        </w:rPr>
      </w:pPr>
    </w:p>
    <w:p w:rsidR="00ED3F13" w:rsidRDefault="00ED3F13" w:rsidP="00ED3F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D3F13">
        <w:rPr>
          <w:lang w:val="fr-CH"/>
        </w:rPr>
        <w:tab/>
      </w:r>
      <w:r w:rsidRPr="00ED3F13">
        <w:rPr>
          <w:lang w:val="fr-CH"/>
        </w:rPr>
        <w:tab/>
        <w:t>Principes généraux</w:t>
      </w:r>
    </w:p>
    <w:p w:rsidR="00ED3F13" w:rsidRPr="00F6207E" w:rsidRDefault="00ED3F13" w:rsidP="00F6207E">
      <w:pPr>
        <w:pStyle w:val="SingleTxt"/>
        <w:spacing w:after="0" w:line="120" w:lineRule="exact"/>
        <w:rPr>
          <w:sz w:val="10"/>
          <w:lang w:val="fr-CH"/>
        </w:rPr>
      </w:pPr>
    </w:p>
    <w:p w:rsidR="00F6207E" w:rsidRPr="00ED3F13" w:rsidRDefault="00F6207E" w:rsidP="00ED3F13">
      <w:pPr>
        <w:pStyle w:val="SingleTxt"/>
        <w:spacing w:after="0" w:line="120" w:lineRule="exact"/>
        <w:rPr>
          <w:sz w:val="10"/>
          <w:lang w:val="fr-CH"/>
        </w:rPr>
      </w:pPr>
    </w:p>
    <w:p w:rsidR="00ED3F13" w:rsidRPr="00705810" w:rsidRDefault="00ED3F13" w:rsidP="00ED3F13">
      <w:pPr>
        <w:pStyle w:val="SingleTxt"/>
        <w:numPr>
          <w:ilvl w:val="0"/>
          <w:numId w:val="7"/>
        </w:numPr>
        <w:tabs>
          <w:tab w:val="left" w:pos="1742"/>
        </w:tabs>
        <w:rPr>
          <w:lang w:val="fr-CH"/>
        </w:rPr>
      </w:pPr>
      <w:r w:rsidRPr="00ED3F13">
        <w:rPr>
          <w:lang w:val="fr-CH"/>
        </w:rPr>
        <w:t xml:space="preserve">S’agissant de l’ajout du mot </w:t>
      </w:r>
      <w:r w:rsidR="00F6207E">
        <w:rPr>
          <w:lang w:val="fr-CH"/>
        </w:rPr>
        <w:t>« </w:t>
      </w:r>
      <w:r w:rsidRPr="00ED3F13">
        <w:rPr>
          <w:lang w:val="fr-CH"/>
        </w:rPr>
        <w:t>mélange</w:t>
      </w:r>
      <w:r w:rsidR="00F6207E">
        <w:rPr>
          <w:lang w:val="fr-CH"/>
        </w:rPr>
        <w:t> »</w:t>
      </w:r>
      <w:r w:rsidRPr="00ED3F13">
        <w:rPr>
          <w:lang w:val="fr-CH"/>
        </w:rPr>
        <w:t xml:space="preserve">, les réviseurs proposent la solution suivante. Remplacer le mot </w:t>
      </w:r>
      <w:r w:rsidR="00F6207E">
        <w:rPr>
          <w:lang w:val="fr-CH"/>
        </w:rPr>
        <w:t>« </w:t>
      </w:r>
      <w:r w:rsidRPr="00ED3F13">
        <w:rPr>
          <w:lang w:val="fr-CH"/>
        </w:rPr>
        <w:t>matière</w:t>
      </w:r>
      <w:r w:rsidR="00F6207E">
        <w:rPr>
          <w:lang w:val="fr-CH"/>
        </w:rPr>
        <w:t> »</w:t>
      </w:r>
      <w:r w:rsidRPr="00ED3F13">
        <w:rPr>
          <w:lang w:val="fr-CH"/>
        </w:rPr>
        <w:t xml:space="preserve"> par </w:t>
      </w:r>
      <w:r w:rsidR="00F6207E">
        <w:rPr>
          <w:lang w:val="fr-CH"/>
        </w:rPr>
        <w:t>« </w:t>
      </w:r>
      <w:r w:rsidRPr="00ED3F13">
        <w:rPr>
          <w:lang w:val="fr-CH"/>
        </w:rPr>
        <w:t>matière et mélange</w:t>
      </w:r>
      <w:r w:rsidR="00F6207E">
        <w:rPr>
          <w:lang w:val="fr-CH"/>
        </w:rPr>
        <w:t> »</w:t>
      </w:r>
      <w:r w:rsidRPr="00ED3F13">
        <w:rPr>
          <w:lang w:val="fr-CH"/>
        </w:rPr>
        <w:t xml:space="preserve"> nécessiterait plus d’un millier de remplacements, ce qui n’améliorerait certainement pas la lisibilité du Manuel. Aux fins du Manuel, matières et mélanges seraient traités exactement de la même manière. Les mêmes essais, descriptions et critères s’appliquent. Il n’y a donc aucune raison de mentionner explicitement les mélanges. De plus, un certain nombre de définitions précisent déjà qu’elles portent aussi sur les mélanges, par exemple celles des matières explosives et</w:t>
      </w:r>
      <w:r w:rsidR="00F6207E">
        <w:rPr>
          <w:lang w:val="fr-CH"/>
        </w:rPr>
        <w:t xml:space="preserve"> liquides inflammables (2.1.1.3 </w:t>
      </w:r>
      <w:r w:rsidRPr="00ED3F13">
        <w:rPr>
          <w:lang w:val="fr-CH"/>
        </w:rPr>
        <w:t>a) et 2.3.1.2 du Règlement type). Il est proposé d’insérer au paragraphe</w:t>
      </w:r>
      <w:r w:rsidR="00F6207E">
        <w:rPr>
          <w:lang w:val="fr-CH"/>
        </w:rPr>
        <w:t> </w:t>
      </w:r>
      <w:r w:rsidRPr="00ED3F13">
        <w:rPr>
          <w:lang w:val="fr-CH"/>
        </w:rPr>
        <w:t xml:space="preserve">1.1.1 du Manuel (où le terme </w:t>
      </w:r>
      <w:r w:rsidR="00705810">
        <w:rPr>
          <w:lang w:val="fr-CH"/>
        </w:rPr>
        <w:t>« </w:t>
      </w:r>
      <w:r w:rsidRPr="00ED3F13">
        <w:rPr>
          <w:lang w:val="fr-CH"/>
        </w:rPr>
        <w:t>matière</w:t>
      </w:r>
      <w:r w:rsidR="00705810">
        <w:rPr>
          <w:lang w:val="fr-CH"/>
        </w:rPr>
        <w:t> »</w:t>
      </w:r>
      <w:r w:rsidRPr="00ED3F13">
        <w:rPr>
          <w:lang w:val="fr-CH"/>
        </w:rPr>
        <w:t xml:space="preserve"> apparaît pour la première fois) la précision suivante</w:t>
      </w:r>
      <w:r w:rsidR="00705810">
        <w:rPr>
          <w:lang w:val="fr-CH"/>
        </w:rPr>
        <w:t> </w:t>
      </w:r>
      <w:r w:rsidRPr="00ED3F13">
        <w:rPr>
          <w:lang w:val="fr-CH"/>
        </w:rPr>
        <w:t xml:space="preserve">: </w:t>
      </w:r>
      <w:r w:rsidR="00705810" w:rsidRPr="00705810">
        <w:t>« </w:t>
      </w:r>
      <w:r w:rsidRPr="00ED3F13">
        <w:rPr>
          <w:i/>
          <w:lang w:val="fr-CH"/>
        </w:rPr>
        <w:t>Le terme matière utilisé dans le présent Manuel désigne aussi bien les matières que les méla</w:t>
      </w:r>
      <w:r w:rsidR="00705810">
        <w:rPr>
          <w:i/>
          <w:lang w:val="fr-CH"/>
        </w:rPr>
        <w:t>nges, sauf indication contraire </w:t>
      </w:r>
      <w:r w:rsidR="00705810" w:rsidRPr="00705810">
        <w:t>»</w:t>
      </w:r>
      <w:r w:rsidRPr="00705810">
        <w:rPr>
          <w:lang w:val="fr-CH"/>
        </w:rPr>
        <w:t>.</w:t>
      </w:r>
    </w:p>
    <w:p w:rsidR="003F3214" w:rsidRDefault="00ED3F13" w:rsidP="00ED3F13">
      <w:pPr>
        <w:pStyle w:val="SingleTxt"/>
        <w:rPr>
          <w:lang w:val="fr-CH"/>
        </w:rPr>
      </w:pPr>
      <w:r w:rsidRPr="00ED3F13">
        <w:rPr>
          <w:lang w:val="fr-CH"/>
        </w:rPr>
        <w:t xml:space="preserve">Parallèlement à cette solution, on peut utiliser le terme </w:t>
      </w:r>
      <w:r w:rsidR="00705810">
        <w:rPr>
          <w:lang w:val="fr-CH"/>
        </w:rPr>
        <w:t>« </w:t>
      </w:r>
      <w:r w:rsidRPr="00ED3F13">
        <w:rPr>
          <w:lang w:val="fr-CH"/>
        </w:rPr>
        <w:t>explosifs</w:t>
      </w:r>
      <w:r w:rsidR="00705810">
        <w:rPr>
          <w:lang w:val="fr-CH"/>
        </w:rPr>
        <w:t> »</w:t>
      </w:r>
      <w:r w:rsidRPr="00ED3F13">
        <w:rPr>
          <w:lang w:val="fr-CH"/>
        </w:rPr>
        <w:t xml:space="preserve"> en lieu et place de </w:t>
      </w:r>
      <w:r w:rsidR="00705810">
        <w:rPr>
          <w:lang w:val="fr-CH"/>
        </w:rPr>
        <w:t>« </w:t>
      </w:r>
      <w:r w:rsidRPr="00ED3F13">
        <w:rPr>
          <w:lang w:val="fr-CH"/>
        </w:rPr>
        <w:t>matières [, mélanges] et objets explosifs</w:t>
      </w:r>
      <w:r w:rsidR="00705810">
        <w:rPr>
          <w:lang w:val="fr-CH"/>
        </w:rPr>
        <w:t> »</w:t>
      </w:r>
      <w:r w:rsidRPr="00ED3F13">
        <w:rPr>
          <w:lang w:val="fr-CH"/>
        </w:rPr>
        <w:t>. Il s’agit d’un terme généralement connu et il es</w:t>
      </w:r>
      <w:r w:rsidR="00705810">
        <w:rPr>
          <w:lang w:val="fr-CH"/>
        </w:rPr>
        <w:t>t également utilisé au chapitre </w:t>
      </w:r>
      <w:r w:rsidRPr="00ED3F13">
        <w:rPr>
          <w:lang w:val="fr-CH"/>
        </w:rPr>
        <w:t xml:space="preserve">2.1 du SGH. </w:t>
      </w:r>
    </w:p>
    <w:p w:rsidR="00ED3F13" w:rsidRPr="00ED3F13" w:rsidRDefault="00ED3F13" w:rsidP="00ED3F13">
      <w:pPr>
        <w:pStyle w:val="SingleTxt"/>
        <w:rPr>
          <w:lang w:val="fr-CH"/>
        </w:rPr>
      </w:pPr>
      <w:r w:rsidRPr="00ED3F13">
        <w:rPr>
          <w:lang w:val="fr-CH"/>
        </w:rPr>
        <w:t xml:space="preserve">On pourrait utiliser de même les termes </w:t>
      </w:r>
      <w:r w:rsidR="00705810">
        <w:rPr>
          <w:lang w:val="fr-CH"/>
        </w:rPr>
        <w:t>« </w:t>
      </w:r>
      <w:proofErr w:type="spellStart"/>
      <w:r w:rsidRPr="00ED3F13">
        <w:rPr>
          <w:lang w:val="fr-CH"/>
        </w:rPr>
        <w:t>autoréactifs</w:t>
      </w:r>
      <w:proofErr w:type="spellEnd"/>
      <w:r w:rsidR="00705810">
        <w:rPr>
          <w:lang w:val="fr-CH"/>
        </w:rPr>
        <w:t> »</w:t>
      </w:r>
      <w:r w:rsidRPr="00ED3F13">
        <w:rPr>
          <w:lang w:val="fr-CH"/>
        </w:rPr>
        <w:t xml:space="preserve"> dans la Partie</w:t>
      </w:r>
      <w:r w:rsidR="00705810">
        <w:rPr>
          <w:lang w:val="fr-CH"/>
        </w:rPr>
        <w:t> </w:t>
      </w:r>
      <w:r w:rsidRPr="00ED3F13">
        <w:rPr>
          <w:lang w:val="fr-CH"/>
        </w:rPr>
        <w:t xml:space="preserve">II et </w:t>
      </w:r>
      <w:r w:rsidR="00705810">
        <w:rPr>
          <w:lang w:val="fr-CH"/>
        </w:rPr>
        <w:t>« </w:t>
      </w:r>
      <w:r w:rsidRPr="00ED3F13">
        <w:rPr>
          <w:lang w:val="fr-CH"/>
        </w:rPr>
        <w:t>comburants</w:t>
      </w:r>
      <w:r w:rsidR="00705810">
        <w:rPr>
          <w:lang w:val="fr-CH"/>
        </w:rPr>
        <w:t> »</w:t>
      </w:r>
      <w:r w:rsidRPr="00ED3F13">
        <w:rPr>
          <w:lang w:val="fr-CH"/>
        </w:rPr>
        <w:t xml:space="preserve"> dans la Partie</w:t>
      </w:r>
      <w:r w:rsidR="00705810">
        <w:rPr>
          <w:lang w:val="fr-CH"/>
        </w:rPr>
        <w:t> </w:t>
      </w:r>
      <w:r w:rsidRPr="00ED3F13">
        <w:rPr>
          <w:lang w:val="fr-CH"/>
        </w:rPr>
        <w:t>III. Si ces descriptions sont acceptées, elles entraîneront des modifications dans les titres des chapitres</w:t>
      </w:r>
      <w:r w:rsidR="00705810">
        <w:rPr>
          <w:lang w:val="fr-CH"/>
        </w:rPr>
        <w:t> </w:t>
      </w:r>
      <w:r w:rsidRPr="00ED3F13">
        <w:rPr>
          <w:lang w:val="fr-CH"/>
        </w:rPr>
        <w:t xml:space="preserve">2.8 (Matières </w:t>
      </w:r>
      <w:proofErr w:type="spellStart"/>
      <w:r w:rsidRPr="00ED3F13">
        <w:rPr>
          <w:lang w:val="fr-CH"/>
        </w:rPr>
        <w:t>autoréactives</w:t>
      </w:r>
      <w:proofErr w:type="spellEnd"/>
      <w:r w:rsidRPr="00ED3F13">
        <w:rPr>
          <w:lang w:val="fr-CH"/>
        </w:rPr>
        <w:t>)</w:t>
      </w:r>
      <w:r w:rsidR="00705810">
        <w:rPr>
          <w:lang w:val="fr-CH"/>
        </w:rPr>
        <w:t>, 2.13</w:t>
      </w:r>
      <w:r w:rsidR="00A803EC">
        <w:rPr>
          <w:lang w:val="fr-CH"/>
        </w:rPr>
        <w:t> </w:t>
      </w:r>
      <w:r w:rsidR="00705810">
        <w:rPr>
          <w:lang w:val="fr-CH"/>
        </w:rPr>
        <w:t>(Liquides comburants) et </w:t>
      </w:r>
      <w:r w:rsidRPr="00ED3F13">
        <w:rPr>
          <w:lang w:val="fr-CH"/>
        </w:rPr>
        <w:t>2.14 (Matières solides comburantes) du SGH.</w:t>
      </w:r>
    </w:p>
    <w:p w:rsidR="00ED3F13" w:rsidRPr="00ED3F13" w:rsidRDefault="00ED3F13" w:rsidP="00705810">
      <w:pPr>
        <w:pStyle w:val="SingleTxt"/>
        <w:keepNext/>
        <w:keepLines/>
        <w:numPr>
          <w:ilvl w:val="0"/>
          <w:numId w:val="7"/>
        </w:numPr>
        <w:tabs>
          <w:tab w:val="left" w:pos="1742"/>
        </w:tabs>
        <w:rPr>
          <w:lang w:val="fr-CH"/>
        </w:rPr>
      </w:pPr>
      <w:r w:rsidRPr="00ED3F13">
        <w:rPr>
          <w:lang w:val="fr-CH"/>
        </w:rPr>
        <w:t>Il est évident que le Manuel a été rédigé dans le contexte du transport, ce qui apparaît sous diverses formes en différents endroits. Par exemple</w:t>
      </w:r>
      <w:r w:rsidR="00705810">
        <w:rPr>
          <w:lang w:val="fr-CH"/>
        </w:rPr>
        <w:t xml:space="preserve"> : </w:t>
      </w:r>
    </w:p>
    <w:p w:rsidR="00ED3F13" w:rsidRPr="00ED3F13" w:rsidRDefault="00705810" w:rsidP="00ED3F13">
      <w:pPr>
        <w:pStyle w:val="SingleTxt"/>
        <w:numPr>
          <w:ilvl w:val="0"/>
          <w:numId w:val="6"/>
        </w:numPr>
        <w:rPr>
          <w:i/>
          <w:lang w:val="fr-CH"/>
        </w:rPr>
      </w:pPr>
      <w:r>
        <w:rPr>
          <w:i/>
          <w:lang w:val="fr-CH"/>
        </w:rPr>
        <w:t>« S’</w:t>
      </w:r>
      <w:r w:rsidR="00ED3F13" w:rsidRPr="00ED3F13">
        <w:rPr>
          <w:i/>
          <w:lang w:val="fr-CH"/>
        </w:rPr>
        <w:t>il s</w:t>
      </w:r>
      <w:r>
        <w:rPr>
          <w:i/>
          <w:lang w:val="fr-CH"/>
        </w:rPr>
        <w:t>’agit d’</w:t>
      </w:r>
      <w:r w:rsidR="00ED3F13" w:rsidRPr="00ED3F13">
        <w:rPr>
          <w:i/>
          <w:lang w:val="fr-CH"/>
        </w:rPr>
        <w:t>un mélange dont les composants peuvent se séparer au cours du tran</w:t>
      </w:r>
      <w:r>
        <w:rPr>
          <w:i/>
          <w:lang w:val="fr-CH"/>
        </w:rPr>
        <w:t>sport, on doit lors de l’</w:t>
      </w:r>
      <w:r w:rsidR="00ED3F13" w:rsidRPr="00ED3F13">
        <w:rPr>
          <w:i/>
          <w:lang w:val="fr-CH"/>
        </w:rPr>
        <w:t>épreuve…</w:t>
      </w:r>
      <w:r>
        <w:rPr>
          <w:i/>
          <w:lang w:val="fr-CH"/>
        </w:rPr>
        <w:t> »</w:t>
      </w:r>
      <w:r w:rsidR="00ED3F13" w:rsidRPr="00ED3F13">
        <w:rPr>
          <w:i/>
          <w:lang w:val="fr-CH"/>
        </w:rPr>
        <w:t xml:space="preserve">; </w:t>
      </w:r>
    </w:p>
    <w:p w:rsidR="00ED3F13" w:rsidRPr="00ED3F13" w:rsidRDefault="00705810" w:rsidP="00ED3F13">
      <w:pPr>
        <w:pStyle w:val="SingleTxt"/>
        <w:numPr>
          <w:ilvl w:val="0"/>
          <w:numId w:val="6"/>
        </w:numPr>
        <w:rPr>
          <w:i/>
          <w:lang w:val="fr-CH"/>
        </w:rPr>
      </w:pPr>
      <w:r>
        <w:rPr>
          <w:i/>
          <w:lang w:val="fr-CH"/>
        </w:rPr>
        <w:t>« La densité de l’</w:t>
      </w:r>
      <w:r w:rsidR="00ED3F13" w:rsidRPr="00ED3F13">
        <w:rPr>
          <w:i/>
          <w:lang w:val="fr-CH"/>
        </w:rPr>
        <w:t xml:space="preserve">échantillon devrait être aussi proche que possible </w:t>
      </w:r>
      <w:r>
        <w:rPr>
          <w:i/>
          <w:lang w:val="fr-CH"/>
        </w:rPr>
        <w:t>de celle la matière transportée; »</w:t>
      </w:r>
      <w:r w:rsidR="00ED3F13" w:rsidRPr="00ED3F13">
        <w:rPr>
          <w:i/>
          <w:lang w:val="fr-CH"/>
        </w:rPr>
        <w:t xml:space="preserve"> et </w:t>
      </w:r>
    </w:p>
    <w:p w:rsidR="00ED3F13" w:rsidRPr="00ED3F13" w:rsidRDefault="00705810" w:rsidP="00ED3F13">
      <w:pPr>
        <w:pStyle w:val="SingleTxt"/>
        <w:numPr>
          <w:ilvl w:val="0"/>
          <w:numId w:val="6"/>
        </w:numPr>
        <w:rPr>
          <w:i/>
          <w:lang w:val="fr-CH"/>
        </w:rPr>
      </w:pPr>
      <w:r>
        <w:rPr>
          <w:i/>
          <w:lang w:val="fr-CH"/>
        </w:rPr>
        <w:t>« … avant qu’</w:t>
      </w:r>
      <w:r w:rsidR="00ED3F13" w:rsidRPr="00ED3F13">
        <w:rPr>
          <w:i/>
          <w:lang w:val="fr-CH"/>
        </w:rPr>
        <w:t>un article nou</w:t>
      </w:r>
      <w:r>
        <w:rPr>
          <w:i/>
          <w:lang w:val="fr-CH"/>
        </w:rPr>
        <w:t>veau soit présenté au transport »</w:t>
      </w:r>
      <w:r w:rsidR="00ED3F13" w:rsidRPr="00ED3F13">
        <w:rPr>
          <w:i/>
          <w:lang w:val="fr-CH"/>
        </w:rPr>
        <w:t>.</w:t>
      </w:r>
    </w:p>
    <w:p w:rsidR="00ED3F13" w:rsidRPr="00ED3F13" w:rsidRDefault="00ED3F13" w:rsidP="00ED3F13">
      <w:pPr>
        <w:pStyle w:val="SingleTxt"/>
        <w:rPr>
          <w:lang w:val="fr-CH"/>
        </w:rPr>
      </w:pPr>
      <w:r w:rsidRPr="00ED3F13">
        <w:rPr>
          <w:lang w:val="fr-CH"/>
        </w:rPr>
        <w:t xml:space="preserve">Lorsque le Manuel a été rédigé il n’était </w:t>
      </w:r>
      <w:r w:rsidR="00FD30EE" w:rsidRPr="00ED3F13">
        <w:rPr>
          <w:lang w:val="fr-CH"/>
        </w:rPr>
        <w:t>destin</w:t>
      </w:r>
      <w:r w:rsidR="00FD30EE">
        <w:rPr>
          <w:lang w:val="fr-CH"/>
        </w:rPr>
        <w:t>é</w:t>
      </w:r>
      <w:r w:rsidRPr="00ED3F13">
        <w:rPr>
          <w:lang w:val="fr-CH"/>
        </w:rPr>
        <w:t xml:space="preserve"> à être utilisé que dans le</w:t>
      </w:r>
      <w:r w:rsidR="00705810">
        <w:rPr>
          <w:lang w:val="fr-CH"/>
        </w:rPr>
        <w:t xml:space="preserve"> </w:t>
      </w:r>
      <w:r w:rsidRPr="00ED3F13">
        <w:rPr>
          <w:lang w:val="fr-CH"/>
        </w:rPr>
        <w:t>secteur du transport. Il est recommandé de ne pas faire allusion au secteur auquel le classement est destiné et donc d’employer la phrase</w:t>
      </w:r>
      <w:r w:rsidR="00705810">
        <w:rPr>
          <w:lang w:val="fr-CH"/>
        </w:rPr>
        <w:t xml:space="preserve"> « </w:t>
      </w:r>
      <w:r w:rsidRPr="00ED3F13">
        <w:rPr>
          <w:lang w:val="fr-CH"/>
        </w:rPr>
        <w:t>… dont elles ont besoin pour le classement</w:t>
      </w:r>
      <w:r w:rsidR="00705810">
        <w:rPr>
          <w:lang w:val="fr-CH"/>
        </w:rPr>
        <w:t> »</w:t>
      </w:r>
      <w:r w:rsidRPr="00ED3F13">
        <w:rPr>
          <w:lang w:val="fr-CH"/>
        </w:rPr>
        <w:t xml:space="preserve"> plutôt que </w:t>
      </w:r>
      <w:r w:rsidR="00705810">
        <w:rPr>
          <w:lang w:val="fr-CH"/>
        </w:rPr>
        <w:t>« </w:t>
      </w:r>
      <w:r w:rsidRPr="00ED3F13">
        <w:rPr>
          <w:lang w:val="fr-CH"/>
        </w:rPr>
        <w:t>… dont elles ont besoin pour le classement des matières et objets à transporter, stocker, livrer et utiliser</w:t>
      </w:r>
      <w:r w:rsidR="00705810">
        <w:rPr>
          <w:lang w:val="fr-CH"/>
        </w:rPr>
        <w:t> »</w:t>
      </w:r>
      <w:r w:rsidRPr="00ED3F13">
        <w:rPr>
          <w:lang w:val="fr-CH"/>
        </w:rPr>
        <w:t xml:space="preserve">. </w:t>
      </w:r>
    </w:p>
    <w:p w:rsidR="00ED3F13" w:rsidRPr="00ED3F13" w:rsidRDefault="00ED3F13" w:rsidP="00ED3F13">
      <w:pPr>
        <w:pStyle w:val="SingleTxt"/>
        <w:rPr>
          <w:lang w:val="fr-CH"/>
        </w:rPr>
      </w:pPr>
      <w:r w:rsidRPr="00ED3F13">
        <w:rPr>
          <w:lang w:val="fr-CH"/>
        </w:rPr>
        <w:t xml:space="preserve">La procédure de classement en elle-même est indépendante du secteur concerné. Rien n’indique actuellement que les critères doivent être différents pour différents secteurs. Cela ne fait pas partie du mandat actuel. </w:t>
      </w:r>
    </w:p>
    <w:p w:rsidR="00ED3F13" w:rsidRPr="00ED3F13" w:rsidRDefault="00705810" w:rsidP="00ED3F13">
      <w:pPr>
        <w:pStyle w:val="SingleTxt"/>
        <w:rPr>
          <w:lang w:val="fr-CH"/>
        </w:rPr>
      </w:pPr>
      <w:r>
        <w:rPr>
          <w:lang w:val="fr-CH"/>
        </w:rPr>
        <w:t>Concernant A </w:t>
      </w:r>
      <w:r w:rsidR="00ED3F13" w:rsidRPr="00ED3F13">
        <w:rPr>
          <w:lang w:val="fr-CH"/>
        </w:rPr>
        <w:t xml:space="preserve">: on peut résoudre facilement le problème en supprimant les mots </w:t>
      </w:r>
      <w:r>
        <w:rPr>
          <w:lang w:val="fr-CH"/>
        </w:rPr>
        <w:t>« </w:t>
      </w:r>
      <w:r w:rsidR="00ED3F13" w:rsidRPr="00ED3F13">
        <w:rPr>
          <w:lang w:val="fr-CH"/>
        </w:rPr>
        <w:t>au cours du transport</w:t>
      </w:r>
      <w:r>
        <w:rPr>
          <w:lang w:val="fr-CH"/>
        </w:rPr>
        <w:t> »</w:t>
      </w:r>
      <w:r w:rsidR="00ED3F13" w:rsidRPr="00ED3F13">
        <w:rPr>
          <w:lang w:val="fr-CH"/>
        </w:rPr>
        <w:t xml:space="preserve"> sans que le sens de la phrase s’en trouve modifié. </w:t>
      </w:r>
    </w:p>
    <w:p w:rsidR="00ED3F13" w:rsidRPr="00ED3F13" w:rsidRDefault="00705810" w:rsidP="00ED3F13">
      <w:pPr>
        <w:pStyle w:val="SingleTxt"/>
        <w:rPr>
          <w:lang w:val="fr-CH"/>
        </w:rPr>
      </w:pPr>
      <w:r>
        <w:rPr>
          <w:lang w:val="fr-CH"/>
        </w:rPr>
        <w:lastRenderedPageBreak/>
        <w:t>La phrase citée sous </w:t>
      </w:r>
      <w:r w:rsidR="00ED3F13" w:rsidRPr="00ED3F13">
        <w:rPr>
          <w:lang w:val="fr-CH"/>
        </w:rPr>
        <w:t>B peut être supprimée de la description de l’essai, comme cela avait été proposé dans le document informel INF.4 (</w:t>
      </w:r>
      <w:r>
        <w:rPr>
          <w:lang w:val="fr-CH"/>
        </w:rPr>
        <w:t xml:space="preserve">quarante-cinquième </w:t>
      </w:r>
      <w:r w:rsidR="00ED3F13" w:rsidRPr="00ED3F13">
        <w:rPr>
          <w:lang w:val="fr-CH"/>
        </w:rPr>
        <w:t>session) puis accepté et inclus dans la sixième édition révisée du Manuel.</w:t>
      </w:r>
    </w:p>
    <w:p w:rsidR="00ED3F13" w:rsidRPr="00ED3F13" w:rsidRDefault="00ED3F13" w:rsidP="00ED3F13">
      <w:pPr>
        <w:pStyle w:val="SingleTxt"/>
        <w:rPr>
          <w:lang w:val="fr-CH"/>
        </w:rPr>
      </w:pPr>
      <w:r w:rsidRPr="00ED3F13">
        <w:rPr>
          <w:lang w:val="fr-CH"/>
        </w:rPr>
        <w:t xml:space="preserve">La difficulté consiste à trouver une définition </w:t>
      </w:r>
      <w:r w:rsidR="00705810">
        <w:rPr>
          <w:lang w:val="fr-CH"/>
        </w:rPr>
        <w:t>correcte dans le cas de </w:t>
      </w:r>
      <w:r w:rsidRPr="00ED3F13">
        <w:rPr>
          <w:lang w:val="fr-CH"/>
        </w:rPr>
        <w:t xml:space="preserve">C. Il est proposé de lancer le débat en vue de trouver une formulation acceptable. Il convient toutefois de souligner que le fait de mentionner que l’essai doit être effectué dans tous les cas est susceptible d’entraîner une augmentation disproportionné du nombre des essais. </w:t>
      </w:r>
    </w:p>
    <w:p w:rsidR="00ED3F13" w:rsidRPr="00ED3F13" w:rsidRDefault="00ED3F13" w:rsidP="00ED3F13">
      <w:pPr>
        <w:pStyle w:val="SingleTxt"/>
        <w:numPr>
          <w:ilvl w:val="0"/>
          <w:numId w:val="7"/>
        </w:numPr>
        <w:tabs>
          <w:tab w:val="left" w:pos="1742"/>
        </w:tabs>
        <w:rPr>
          <w:lang w:val="fr-CH"/>
        </w:rPr>
      </w:pPr>
      <w:r w:rsidRPr="00ED3F13">
        <w:rPr>
          <w:lang w:val="fr-CH"/>
        </w:rPr>
        <w:t>Dans les</w:t>
      </w:r>
      <w:r w:rsidR="00705810">
        <w:rPr>
          <w:lang w:val="fr-CH"/>
        </w:rPr>
        <w:t xml:space="preserve"> projets de documents informels </w:t>
      </w:r>
      <w:r w:rsidRPr="00ED3F13">
        <w:rPr>
          <w:lang w:val="fr-CH"/>
        </w:rPr>
        <w:t>INF.8 (</w:t>
      </w:r>
      <w:r w:rsidR="00705810">
        <w:rPr>
          <w:lang w:val="fr-CH"/>
        </w:rPr>
        <w:t xml:space="preserve">quarante-cinquième </w:t>
      </w:r>
      <w:r w:rsidRPr="00ED3F13">
        <w:rPr>
          <w:lang w:val="fr-CH"/>
        </w:rPr>
        <w:t>session) et INF.5 (</w:t>
      </w:r>
      <w:r w:rsidR="00705810">
        <w:rPr>
          <w:lang w:val="fr-CH"/>
        </w:rPr>
        <w:t xml:space="preserve">vingt-septième </w:t>
      </w:r>
      <w:r w:rsidRPr="00ED3F13">
        <w:rPr>
          <w:lang w:val="fr-CH"/>
        </w:rPr>
        <w:t xml:space="preserve">session) conçus par le secrétariat, les termes </w:t>
      </w:r>
      <w:r w:rsidR="00705810">
        <w:rPr>
          <w:lang w:val="fr-CH"/>
        </w:rPr>
        <w:t>« </w:t>
      </w:r>
      <w:r w:rsidRPr="00ED3F13">
        <w:rPr>
          <w:i/>
          <w:lang w:val="fr-CH"/>
        </w:rPr>
        <w:t>M</w:t>
      </w:r>
      <w:r w:rsidR="00705810">
        <w:rPr>
          <w:i/>
          <w:lang w:val="fr-CH"/>
        </w:rPr>
        <w:t>atières explosives de la classe </w:t>
      </w:r>
      <w:r w:rsidRPr="00ED3F13">
        <w:rPr>
          <w:i/>
          <w:lang w:val="fr-CH"/>
        </w:rPr>
        <w:t>1</w:t>
      </w:r>
      <w:r w:rsidR="00705810">
        <w:rPr>
          <w:lang w:val="fr-CH"/>
        </w:rPr>
        <w:t> »</w:t>
      </w:r>
      <w:r w:rsidRPr="00ED3F13">
        <w:rPr>
          <w:lang w:val="fr-CH"/>
        </w:rPr>
        <w:t xml:space="preserve"> ou </w:t>
      </w:r>
      <w:r w:rsidR="00705810" w:rsidRPr="00705810">
        <w:t>«</w:t>
      </w:r>
      <w:r w:rsidR="00705810">
        <w:rPr>
          <w:lang w:val="fr-CH"/>
        </w:rPr>
        <w:t> </w:t>
      </w:r>
      <w:r w:rsidRPr="00ED3F13">
        <w:rPr>
          <w:i/>
          <w:lang w:val="fr-CH"/>
        </w:rPr>
        <w:t xml:space="preserve">Matières </w:t>
      </w:r>
      <w:proofErr w:type="spellStart"/>
      <w:r w:rsidRPr="00ED3F13">
        <w:rPr>
          <w:i/>
          <w:lang w:val="fr-CH"/>
        </w:rPr>
        <w:t>autoréactives</w:t>
      </w:r>
      <w:proofErr w:type="spellEnd"/>
      <w:r w:rsidRPr="00ED3F13">
        <w:rPr>
          <w:i/>
          <w:lang w:val="fr-CH"/>
        </w:rPr>
        <w:t xml:space="preserve"> de la classe de la division</w:t>
      </w:r>
      <w:r w:rsidR="00705810">
        <w:rPr>
          <w:lang w:val="fr-CH"/>
        </w:rPr>
        <w:t> </w:t>
      </w:r>
      <w:r w:rsidRPr="00ED3F13">
        <w:rPr>
          <w:i/>
          <w:lang w:val="fr-CH"/>
        </w:rPr>
        <w:t>4.1</w:t>
      </w:r>
      <w:r w:rsidR="00705810">
        <w:rPr>
          <w:lang w:val="fr-CH"/>
        </w:rPr>
        <w:t> </w:t>
      </w:r>
      <w:r w:rsidR="00705810" w:rsidRPr="00705810">
        <w:t>»</w:t>
      </w:r>
      <w:r w:rsidR="00A803EC">
        <w:t>,</w:t>
      </w:r>
      <w:r w:rsidRPr="00705810">
        <w:rPr>
          <w:lang w:val="fr-CH"/>
        </w:rPr>
        <w:t xml:space="preserve"> </w:t>
      </w:r>
      <w:r w:rsidRPr="00ED3F13">
        <w:rPr>
          <w:lang w:val="fr-CH"/>
        </w:rPr>
        <w:t>etc.</w:t>
      </w:r>
      <w:r w:rsidR="00A803EC">
        <w:rPr>
          <w:lang w:val="fr-CH"/>
        </w:rPr>
        <w:t>,</w:t>
      </w:r>
      <w:r w:rsidRPr="00ED3F13">
        <w:rPr>
          <w:lang w:val="fr-CH"/>
        </w:rPr>
        <w:t xml:space="preserve"> ont été modifiés pour devenir </w:t>
      </w:r>
      <w:r w:rsidR="00705810">
        <w:rPr>
          <w:lang w:val="fr-CH"/>
        </w:rPr>
        <w:t>« </w:t>
      </w:r>
      <w:r w:rsidRPr="00ED3F13">
        <w:rPr>
          <w:i/>
          <w:lang w:val="fr-CH"/>
        </w:rPr>
        <w:t>Explosifs (classe de transport 1)</w:t>
      </w:r>
      <w:r w:rsidR="00705810">
        <w:rPr>
          <w:i/>
          <w:lang w:val="fr-CH"/>
        </w:rPr>
        <w:t> </w:t>
      </w:r>
      <w:r w:rsidR="00705810" w:rsidRPr="00705810">
        <w:t>»</w:t>
      </w:r>
      <w:r w:rsidRPr="00ED3F13">
        <w:rPr>
          <w:i/>
          <w:lang w:val="fr-CH"/>
        </w:rPr>
        <w:t xml:space="preserve"> </w:t>
      </w:r>
      <w:r w:rsidRPr="00ED3F13">
        <w:rPr>
          <w:lang w:val="fr-CH"/>
        </w:rPr>
        <w:t>et</w:t>
      </w:r>
      <w:r w:rsidR="00705810">
        <w:rPr>
          <w:i/>
          <w:lang w:val="fr-CH"/>
        </w:rPr>
        <w:t xml:space="preserve"> </w:t>
      </w:r>
      <w:r w:rsidR="00705810" w:rsidRPr="00705810">
        <w:t>« </w:t>
      </w:r>
      <w:proofErr w:type="spellStart"/>
      <w:r w:rsidRPr="00ED3F13">
        <w:rPr>
          <w:i/>
          <w:lang w:val="fr-CH"/>
        </w:rPr>
        <w:t>Autoréactifs</w:t>
      </w:r>
      <w:proofErr w:type="spellEnd"/>
      <w:r w:rsidRPr="00ED3F13">
        <w:rPr>
          <w:i/>
          <w:lang w:val="fr-CH"/>
        </w:rPr>
        <w:t xml:space="preserve"> (division de transport 4.1)</w:t>
      </w:r>
      <w:r w:rsidR="00705810">
        <w:rPr>
          <w:lang w:val="fr-CH"/>
        </w:rPr>
        <w:t> </w:t>
      </w:r>
      <w:r w:rsidR="00705810" w:rsidRPr="00705810">
        <w:t>»</w:t>
      </w:r>
      <w:r w:rsidRPr="00705810">
        <w:rPr>
          <w:lang w:val="fr-CH"/>
        </w:rPr>
        <w:t>.</w:t>
      </w:r>
      <w:r w:rsidRPr="00ED3F13">
        <w:rPr>
          <w:lang w:val="fr-CH"/>
        </w:rPr>
        <w:t xml:space="preserve"> Les réviseurs ont été d’avis qu’il n’était pas nécessaire de mentionner les classes et divisions de transport car les usagers du Manuel les connaissent. Ce changement rendrait aussi le Manuel plus lisible. </w:t>
      </w:r>
    </w:p>
    <w:p w:rsidR="00ED3F13" w:rsidRPr="00ED3F13" w:rsidRDefault="00ED3F13" w:rsidP="00ED3F13">
      <w:pPr>
        <w:pStyle w:val="SingleTxt"/>
        <w:numPr>
          <w:ilvl w:val="0"/>
          <w:numId w:val="7"/>
        </w:numPr>
        <w:tabs>
          <w:tab w:val="left" w:pos="1742"/>
        </w:tabs>
        <w:rPr>
          <w:lang w:val="fr-CH"/>
        </w:rPr>
      </w:pPr>
      <w:r w:rsidRPr="00ED3F13">
        <w:rPr>
          <w:lang w:val="fr-CH"/>
        </w:rPr>
        <w:t xml:space="preserve">Il est proposé de remplacer les diagrammes qui figurent actuellement dans la Manuel par ceux du SGH, qui comportent des descriptions et cases de sortie les plus générales et qui sont donc applicables à tous les usages réglementaires. </w:t>
      </w:r>
    </w:p>
    <w:p w:rsidR="00ED3F13" w:rsidRPr="00ED3F13" w:rsidRDefault="00ED3F13" w:rsidP="00ED3F13">
      <w:pPr>
        <w:pStyle w:val="SingleTxt"/>
        <w:rPr>
          <w:lang w:val="fr-CH"/>
        </w:rPr>
      </w:pPr>
      <w:r w:rsidRPr="00ED3F13">
        <w:rPr>
          <w:lang w:val="fr-CH"/>
        </w:rPr>
        <w:t xml:space="preserve">Les remarques spécifiques au transport, telles qu’elles sont contenues dans les cases de sortie des diagrammes relatifs aux peroxydes organiques et aux </w:t>
      </w:r>
      <w:proofErr w:type="spellStart"/>
      <w:r w:rsidRPr="00ED3F13">
        <w:rPr>
          <w:lang w:val="fr-CH"/>
        </w:rPr>
        <w:t>autoréactifs</w:t>
      </w:r>
      <w:proofErr w:type="spellEnd"/>
      <w:r w:rsidRPr="00ED3F13">
        <w:rPr>
          <w:lang w:val="fr-CH"/>
        </w:rPr>
        <w:t xml:space="preserve">, peuvent être ajoutées sous forme de paragraphe séparé ou de notes. </w:t>
      </w:r>
    </w:p>
    <w:p w:rsidR="00ED3F13" w:rsidRPr="00ED3F13" w:rsidRDefault="00ED3F13" w:rsidP="00ED3F13">
      <w:pPr>
        <w:pStyle w:val="SingleTxt"/>
        <w:numPr>
          <w:ilvl w:val="0"/>
          <w:numId w:val="7"/>
        </w:numPr>
        <w:tabs>
          <w:tab w:val="left" w:pos="1742"/>
        </w:tabs>
        <w:rPr>
          <w:lang w:val="fr-CH"/>
        </w:rPr>
      </w:pPr>
      <w:r w:rsidRPr="00ED3F13">
        <w:rPr>
          <w:lang w:val="fr-CH"/>
        </w:rPr>
        <w:t>Dans les documents informels INF.8 (</w:t>
      </w:r>
      <w:r w:rsidR="00705810">
        <w:rPr>
          <w:lang w:val="fr-CH"/>
        </w:rPr>
        <w:t>quarante-cinquième</w:t>
      </w:r>
      <w:r w:rsidRPr="00ED3F13">
        <w:rPr>
          <w:lang w:val="fr-CH"/>
        </w:rPr>
        <w:t xml:space="preserve"> session) et INF.5 (</w:t>
      </w:r>
      <w:r w:rsidR="00705810">
        <w:rPr>
          <w:lang w:val="fr-CH"/>
        </w:rPr>
        <w:t xml:space="preserve">vingt-septième </w:t>
      </w:r>
      <w:r w:rsidRPr="00ED3F13">
        <w:rPr>
          <w:lang w:val="fr-CH"/>
        </w:rPr>
        <w:t xml:space="preserve">session) le secrétariat a proposé un texte à ajouter au paragraphe 10.4.1.1 concernant la manière de traiter les différents états physiques et précisant quand des essais supplémentaires sont nécessaires. </w:t>
      </w:r>
    </w:p>
    <w:p w:rsidR="00ED3F13" w:rsidRPr="00ED3F13" w:rsidRDefault="00ED3F13" w:rsidP="00ED3F13">
      <w:pPr>
        <w:pStyle w:val="SingleTxt"/>
        <w:rPr>
          <w:lang w:val="fr-CH"/>
        </w:rPr>
      </w:pPr>
      <w:r w:rsidRPr="00ED3F13">
        <w:rPr>
          <w:lang w:val="fr-CH"/>
        </w:rPr>
        <w:t>Il s’agit d’une phrase excellente mais qui aurait peut-être mieux sa place dans une partie plus générale du Manuel sous forme de nouveau paragraphe 1.5.3 (en renumérotant les paragraphes 1.5.3 et 1.5.4 actuels). Il pourrait être libellé comme suit</w:t>
      </w:r>
      <w:r w:rsidR="00705810">
        <w:rPr>
          <w:lang w:val="fr-CH"/>
        </w:rPr>
        <w:t> </w:t>
      </w:r>
      <w:r w:rsidRPr="00ED3F13">
        <w:rPr>
          <w:lang w:val="fr-CH"/>
        </w:rPr>
        <w:t xml:space="preserve">: </w:t>
      </w:r>
      <w:r w:rsidR="00705810">
        <w:rPr>
          <w:lang w:val="fr-CH"/>
        </w:rPr>
        <w:t>« </w:t>
      </w:r>
      <w:r w:rsidRPr="00ED3F13">
        <w:rPr>
          <w:i/>
          <w:lang w:val="fr-CH"/>
        </w:rPr>
        <w:t>Si par exemple, aux fins de la commercialisation ou du transport, une matière ou un mélange doit être présenté(e) sous une forme physique différente de celle sous laquelle elle/il a été éprouvé(e) et dont on peut considérer qu’elle est susceptible de modifier notablement son comportement lors d’une épreuve de classification, la matière ou le mélange doit aussi être éprouvé(e) sous cette autre forme</w:t>
      </w:r>
      <w:r w:rsidR="00705810">
        <w:rPr>
          <w:i/>
          <w:lang w:val="fr-CH"/>
        </w:rPr>
        <w:t> </w:t>
      </w:r>
      <w:r w:rsidR="00705810" w:rsidRPr="00705810">
        <w:t>»</w:t>
      </w:r>
      <w:r w:rsidRPr="00705810">
        <w:rPr>
          <w:lang w:val="fr-CH"/>
        </w:rPr>
        <w:t>.</w:t>
      </w:r>
    </w:p>
    <w:p w:rsidR="00ED3F13" w:rsidRPr="00ED3F13" w:rsidRDefault="00ED3F13" w:rsidP="00ED3F13">
      <w:pPr>
        <w:pStyle w:val="SingleTxt"/>
        <w:numPr>
          <w:ilvl w:val="0"/>
          <w:numId w:val="7"/>
        </w:numPr>
        <w:tabs>
          <w:tab w:val="left" w:pos="1742"/>
        </w:tabs>
        <w:rPr>
          <w:lang w:val="fr-CH"/>
        </w:rPr>
      </w:pPr>
      <w:r w:rsidRPr="00ED3F13">
        <w:rPr>
          <w:lang w:val="fr-CH"/>
        </w:rPr>
        <w:t>Dans la Partie</w:t>
      </w:r>
      <w:r w:rsidR="00705810">
        <w:rPr>
          <w:lang w:val="fr-CH"/>
        </w:rPr>
        <w:t> </w:t>
      </w:r>
      <w:r w:rsidRPr="00ED3F13">
        <w:rPr>
          <w:lang w:val="fr-CH"/>
        </w:rPr>
        <w:t xml:space="preserve">III les critères et exemples de résultats de plusieurs chapitres comportent le terme </w:t>
      </w:r>
      <w:r w:rsidR="00705810">
        <w:rPr>
          <w:lang w:val="fr-CH"/>
        </w:rPr>
        <w:t>« </w:t>
      </w:r>
      <w:r w:rsidRPr="00ED3F13">
        <w:rPr>
          <w:lang w:val="fr-CH"/>
        </w:rPr>
        <w:t>groupe d’emballage</w:t>
      </w:r>
      <w:r w:rsidR="00705810">
        <w:rPr>
          <w:lang w:val="fr-CH"/>
        </w:rPr>
        <w:t> »</w:t>
      </w:r>
      <w:r w:rsidR="00ED37BA">
        <w:rPr>
          <w:lang w:val="fr-CH"/>
        </w:rPr>
        <w:t>. Il ne s’</w:t>
      </w:r>
      <w:r w:rsidRPr="00ED3F13">
        <w:rPr>
          <w:lang w:val="fr-CH"/>
        </w:rPr>
        <w:t xml:space="preserve">applique bien entendu qu’au transport, le SGH utilisant le terme </w:t>
      </w:r>
      <w:r w:rsidR="00705810">
        <w:rPr>
          <w:lang w:val="fr-CH"/>
        </w:rPr>
        <w:t>« </w:t>
      </w:r>
      <w:r w:rsidRPr="00ED3F13">
        <w:rPr>
          <w:lang w:val="fr-CH"/>
        </w:rPr>
        <w:t>catégorie</w:t>
      </w:r>
      <w:r w:rsidR="00705810">
        <w:rPr>
          <w:lang w:val="fr-CH"/>
        </w:rPr>
        <w:t> »</w:t>
      </w:r>
      <w:r w:rsidRPr="00ED3F13">
        <w:rPr>
          <w:lang w:val="fr-CH"/>
        </w:rPr>
        <w:t xml:space="preserve">. Encore une fois, par souci de lisibilité, la meilleure solution consisterait peut-être à expliquer clairement, dans paragraphe de portée générale que </w:t>
      </w:r>
      <w:r w:rsidR="00705810">
        <w:rPr>
          <w:lang w:val="fr-CH"/>
        </w:rPr>
        <w:t>« </w:t>
      </w:r>
      <w:r w:rsidRPr="00ED3F13">
        <w:rPr>
          <w:lang w:val="fr-CH"/>
        </w:rPr>
        <w:t>catégorie</w:t>
      </w:r>
      <w:r w:rsidR="00705810">
        <w:rPr>
          <w:lang w:val="fr-CH"/>
        </w:rPr>
        <w:t> »</w:t>
      </w:r>
      <w:r w:rsidRPr="00ED3F13">
        <w:rPr>
          <w:lang w:val="fr-CH"/>
        </w:rPr>
        <w:t xml:space="preserve"> renvoie au SGH et que </w:t>
      </w:r>
      <w:r w:rsidR="00705810">
        <w:rPr>
          <w:lang w:val="fr-CH"/>
        </w:rPr>
        <w:t>« </w:t>
      </w:r>
      <w:r w:rsidRPr="00ED3F13">
        <w:rPr>
          <w:lang w:val="fr-CH"/>
        </w:rPr>
        <w:t>groupe d’emballage</w:t>
      </w:r>
      <w:r w:rsidR="00705810">
        <w:rPr>
          <w:lang w:val="fr-CH"/>
        </w:rPr>
        <w:t> »</w:t>
      </w:r>
      <w:r w:rsidRPr="00ED3F13">
        <w:rPr>
          <w:lang w:val="fr-CH"/>
        </w:rPr>
        <w:t xml:space="preserve"> concerne le transport. Voir par exemple l</w:t>
      </w:r>
      <w:r w:rsidR="00705810">
        <w:rPr>
          <w:lang w:val="fr-CH"/>
        </w:rPr>
        <w:t>e texte proposé aux paragraphes </w:t>
      </w:r>
      <w:r w:rsidRPr="00ED3F13">
        <w:rPr>
          <w:lang w:val="fr-CH"/>
        </w:rPr>
        <w:t>3.3.1.5.4 et 33.3.1.5.5 dans les documents informels INF.8/Add.4 (</w:t>
      </w:r>
      <w:r w:rsidR="00705810">
        <w:rPr>
          <w:lang w:val="fr-CH"/>
        </w:rPr>
        <w:t xml:space="preserve">quarante-cinquième </w:t>
      </w:r>
      <w:r w:rsidRPr="00ED3F13">
        <w:rPr>
          <w:lang w:val="fr-CH"/>
        </w:rPr>
        <w:t>session) et INF.5/Add.4 (</w:t>
      </w:r>
      <w:r w:rsidR="00705810">
        <w:rPr>
          <w:lang w:val="fr-CH"/>
        </w:rPr>
        <w:t xml:space="preserve">vingt-septième </w:t>
      </w:r>
      <w:r w:rsidRPr="00ED3F13">
        <w:rPr>
          <w:lang w:val="fr-CH"/>
        </w:rPr>
        <w:t>session).</w:t>
      </w:r>
    </w:p>
    <w:p w:rsidR="00ED3F13" w:rsidRDefault="00ED3F13" w:rsidP="00ED3F13">
      <w:pPr>
        <w:pStyle w:val="SingleTxt"/>
        <w:rPr>
          <w:lang w:val="fr-CH"/>
        </w:rPr>
      </w:pPr>
      <w:r w:rsidRPr="00ED3F13">
        <w:rPr>
          <w:lang w:val="fr-CH"/>
        </w:rPr>
        <w:t>Ce texte serait ainsi conçu</w:t>
      </w:r>
      <w:r w:rsidR="00705810">
        <w:rPr>
          <w:lang w:val="fr-CH"/>
        </w:rPr>
        <w:t> </w:t>
      </w:r>
      <w:r w:rsidRPr="00ED3F13">
        <w:rPr>
          <w:lang w:val="fr-CH"/>
        </w:rPr>
        <w:t xml:space="preserve">: </w:t>
      </w:r>
      <w:r w:rsidR="00705810">
        <w:rPr>
          <w:lang w:val="fr-CH"/>
        </w:rPr>
        <w:t>« </w:t>
      </w:r>
      <w:r w:rsidRPr="00ED3F13">
        <w:rPr>
          <w:i/>
          <w:lang w:val="fr-CH"/>
        </w:rPr>
        <w:t>… la matière doit être considérée comme pyrophorique et elle doit être classée dans la cat</w:t>
      </w:r>
      <w:r w:rsidR="00705810">
        <w:rPr>
          <w:i/>
          <w:lang w:val="fr-CH"/>
        </w:rPr>
        <w:t>égorie 1/le groupe d’emballage </w:t>
      </w:r>
      <w:r w:rsidRPr="00ED3F13">
        <w:rPr>
          <w:i/>
          <w:lang w:val="fr-CH"/>
        </w:rPr>
        <w:t>I</w:t>
      </w:r>
      <w:r w:rsidR="00705810">
        <w:rPr>
          <w:i/>
          <w:lang w:val="fr-CH"/>
        </w:rPr>
        <w:t> </w:t>
      </w:r>
      <w:r w:rsidR="00705810" w:rsidRPr="00705810">
        <w:t>»</w:t>
      </w:r>
      <w:r w:rsidRPr="00705810">
        <w:rPr>
          <w:lang w:val="fr-CH"/>
        </w:rPr>
        <w:t>.</w:t>
      </w:r>
    </w:p>
    <w:p w:rsidR="00705810" w:rsidRPr="00705810" w:rsidRDefault="00705810" w:rsidP="00705810">
      <w:pPr>
        <w:pStyle w:val="SingleTxt"/>
        <w:spacing w:after="0" w:line="120" w:lineRule="exact"/>
        <w:rPr>
          <w:sz w:val="10"/>
          <w:lang w:val="fr-CH"/>
        </w:rPr>
      </w:pPr>
    </w:p>
    <w:p w:rsidR="00705810" w:rsidRPr="00705810" w:rsidRDefault="00705810" w:rsidP="00705810">
      <w:pPr>
        <w:pStyle w:val="SingleTxt"/>
        <w:spacing w:after="0" w:line="120" w:lineRule="exact"/>
        <w:rPr>
          <w:sz w:val="10"/>
          <w:lang w:val="fr-CH"/>
        </w:rPr>
      </w:pPr>
    </w:p>
    <w:p w:rsidR="00ED3F13" w:rsidRDefault="00705810" w:rsidP="007058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ED3F13" w:rsidRPr="00286527">
        <w:rPr>
          <w:lang w:val="fr-CH"/>
        </w:rPr>
        <w:t>Proposition</w:t>
      </w:r>
    </w:p>
    <w:p w:rsidR="00705810" w:rsidRPr="00705810" w:rsidRDefault="00705810" w:rsidP="00705810">
      <w:pPr>
        <w:pStyle w:val="SingleTxt"/>
        <w:spacing w:after="0" w:line="120" w:lineRule="exact"/>
        <w:rPr>
          <w:sz w:val="10"/>
          <w:lang w:val="en-US"/>
        </w:rPr>
      </w:pPr>
    </w:p>
    <w:p w:rsidR="00705810" w:rsidRPr="00705810" w:rsidRDefault="00705810" w:rsidP="00705810">
      <w:pPr>
        <w:pStyle w:val="SingleTxt"/>
        <w:spacing w:after="0" w:line="120" w:lineRule="exact"/>
        <w:rPr>
          <w:sz w:val="10"/>
          <w:lang w:val="en-US"/>
        </w:rPr>
      </w:pPr>
    </w:p>
    <w:p w:rsidR="00ED3F13" w:rsidRPr="00ED3F13" w:rsidRDefault="00ED3F13" w:rsidP="00ED3F13">
      <w:pPr>
        <w:pStyle w:val="SingleTxt"/>
        <w:numPr>
          <w:ilvl w:val="0"/>
          <w:numId w:val="7"/>
        </w:numPr>
        <w:tabs>
          <w:tab w:val="left" w:pos="1742"/>
        </w:tabs>
        <w:rPr>
          <w:lang w:val="fr-CH"/>
        </w:rPr>
      </w:pPr>
      <w:r w:rsidRPr="00ED3F13">
        <w:rPr>
          <w:lang w:val="fr-CH"/>
        </w:rPr>
        <w:t>Il est proposé que ce document soit examiné et que des décisions soient prises en conséquence au sein des deux sous-comités et du groupe de travail des explosifs.</w:t>
      </w:r>
    </w:p>
    <w:p w:rsidR="00ED3F13" w:rsidRPr="00705810" w:rsidRDefault="00705810" w:rsidP="0070581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D3F13" w:rsidRPr="00705810" w:rsidSect="000B6399">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10T15:03:00Z" w:initials="Start">
    <w:p w:rsidR="000B6399" w:rsidRDefault="000B63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NO&gt;&gt;N1520477F&lt;&lt;ODS JOB NO&gt;&gt;</w:t>
      </w:r>
    </w:p>
    <w:p w:rsidR="000B6399" w:rsidRDefault="000B6399">
      <w:pPr>
        <w:pStyle w:val="CommentText"/>
      </w:pPr>
      <w:r>
        <w:t>&lt;&lt;ODS DOC SYMBOL1&gt;&gt;ST/SG/AC.10/C.3/2015/50&lt;&lt;ODS DOC SYMBOL1&gt;&gt;</w:t>
      </w:r>
    </w:p>
    <w:p w:rsidR="000B6399" w:rsidRDefault="000B6399">
      <w:pPr>
        <w:pStyle w:val="CommentText"/>
      </w:pPr>
      <w:r>
        <w:t>&lt;&lt;ODS DOC SYMBOL2&gt;&gt;ST/SG/AC.10/C.4/2015/10&lt;&lt;ODS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85" w:rsidRDefault="005F0285" w:rsidP="00F3330B">
      <w:pPr>
        <w:spacing w:line="240" w:lineRule="auto"/>
      </w:pPr>
      <w:r>
        <w:separator/>
      </w:r>
    </w:p>
  </w:endnote>
  <w:endnote w:type="continuationSeparator" w:id="0">
    <w:p w:rsidR="005F0285" w:rsidRDefault="005F028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B6399" w:rsidTr="000B6399">
      <w:trPr>
        <w:jc w:val="center"/>
      </w:trPr>
      <w:tc>
        <w:tcPr>
          <w:tcW w:w="5126" w:type="dxa"/>
          <w:shd w:val="clear" w:color="auto" w:fill="auto"/>
        </w:tcPr>
        <w:p w:rsidR="000B6399" w:rsidRPr="000B6399" w:rsidRDefault="000B6399" w:rsidP="000B639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7497">
            <w:rPr>
              <w:b w:val="0"/>
              <w:w w:val="103"/>
              <w:sz w:val="14"/>
            </w:rPr>
            <w:t>GE.15-15183</w:t>
          </w:r>
          <w:r>
            <w:rPr>
              <w:b w:val="0"/>
              <w:w w:val="103"/>
              <w:sz w:val="14"/>
            </w:rPr>
            <w:fldChar w:fldCharType="end"/>
          </w:r>
        </w:p>
      </w:tc>
      <w:tc>
        <w:tcPr>
          <w:tcW w:w="5127" w:type="dxa"/>
          <w:shd w:val="clear" w:color="auto" w:fill="auto"/>
        </w:tcPr>
        <w:p w:rsidR="000B6399" w:rsidRPr="000B6399" w:rsidRDefault="000B6399" w:rsidP="000B6399">
          <w:pPr>
            <w:pStyle w:val="Footer"/>
            <w:rPr>
              <w:w w:val="103"/>
            </w:rPr>
          </w:pPr>
          <w:r>
            <w:rPr>
              <w:w w:val="103"/>
            </w:rPr>
            <w:fldChar w:fldCharType="begin"/>
          </w:r>
          <w:r>
            <w:rPr>
              <w:w w:val="103"/>
            </w:rPr>
            <w:instrText xml:space="preserve"> PAGE  \* Arabic  \* MERGEFORMAT </w:instrText>
          </w:r>
          <w:r>
            <w:rPr>
              <w:w w:val="103"/>
            </w:rPr>
            <w:fldChar w:fldCharType="separate"/>
          </w:r>
          <w:r w:rsidR="00A5749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7497">
            <w:rPr>
              <w:noProof/>
              <w:w w:val="103"/>
            </w:rPr>
            <w:t>3</w:t>
          </w:r>
          <w:r>
            <w:rPr>
              <w:w w:val="103"/>
            </w:rPr>
            <w:fldChar w:fldCharType="end"/>
          </w:r>
        </w:p>
      </w:tc>
    </w:tr>
  </w:tbl>
  <w:p w:rsidR="000B6399" w:rsidRPr="000B6399" w:rsidRDefault="000B6399" w:rsidP="000B6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B6399" w:rsidTr="000B6399">
      <w:trPr>
        <w:jc w:val="center"/>
      </w:trPr>
      <w:tc>
        <w:tcPr>
          <w:tcW w:w="5126" w:type="dxa"/>
          <w:shd w:val="clear" w:color="auto" w:fill="auto"/>
        </w:tcPr>
        <w:p w:rsidR="000B6399" w:rsidRPr="000B6399" w:rsidRDefault="000B6399" w:rsidP="000B639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5749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7497">
            <w:rPr>
              <w:noProof/>
              <w:w w:val="103"/>
            </w:rPr>
            <w:t>3</w:t>
          </w:r>
          <w:r>
            <w:rPr>
              <w:w w:val="103"/>
            </w:rPr>
            <w:fldChar w:fldCharType="end"/>
          </w:r>
        </w:p>
      </w:tc>
      <w:tc>
        <w:tcPr>
          <w:tcW w:w="5127" w:type="dxa"/>
          <w:shd w:val="clear" w:color="auto" w:fill="auto"/>
        </w:tcPr>
        <w:p w:rsidR="000B6399" w:rsidRPr="000B6399" w:rsidRDefault="000B6399" w:rsidP="000B639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57497">
            <w:rPr>
              <w:b w:val="0"/>
              <w:w w:val="103"/>
              <w:sz w:val="14"/>
            </w:rPr>
            <w:t>GE.15-15183</w:t>
          </w:r>
          <w:r>
            <w:rPr>
              <w:b w:val="0"/>
              <w:w w:val="103"/>
              <w:sz w:val="14"/>
            </w:rPr>
            <w:fldChar w:fldCharType="end"/>
          </w:r>
        </w:p>
      </w:tc>
    </w:tr>
  </w:tbl>
  <w:p w:rsidR="000B6399" w:rsidRPr="000B6399" w:rsidRDefault="000B6399" w:rsidP="000B6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99" w:rsidRDefault="000B6399">
    <w:pPr>
      <w:pStyle w:val="Footer"/>
    </w:pPr>
    <w:r>
      <w:rPr>
        <w:noProof/>
        <w:lang w:val="en-GB" w:eastAsia="en-GB"/>
      </w:rPr>
      <w:drawing>
        <wp:anchor distT="0" distB="0" distL="114300" distR="114300" simplePos="0" relativeHeight="251658240" behindDoc="0" locked="0" layoutInCell="1" allowOverlap="1" wp14:anchorId="17C19E4B" wp14:editId="79E2666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B6399" w:rsidTr="000B6399">
      <w:tc>
        <w:tcPr>
          <w:tcW w:w="3859" w:type="dxa"/>
        </w:tcPr>
        <w:p w:rsidR="000B6399" w:rsidRDefault="000B6399" w:rsidP="000B639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57497">
            <w:rPr>
              <w:b w:val="0"/>
              <w:sz w:val="20"/>
            </w:rPr>
            <w:t>GE.15-15183 (F)</w:t>
          </w:r>
          <w:r>
            <w:rPr>
              <w:b w:val="0"/>
              <w:sz w:val="20"/>
            </w:rPr>
            <w:fldChar w:fldCharType="end"/>
          </w:r>
          <w:r>
            <w:rPr>
              <w:b w:val="0"/>
              <w:sz w:val="20"/>
            </w:rPr>
            <w:t xml:space="preserve">    101115    </w:t>
          </w:r>
          <w:r w:rsidRPr="00286527">
            <w:rPr>
              <w:b w:val="0"/>
              <w:sz w:val="20"/>
            </w:rPr>
            <w:t>101115</w:t>
          </w:r>
        </w:p>
        <w:p w:rsidR="000B6399" w:rsidRPr="000B6399" w:rsidRDefault="000B6399" w:rsidP="000B639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57497">
            <w:rPr>
              <w:rFonts w:ascii="Barcode 3 of 9 by request" w:hAnsi="Barcode 3 of 9 by request"/>
              <w:b w:val="0"/>
              <w:spacing w:val="0"/>
              <w:w w:val="100"/>
              <w:sz w:val="24"/>
            </w:rPr>
            <w:t>*1515183*</w:t>
          </w:r>
          <w:r>
            <w:rPr>
              <w:rFonts w:ascii="Barcode 3 of 9 by request" w:hAnsi="Barcode 3 of 9 by request"/>
              <w:b w:val="0"/>
              <w:spacing w:val="0"/>
              <w:w w:val="100"/>
              <w:sz w:val="24"/>
            </w:rPr>
            <w:fldChar w:fldCharType="end"/>
          </w:r>
        </w:p>
      </w:tc>
      <w:tc>
        <w:tcPr>
          <w:tcW w:w="5127" w:type="dxa"/>
        </w:tcPr>
        <w:p w:rsidR="000B6399" w:rsidRDefault="000B6399" w:rsidP="000B6399">
          <w:pPr>
            <w:pStyle w:val="Footer"/>
            <w:spacing w:line="240" w:lineRule="atLeast"/>
            <w:jc w:val="right"/>
            <w:rPr>
              <w:b w:val="0"/>
              <w:sz w:val="20"/>
            </w:rPr>
          </w:pPr>
          <w:r>
            <w:rPr>
              <w:b w:val="0"/>
              <w:noProof/>
              <w:sz w:val="20"/>
              <w:lang w:val="en-GB" w:eastAsia="en-GB"/>
            </w:rPr>
            <w:drawing>
              <wp:inline distT="0" distB="0" distL="0" distR="0" wp14:anchorId="7D7E8DD9" wp14:editId="7B14AC5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B6399" w:rsidRPr="000B6399" w:rsidRDefault="000B6399" w:rsidP="000B639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85" w:rsidRPr="00ED3F13" w:rsidRDefault="00ED3F13" w:rsidP="00ED3F13">
      <w:pPr>
        <w:pStyle w:val="Footer"/>
        <w:spacing w:after="80"/>
        <w:ind w:left="792"/>
        <w:rPr>
          <w:sz w:val="16"/>
        </w:rPr>
      </w:pPr>
      <w:r w:rsidRPr="00ED3F13">
        <w:rPr>
          <w:sz w:val="16"/>
        </w:rPr>
        <w:t>__________________</w:t>
      </w:r>
    </w:p>
  </w:footnote>
  <w:footnote w:type="continuationSeparator" w:id="0">
    <w:p w:rsidR="005F0285" w:rsidRPr="00ED3F13" w:rsidRDefault="00ED3F13" w:rsidP="00ED3F13">
      <w:pPr>
        <w:pStyle w:val="Footer"/>
        <w:spacing w:after="80"/>
        <w:ind w:left="792"/>
        <w:rPr>
          <w:sz w:val="16"/>
        </w:rPr>
      </w:pPr>
      <w:r w:rsidRPr="00ED3F13">
        <w:rPr>
          <w:sz w:val="16"/>
        </w:rPr>
        <w:t>__________________</w:t>
      </w:r>
    </w:p>
  </w:footnote>
  <w:footnote w:id="1">
    <w:p w:rsidR="00ED3F13" w:rsidRDefault="00ED3F13" w:rsidP="00ED3F13">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 xml:space="preserve"> </w:t>
      </w:r>
      <w:r>
        <w:tab/>
        <w:t>Conformément au programme de travail du Sous-Comité pour la période 2015</w:t>
      </w:r>
      <w:r w:rsidR="00F6207E">
        <w:t>-</w:t>
      </w:r>
      <w:r>
        <w:t>2016 adopté par le Comité à sa septième session (voir ST/SG/AC.1</w:t>
      </w:r>
      <w:r w:rsidR="00F6207E">
        <w:t>0/C.3/92, par. </w:t>
      </w:r>
      <w:r>
        <w:t>95, et ST/SG/AC.10/42, par. 15)</w:t>
      </w:r>
      <w:r w:rsidR="00F6207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B6399" w:rsidTr="000B6399">
      <w:trPr>
        <w:trHeight w:hRule="exact" w:val="864"/>
        <w:jc w:val="center"/>
      </w:trPr>
      <w:tc>
        <w:tcPr>
          <w:tcW w:w="4882" w:type="dxa"/>
          <w:shd w:val="clear" w:color="auto" w:fill="auto"/>
          <w:vAlign w:val="bottom"/>
        </w:tcPr>
        <w:p w:rsidR="000B6399" w:rsidRPr="000B6399" w:rsidRDefault="000B6399" w:rsidP="000B639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7497">
            <w:rPr>
              <w:b/>
              <w:color w:val="000000"/>
            </w:rPr>
            <w:t>ST/SG/AC.10/C.3/2015/50</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A57497">
            <w:rPr>
              <w:b/>
              <w:color w:val="000000"/>
            </w:rPr>
            <w:t>ST/SG/AC.10/C.4/2015/10</w:t>
          </w:r>
          <w:r>
            <w:rPr>
              <w:b/>
              <w:color w:val="000000"/>
            </w:rPr>
            <w:fldChar w:fldCharType="end"/>
          </w:r>
        </w:p>
      </w:tc>
      <w:tc>
        <w:tcPr>
          <w:tcW w:w="5127" w:type="dxa"/>
          <w:shd w:val="clear" w:color="auto" w:fill="auto"/>
          <w:vAlign w:val="bottom"/>
        </w:tcPr>
        <w:p w:rsidR="000B6399" w:rsidRDefault="000B6399" w:rsidP="000B6399">
          <w:pPr>
            <w:pStyle w:val="Header"/>
          </w:pPr>
        </w:p>
      </w:tc>
    </w:tr>
  </w:tbl>
  <w:p w:rsidR="000B6399" w:rsidRPr="000B6399" w:rsidRDefault="000B6399" w:rsidP="000B639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B6399" w:rsidTr="000B6399">
      <w:trPr>
        <w:trHeight w:hRule="exact" w:val="864"/>
        <w:jc w:val="center"/>
      </w:trPr>
      <w:tc>
        <w:tcPr>
          <w:tcW w:w="4882" w:type="dxa"/>
          <w:shd w:val="clear" w:color="auto" w:fill="auto"/>
          <w:vAlign w:val="bottom"/>
        </w:tcPr>
        <w:p w:rsidR="000B6399" w:rsidRDefault="000B6399" w:rsidP="000B6399">
          <w:pPr>
            <w:pStyle w:val="Header"/>
          </w:pPr>
        </w:p>
      </w:tc>
      <w:tc>
        <w:tcPr>
          <w:tcW w:w="5127" w:type="dxa"/>
          <w:shd w:val="clear" w:color="auto" w:fill="auto"/>
          <w:vAlign w:val="bottom"/>
        </w:tcPr>
        <w:p w:rsidR="000B6399" w:rsidRPr="000B6399" w:rsidRDefault="000B6399" w:rsidP="000B639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57497">
            <w:rPr>
              <w:b/>
              <w:color w:val="000000"/>
            </w:rPr>
            <w:t>ST/SG/AC.10/C.3/2015/50</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A57497">
            <w:rPr>
              <w:b/>
              <w:color w:val="000000"/>
            </w:rPr>
            <w:t>ST/SG/AC.10/C.4/2015/10</w:t>
          </w:r>
          <w:r>
            <w:rPr>
              <w:b/>
              <w:color w:val="000000"/>
            </w:rPr>
            <w:fldChar w:fldCharType="end"/>
          </w:r>
        </w:p>
      </w:tc>
    </w:tr>
  </w:tbl>
  <w:p w:rsidR="000B6399" w:rsidRPr="000B6399" w:rsidRDefault="000B6399" w:rsidP="000B639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B6399" w:rsidTr="000B6399">
      <w:trPr>
        <w:trHeight w:hRule="exact" w:val="864"/>
      </w:trPr>
      <w:tc>
        <w:tcPr>
          <w:tcW w:w="1267" w:type="dxa"/>
          <w:tcBorders>
            <w:bottom w:val="single" w:sz="4" w:space="0" w:color="auto"/>
          </w:tcBorders>
          <w:shd w:val="clear" w:color="auto" w:fill="auto"/>
          <w:vAlign w:val="bottom"/>
        </w:tcPr>
        <w:p w:rsidR="000B6399" w:rsidRDefault="000B6399" w:rsidP="000B6399">
          <w:pPr>
            <w:pStyle w:val="Header"/>
            <w:spacing w:after="120"/>
          </w:pPr>
        </w:p>
      </w:tc>
      <w:tc>
        <w:tcPr>
          <w:tcW w:w="2059" w:type="dxa"/>
          <w:tcBorders>
            <w:bottom w:val="single" w:sz="4" w:space="0" w:color="auto"/>
          </w:tcBorders>
          <w:shd w:val="clear" w:color="auto" w:fill="auto"/>
          <w:vAlign w:val="bottom"/>
        </w:tcPr>
        <w:p w:rsidR="000B6399" w:rsidRPr="000B6399" w:rsidRDefault="000B6399" w:rsidP="000B639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B6399" w:rsidRDefault="000B6399" w:rsidP="000B6399">
          <w:pPr>
            <w:pStyle w:val="Header"/>
            <w:spacing w:after="120"/>
          </w:pPr>
        </w:p>
      </w:tc>
      <w:tc>
        <w:tcPr>
          <w:tcW w:w="6653" w:type="dxa"/>
          <w:gridSpan w:val="4"/>
          <w:tcBorders>
            <w:bottom w:val="single" w:sz="4" w:space="0" w:color="auto"/>
          </w:tcBorders>
          <w:shd w:val="clear" w:color="auto" w:fill="auto"/>
          <w:vAlign w:val="bottom"/>
        </w:tcPr>
        <w:p w:rsidR="000B6399" w:rsidRPr="000B6399" w:rsidRDefault="000B6399" w:rsidP="000B6399">
          <w:pPr>
            <w:spacing w:after="80" w:line="240" w:lineRule="auto"/>
            <w:jc w:val="right"/>
            <w:rPr>
              <w:position w:val="-4"/>
            </w:rPr>
          </w:pPr>
          <w:r>
            <w:rPr>
              <w:position w:val="-4"/>
              <w:sz w:val="40"/>
            </w:rPr>
            <w:t>ST</w:t>
          </w:r>
          <w:r>
            <w:rPr>
              <w:position w:val="-4"/>
            </w:rPr>
            <w:t>/SG/AC.10/C.3/2015/50–</w:t>
          </w:r>
          <w:r>
            <w:rPr>
              <w:position w:val="-4"/>
              <w:sz w:val="40"/>
            </w:rPr>
            <w:t>ST</w:t>
          </w:r>
          <w:r>
            <w:rPr>
              <w:position w:val="-4"/>
            </w:rPr>
            <w:t>/SG/AC.10/C.4/2015/10</w:t>
          </w:r>
        </w:p>
      </w:tc>
    </w:tr>
    <w:tr w:rsidR="000B6399" w:rsidRPr="000B6399" w:rsidTr="000B6399">
      <w:trPr>
        <w:gridAfter w:val="1"/>
        <w:wAfter w:w="18" w:type="dxa"/>
        <w:trHeight w:hRule="exact" w:val="2880"/>
      </w:trPr>
      <w:tc>
        <w:tcPr>
          <w:tcW w:w="1267" w:type="dxa"/>
          <w:tcBorders>
            <w:top w:val="single" w:sz="4" w:space="0" w:color="auto"/>
            <w:bottom w:val="single" w:sz="12" w:space="0" w:color="auto"/>
          </w:tcBorders>
          <w:shd w:val="clear" w:color="auto" w:fill="auto"/>
        </w:tcPr>
        <w:p w:rsidR="000B6399" w:rsidRPr="000B6399" w:rsidRDefault="000B6399" w:rsidP="000B6399">
          <w:pPr>
            <w:pStyle w:val="Header"/>
            <w:spacing w:before="120" w:line="240" w:lineRule="auto"/>
            <w:ind w:left="-72"/>
            <w:jc w:val="center"/>
          </w:pPr>
          <w:r>
            <w:t xml:space="preserve">  </w:t>
          </w:r>
          <w:r>
            <w:rPr>
              <w:noProof/>
              <w:lang w:val="en-GB" w:eastAsia="en-GB"/>
            </w:rPr>
            <w:drawing>
              <wp:inline distT="0" distB="0" distL="0" distR="0" wp14:anchorId="0D6C1739" wp14:editId="06C391E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B6399" w:rsidRPr="000B6399" w:rsidRDefault="000B6399" w:rsidP="000B6399">
          <w:pPr>
            <w:pStyle w:val="XLarge"/>
            <w:spacing w:before="109"/>
          </w:pPr>
          <w:r>
            <w:t>Secrétariat</w:t>
          </w:r>
        </w:p>
      </w:tc>
      <w:tc>
        <w:tcPr>
          <w:tcW w:w="245" w:type="dxa"/>
          <w:tcBorders>
            <w:top w:val="single" w:sz="4" w:space="0" w:color="auto"/>
            <w:bottom w:val="single" w:sz="12" w:space="0" w:color="auto"/>
          </w:tcBorders>
          <w:shd w:val="clear" w:color="auto" w:fill="auto"/>
        </w:tcPr>
        <w:p w:rsidR="000B6399" w:rsidRPr="000B6399" w:rsidRDefault="000B6399" w:rsidP="000B6399">
          <w:pPr>
            <w:pStyle w:val="Header"/>
            <w:spacing w:before="109"/>
          </w:pPr>
        </w:p>
      </w:tc>
      <w:tc>
        <w:tcPr>
          <w:tcW w:w="3280" w:type="dxa"/>
          <w:tcBorders>
            <w:top w:val="single" w:sz="4" w:space="0" w:color="auto"/>
            <w:bottom w:val="single" w:sz="12" w:space="0" w:color="auto"/>
          </w:tcBorders>
          <w:shd w:val="clear" w:color="auto" w:fill="auto"/>
        </w:tcPr>
        <w:p w:rsidR="000B6399" w:rsidRDefault="000B6399" w:rsidP="000B6399">
          <w:pPr>
            <w:pStyle w:val="Distribution"/>
            <w:rPr>
              <w:color w:val="000000"/>
            </w:rPr>
          </w:pPr>
          <w:r>
            <w:rPr>
              <w:color w:val="000000"/>
            </w:rPr>
            <w:t xml:space="preserve">Distr. </w:t>
          </w:r>
          <w:proofErr w:type="spellStart"/>
          <w:r>
            <w:rPr>
              <w:color w:val="000000"/>
            </w:rPr>
            <w:t>générale</w:t>
          </w:r>
          <w:proofErr w:type="spellEnd"/>
        </w:p>
        <w:p w:rsidR="000B6399" w:rsidRDefault="00ED3F13" w:rsidP="000B6399">
          <w:pPr>
            <w:pStyle w:val="Publication"/>
            <w:rPr>
              <w:color w:val="000000"/>
            </w:rPr>
          </w:pPr>
          <w:r>
            <w:rPr>
              <w:color w:val="000000"/>
            </w:rPr>
            <w:t>8</w:t>
          </w:r>
          <w:r w:rsidR="000B6399" w:rsidRPr="00FD30EE">
            <w:rPr>
              <w:color w:val="000000"/>
              <w:lang w:val="fr-CH"/>
            </w:rPr>
            <w:t xml:space="preserve"> septembre</w:t>
          </w:r>
          <w:r w:rsidR="000B6399">
            <w:rPr>
              <w:color w:val="000000"/>
            </w:rPr>
            <w:t xml:space="preserve"> 2015</w:t>
          </w:r>
        </w:p>
        <w:p w:rsidR="000B6399" w:rsidRDefault="000B6399" w:rsidP="000B6399">
          <w:pPr>
            <w:rPr>
              <w:lang w:val="en-US"/>
            </w:rPr>
          </w:pPr>
          <w:proofErr w:type="spellStart"/>
          <w:r>
            <w:rPr>
              <w:lang w:val="en-US"/>
            </w:rPr>
            <w:t>Français</w:t>
          </w:r>
          <w:proofErr w:type="spellEnd"/>
        </w:p>
        <w:p w:rsidR="000B6399" w:rsidRPr="000B6399" w:rsidRDefault="000B6399" w:rsidP="000B6399">
          <w:pPr>
            <w:pStyle w:val="Original"/>
            <w:rPr>
              <w:color w:val="000000"/>
            </w:rPr>
          </w:pPr>
          <w:r>
            <w:rPr>
              <w:color w:val="000000"/>
            </w:rPr>
            <w:t xml:space="preserve">Original : </w:t>
          </w:r>
          <w:proofErr w:type="spellStart"/>
          <w:r>
            <w:rPr>
              <w:color w:val="000000"/>
            </w:rPr>
            <w:t>anglais</w:t>
          </w:r>
          <w:proofErr w:type="spellEnd"/>
        </w:p>
      </w:tc>
    </w:tr>
  </w:tbl>
  <w:p w:rsidR="000B6399" w:rsidRPr="000B6399" w:rsidRDefault="000B6399" w:rsidP="000B639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47D3CF0"/>
    <w:multiLevelType w:val="hybridMultilevel"/>
    <w:tmpl w:val="F1FACBA6"/>
    <w:lvl w:ilvl="0" w:tplc="04130015">
      <w:start w:val="1"/>
      <w:numFmt w:val="upperLetter"/>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C2293"/>
    <w:multiLevelType w:val="hybridMultilevel"/>
    <w:tmpl w:val="7334F89A"/>
    <w:lvl w:ilvl="0" w:tplc="4ACAAA3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37392"/>
    <w:multiLevelType w:val="singleLevel"/>
    <w:tmpl w:val="B4B61DD6"/>
    <w:lvl w:ilvl="0">
      <w:start w:val="1"/>
      <w:numFmt w:val="decimal"/>
      <w:lvlRestart w:val="0"/>
      <w:lvlText w:val="%1."/>
      <w:lvlJc w:val="left"/>
      <w:pPr>
        <w:tabs>
          <w:tab w:val="num" w:pos="1742"/>
        </w:tabs>
        <w:ind w:left="1267" w:firstLine="0"/>
      </w:pPr>
      <w:rPr>
        <w:w w:val="100"/>
      </w:rPr>
    </w:lvl>
  </w:abstractNum>
  <w:num w:numId="1">
    <w:abstractNumId w:val="2"/>
  </w:num>
  <w:num w:numId="2">
    <w:abstractNumId w:val="1"/>
  </w:num>
  <w:num w:numId="3">
    <w:abstractNumId w:val="4"/>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83*"/>
    <w:docVar w:name="CreationDt" w:val="11/10/2015 3:03: PM"/>
    <w:docVar w:name="DocCategory" w:val="Doc"/>
    <w:docVar w:name="DocType" w:val="Final"/>
    <w:docVar w:name="DutyStation" w:val="Geneva"/>
    <w:docVar w:name="FooterJN" w:val="GE.15-15183"/>
    <w:docVar w:name="jobn" w:val="GE.15-15183 (F)"/>
    <w:docVar w:name="jobnDT" w:val="GE.15-15183 (F)   101115"/>
    <w:docVar w:name="jobnDTDT" w:val="GE.15-15183 (F)   101115   101115"/>
    <w:docVar w:name="JobNo" w:val="GE.1515183F"/>
    <w:docVar w:name="JobNo2" w:val="GE.1520477F"/>
    <w:docVar w:name="LocalDrive" w:val="0"/>
    <w:docVar w:name="OandT" w:val="EB"/>
    <w:docVar w:name="PaperSize" w:val="A4"/>
    <w:docVar w:name="sss1" w:val="ST/SG/AC.10/C.3/2015/50"/>
    <w:docVar w:name="sss2" w:val="ST/SG/AC.10/C.4/2015/10"/>
    <w:docVar w:name="Symbol1" w:val="ST/SG/AC.10/C.3/2015/50"/>
    <w:docVar w:name="Symbol2" w:val="ST/SG/AC.10/C.4/2015/10"/>
  </w:docVars>
  <w:rsids>
    <w:rsidRoot w:val="005F028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399"/>
    <w:rsid w:val="000B6B84"/>
    <w:rsid w:val="000B7004"/>
    <w:rsid w:val="000C085A"/>
    <w:rsid w:val="000C349B"/>
    <w:rsid w:val="000C683C"/>
    <w:rsid w:val="000D44E3"/>
    <w:rsid w:val="000D5D82"/>
    <w:rsid w:val="000D66AC"/>
    <w:rsid w:val="000D6F91"/>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37EFD"/>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27"/>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214"/>
    <w:rsid w:val="003F34C6"/>
    <w:rsid w:val="003F57D1"/>
    <w:rsid w:val="00401219"/>
    <w:rsid w:val="004039C7"/>
    <w:rsid w:val="004065B7"/>
    <w:rsid w:val="004066EB"/>
    <w:rsid w:val="00406E1E"/>
    <w:rsid w:val="00414C9D"/>
    <w:rsid w:val="00415A2B"/>
    <w:rsid w:val="00416293"/>
    <w:rsid w:val="004204AE"/>
    <w:rsid w:val="004216F7"/>
    <w:rsid w:val="00424476"/>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0285"/>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5810"/>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5FD5"/>
    <w:rsid w:val="0088158E"/>
    <w:rsid w:val="0088258D"/>
    <w:rsid w:val="008829F3"/>
    <w:rsid w:val="00882D4B"/>
    <w:rsid w:val="00887256"/>
    <w:rsid w:val="00890BEA"/>
    <w:rsid w:val="00890EF0"/>
    <w:rsid w:val="0089184F"/>
    <w:rsid w:val="00891ADA"/>
    <w:rsid w:val="008962D4"/>
    <w:rsid w:val="008A282E"/>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39B"/>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497"/>
    <w:rsid w:val="00A57C5A"/>
    <w:rsid w:val="00A64AD2"/>
    <w:rsid w:val="00A72C1F"/>
    <w:rsid w:val="00A72F5E"/>
    <w:rsid w:val="00A75482"/>
    <w:rsid w:val="00A761B5"/>
    <w:rsid w:val="00A803EC"/>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6C50"/>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6E0C"/>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37BA"/>
    <w:rsid w:val="00ED3F13"/>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3E69"/>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207E"/>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0EE"/>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B6399"/>
    <w:rPr>
      <w:sz w:val="16"/>
      <w:szCs w:val="16"/>
    </w:rPr>
  </w:style>
  <w:style w:type="paragraph" w:styleId="CommentText">
    <w:name w:val="annotation text"/>
    <w:basedOn w:val="Normal"/>
    <w:link w:val="CommentTextChar"/>
    <w:uiPriority w:val="99"/>
    <w:semiHidden/>
    <w:unhideWhenUsed/>
    <w:rsid w:val="000B6399"/>
    <w:pPr>
      <w:spacing w:line="240" w:lineRule="auto"/>
    </w:pPr>
    <w:rPr>
      <w:szCs w:val="20"/>
    </w:rPr>
  </w:style>
  <w:style w:type="character" w:customStyle="1" w:styleId="CommentTextChar">
    <w:name w:val="Comment Text Char"/>
    <w:basedOn w:val="DefaultParagraphFont"/>
    <w:link w:val="CommentText"/>
    <w:uiPriority w:val="99"/>
    <w:semiHidden/>
    <w:rsid w:val="000B639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B6399"/>
    <w:rPr>
      <w:b/>
      <w:bCs/>
    </w:rPr>
  </w:style>
  <w:style w:type="character" w:customStyle="1" w:styleId="CommentSubjectChar">
    <w:name w:val="Comment Subject Char"/>
    <w:basedOn w:val="CommentTextChar"/>
    <w:link w:val="CommentSubject"/>
    <w:uiPriority w:val="99"/>
    <w:semiHidden/>
    <w:rsid w:val="000B639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B6399"/>
    <w:rPr>
      <w:sz w:val="16"/>
      <w:szCs w:val="16"/>
    </w:rPr>
  </w:style>
  <w:style w:type="paragraph" w:styleId="CommentText">
    <w:name w:val="annotation text"/>
    <w:basedOn w:val="Normal"/>
    <w:link w:val="CommentTextChar"/>
    <w:uiPriority w:val="99"/>
    <w:semiHidden/>
    <w:unhideWhenUsed/>
    <w:rsid w:val="000B6399"/>
    <w:pPr>
      <w:spacing w:line="240" w:lineRule="auto"/>
    </w:pPr>
    <w:rPr>
      <w:szCs w:val="20"/>
    </w:rPr>
  </w:style>
  <w:style w:type="character" w:customStyle="1" w:styleId="CommentTextChar">
    <w:name w:val="Comment Text Char"/>
    <w:basedOn w:val="DefaultParagraphFont"/>
    <w:link w:val="CommentText"/>
    <w:uiPriority w:val="99"/>
    <w:semiHidden/>
    <w:rsid w:val="000B639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B6399"/>
    <w:rPr>
      <w:b/>
      <w:bCs/>
    </w:rPr>
  </w:style>
  <w:style w:type="character" w:customStyle="1" w:styleId="CommentSubjectChar">
    <w:name w:val="Comment Subject Char"/>
    <w:basedOn w:val="CommentTextChar"/>
    <w:link w:val="CommentSubject"/>
    <w:uiPriority w:val="99"/>
    <w:semiHidden/>
    <w:rsid w:val="000B6399"/>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6851">
      <w:bodyDiv w:val="1"/>
      <w:marLeft w:val="0"/>
      <w:marRight w:val="0"/>
      <w:marTop w:val="0"/>
      <w:marBottom w:val="0"/>
      <w:divBdr>
        <w:top w:val="none" w:sz="0" w:space="0" w:color="auto"/>
        <w:left w:val="none" w:sz="0" w:space="0" w:color="auto"/>
        <w:bottom w:val="none" w:sz="0" w:space="0" w:color="auto"/>
        <w:right w:val="none" w:sz="0" w:space="0" w:color="auto"/>
      </w:divBdr>
    </w:div>
    <w:div w:id="766925828">
      <w:bodyDiv w:val="1"/>
      <w:marLeft w:val="0"/>
      <w:marRight w:val="0"/>
      <w:marTop w:val="0"/>
      <w:marBottom w:val="0"/>
      <w:divBdr>
        <w:top w:val="none" w:sz="0" w:space="0" w:color="auto"/>
        <w:left w:val="none" w:sz="0" w:space="0" w:color="auto"/>
        <w:bottom w:val="none" w:sz="0" w:space="0" w:color="auto"/>
        <w:right w:val="none" w:sz="0" w:space="0" w:color="auto"/>
      </w:divBdr>
    </w:div>
    <w:div w:id="892623623">
      <w:bodyDiv w:val="1"/>
      <w:marLeft w:val="0"/>
      <w:marRight w:val="0"/>
      <w:marTop w:val="0"/>
      <w:marBottom w:val="0"/>
      <w:divBdr>
        <w:top w:val="none" w:sz="0" w:space="0" w:color="auto"/>
        <w:left w:val="none" w:sz="0" w:space="0" w:color="auto"/>
        <w:bottom w:val="none" w:sz="0" w:space="0" w:color="auto"/>
        <w:right w:val="none" w:sz="0" w:space="0" w:color="auto"/>
      </w:divBdr>
    </w:div>
    <w:div w:id="1725254951">
      <w:bodyDiv w:val="1"/>
      <w:marLeft w:val="0"/>
      <w:marRight w:val="0"/>
      <w:marTop w:val="0"/>
      <w:marBottom w:val="0"/>
      <w:divBdr>
        <w:top w:val="none" w:sz="0" w:space="0" w:color="auto"/>
        <w:left w:val="none" w:sz="0" w:space="0" w:color="auto"/>
        <w:bottom w:val="none" w:sz="0" w:space="0" w:color="auto"/>
        <w:right w:val="none" w:sz="0" w:space="0" w:color="auto"/>
      </w:divBdr>
    </w:div>
    <w:div w:id="19607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04D5-2997-4299-A0A7-BBA71095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Laurence Berthet</cp:lastModifiedBy>
  <cp:revision>3</cp:revision>
  <cp:lastPrinted>2015-11-11T10:06:00Z</cp:lastPrinted>
  <dcterms:created xsi:type="dcterms:W3CDTF">2015-11-11T10:06:00Z</dcterms:created>
  <dcterms:modified xsi:type="dcterms:W3CDTF">2015-11-11T10:06:00Z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1515183F</vt:lpwstr>
  </property>
  <property fmtid="{D5CDD505-2E9C-101B-9397-08002B2CF9AE}" pid="3" name="ODSRefJobNo">
    <vt:lpwstr>1520477F</vt:lpwstr>
  </property>
  <property fmtid="{D5CDD505-2E9C-101B-9397-08002B2CF9AE}" pid="4" name="Symbol1">
    <vt:lpwstr>ST/SG/AC.10/C.3/2015/50</vt:lpwstr>
  </property>
  <property fmtid="{D5CDD505-2E9C-101B-9397-08002B2CF9AE}" pid="5" name="Symbol2">
    <vt:lpwstr>ST/SG/AC.10/C.4/2015/10</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septembre 2015</vt:lpwstr>
  </property>
  <property fmtid="{D5CDD505-2E9C-101B-9397-08002B2CF9AE}" pid="12" name="Original">
    <vt:lpwstr>anglais</vt:lpwstr>
  </property>
  <property fmtid="{D5CDD505-2E9C-101B-9397-08002B2CF9AE}" pid="13" name="Release Date">
    <vt:lpwstr>101115</vt:lpwstr>
  </property>
</Properties>
</file>