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9162CE">
            <w:pPr>
              <w:jc w:val="right"/>
              <w:rPr>
                <w:b/>
                <w:sz w:val="40"/>
                <w:szCs w:val="40"/>
              </w:rPr>
            </w:pPr>
            <w:r>
              <w:rPr>
                <w:b/>
                <w:sz w:val="40"/>
              </w:rPr>
              <w:t>UN/SCETDG/48/INF.</w:t>
            </w:r>
            <w:r w:rsidR="009162CE">
              <w:rPr>
                <w:b/>
                <w:sz w:val="40"/>
              </w:rPr>
              <w:t>30</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9162CE">
              <w:rPr>
                <w:b/>
              </w:rPr>
              <w:t>23</w:t>
            </w:r>
            <w:r>
              <w:rPr>
                <w:b/>
              </w:rPr>
              <w:t xml:space="preserve"> November 2015</w:t>
            </w:r>
          </w:p>
          <w:p w:rsidR="005260A1" w:rsidRPr="00AB16B2" w:rsidRDefault="005260A1" w:rsidP="005260A1">
            <w:pPr>
              <w:spacing w:before="120"/>
              <w:rPr>
                <w:b/>
              </w:rPr>
            </w:pPr>
            <w:r>
              <w:rPr>
                <w:b/>
              </w:rPr>
              <w:t>Forty-eight</w:t>
            </w:r>
            <w:r w:rsidR="009162CE">
              <w:rPr>
                <w:b/>
              </w:rPr>
              <w:t>h</w:t>
            </w:r>
            <w:r>
              <w:rPr>
                <w:b/>
              </w:rPr>
              <w:t xml:space="preserve"> session</w:t>
            </w:r>
          </w:p>
          <w:p w:rsidR="005260A1" w:rsidRPr="00AB16B2" w:rsidRDefault="005260A1" w:rsidP="005260A1">
            <w:r>
              <w:t>Geneva, 30 November</w:t>
            </w:r>
            <w:r w:rsidR="009162CE">
              <w:t xml:space="preserve"> – </w:t>
            </w:r>
            <w:r>
              <w:t>9 December 2015</w:t>
            </w:r>
          </w:p>
          <w:p w:rsidR="005260A1" w:rsidRPr="00AB16B2" w:rsidRDefault="00E013C5" w:rsidP="005260A1">
            <w:r>
              <w:t xml:space="preserve">Item </w:t>
            </w:r>
            <w:r w:rsidR="009162CE">
              <w:t>6 (c)</w:t>
            </w:r>
            <w:r>
              <w:t xml:space="preserve"> of </w:t>
            </w:r>
            <w:r w:rsidR="005260A1">
              <w:t>the provisional agenda</w:t>
            </w:r>
          </w:p>
          <w:p w:rsidR="009162CE" w:rsidRPr="009162CE" w:rsidRDefault="009162CE" w:rsidP="009162CE">
            <w:pPr>
              <w:rPr>
                <w:b/>
              </w:rPr>
            </w:pPr>
            <w:r w:rsidRPr="009162CE">
              <w:rPr>
                <w:b/>
              </w:rPr>
              <w:t xml:space="preserve">Miscellaneous proposals for amendments to the Model Regulations </w:t>
            </w:r>
            <w:r w:rsidRPr="009162CE">
              <w:rPr>
                <w:b/>
              </w:rPr>
              <w:br/>
            </w:r>
            <w:r w:rsidRPr="009162CE">
              <w:rPr>
                <w:b/>
              </w:rPr>
              <w:t>on the Transport of Dangerous Goods</w:t>
            </w:r>
            <w:r w:rsidRPr="009162CE">
              <w:rPr>
                <w:b/>
              </w:rPr>
              <w:t xml:space="preserve">: </w:t>
            </w:r>
            <w:proofErr w:type="spellStart"/>
            <w:r w:rsidRPr="009162CE">
              <w:rPr>
                <w:b/>
              </w:rPr>
              <w:t>p</w:t>
            </w:r>
            <w:r w:rsidRPr="009162CE">
              <w:rPr>
                <w:b/>
              </w:rPr>
              <w:t>ackagings</w:t>
            </w:r>
            <w:proofErr w:type="spellEnd"/>
          </w:p>
        </w:tc>
      </w:tr>
    </w:tbl>
    <w:p w:rsidR="009162CE" w:rsidRDefault="009162CE" w:rsidP="009162CE">
      <w:pPr>
        <w:pStyle w:val="HChG"/>
      </w:pPr>
      <w:r>
        <w:tab/>
      </w:r>
      <w:r>
        <w:tab/>
      </w:r>
      <w:proofErr w:type="spellStart"/>
      <w:r>
        <w:t>Packagings</w:t>
      </w:r>
      <w:proofErr w:type="spellEnd"/>
      <w:r>
        <w:t xml:space="preserve"> for infectious substances – Comments on ST/SG/AC.10/C.3/2015/48</w:t>
      </w:r>
    </w:p>
    <w:p w:rsidR="009162CE" w:rsidRDefault="009162CE" w:rsidP="009162CE">
      <w:pPr>
        <w:pStyle w:val="H1G"/>
      </w:pPr>
      <w:r w:rsidRPr="002A68D1">
        <w:rPr>
          <w:lang w:val="en-US"/>
        </w:rPr>
        <w:tab/>
      </w:r>
      <w:r w:rsidRPr="002A68D1">
        <w:rPr>
          <w:lang w:val="en-US"/>
        </w:rPr>
        <w:tab/>
      </w:r>
      <w:r>
        <w:t xml:space="preserve">Transmitted by the expert from </w:t>
      </w:r>
      <w:r>
        <w:rPr>
          <w:lang w:val="en-US"/>
        </w:rPr>
        <w:t>Germany</w:t>
      </w:r>
    </w:p>
    <w:p w:rsidR="009162CE" w:rsidRDefault="009162CE" w:rsidP="009162CE">
      <w:pPr>
        <w:pStyle w:val="HChG"/>
      </w:pPr>
      <w:r>
        <w:tab/>
      </w:r>
      <w:r>
        <w:tab/>
        <w:t>Introduction</w:t>
      </w:r>
    </w:p>
    <w:p w:rsidR="009162CE" w:rsidRDefault="009162CE" w:rsidP="009162CE">
      <w:pPr>
        <w:pStyle w:val="SingleTxtG"/>
        <w:rPr>
          <w:lang w:val="en-US"/>
        </w:rPr>
      </w:pPr>
      <w:r w:rsidRPr="002A68D1">
        <w:rPr>
          <w:lang w:val="en-US"/>
        </w:rPr>
        <w:t>1.</w:t>
      </w:r>
      <w:r w:rsidRPr="002A68D1">
        <w:rPr>
          <w:lang w:val="en-US"/>
        </w:rPr>
        <w:tab/>
      </w:r>
      <w:r>
        <w:rPr>
          <w:lang w:val="en-US"/>
        </w:rPr>
        <w:t xml:space="preserve">The expert from Germany supports the proposals in document </w:t>
      </w:r>
      <w:r w:rsidRPr="002A68D1">
        <w:rPr>
          <w:lang w:val="en-US"/>
        </w:rPr>
        <w:t>ST/SG/AC.10/C.3/2015/48</w:t>
      </w:r>
      <w:r>
        <w:rPr>
          <w:lang w:val="en-US"/>
        </w:rPr>
        <w:t xml:space="preserve"> and is in </w:t>
      </w:r>
      <w:proofErr w:type="spellStart"/>
      <w:r>
        <w:rPr>
          <w:lang w:val="en-US"/>
        </w:rPr>
        <w:t>favour</w:t>
      </w:r>
      <w:proofErr w:type="spellEnd"/>
      <w:r>
        <w:rPr>
          <w:lang w:val="en-US"/>
        </w:rPr>
        <w:t xml:space="preserve"> of adopting amendments to the provisions for </w:t>
      </w:r>
      <w:proofErr w:type="spellStart"/>
      <w:r>
        <w:rPr>
          <w:lang w:val="en-US"/>
        </w:rPr>
        <w:t>packagings</w:t>
      </w:r>
      <w:proofErr w:type="spellEnd"/>
      <w:r>
        <w:rPr>
          <w:lang w:val="en-US"/>
        </w:rPr>
        <w:t xml:space="preserve"> for infectious wastes of Category A. The proposals were studied carefully with several experts and some issues were identified which could be further improved.</w:t>
      </w:r>
    </w:p>
    <w:p w:rsidR="009162CE" w:rsidRDefault="009162CE" w:rsidP="009162CE">
      <w:pPr>
        <w:pStyle w:val="Bullet1G"/>
        <w:rPr>
          <w:lang w:val="en-US"/>
        </w:rPr>
      </w:pPr>
      <w:r>
        <w:rPr>
          <w:lang w:val="en-US"/>
        </w:rPr>
        <w:t xml:space="preserve">In the proposed amendment to P 620 an editorial improvement should be included to make clear, that </w:t>
      </w:r>
      <w:r w:rsidRPr="00557BA5">
        <w:rPr>
          <w:lang w:val="en-US"/>
        </w:rPr>
        <w:t xml:space="preserve">receptacle </w:t>
      </w:r>
      <w:r>
        <w:rPr>
          <w:lang w:val="en-US"/>
        </w:rPr>
        <w:t>means the primary receptacle and packaging refers to the s</w:t>
      </w:r>
      <w:r w:rsidRPr="00557BA5">
        <w:rPr>
          <w:lang w:val="en-US"/>
        </w:rPr>
        <w:t>econdary packaging</w:t>
      </w:r>
      <w:r>
        <w:rPr>
          <w:lang w:val="en-US"/>
        </w:rPr>
        <w:t>.</w:t>
      </w:r>
    </w:p>
    <w:p w:rsidR="009162CE" w:rsidRDefault="009162CE" w:rsidP="009162CE">
      <w:pPr>
        <w:pStyle w:val="Bullet1G"/>
        <w:rPr>
          <w:lang w:val="en-US"/>
        </w:rPr>
      </w:pPr>
      <w:r>
        <w:rPr>
          <w:lang w:val="en-US"/>
        </w:rPr>
        <w:t xml:space="preserve">It should be clarified which kind of waste the packaging is intended for. This definition should be adapted to the actual need for such transports. It is a packaging for solid wastes. However, this might also include adsorbed liquids on solid materials and even smaller receptacles containing liquids. In case of serious disease outbreaks, like Ebola, the handling for the waste should be not too complicated and the waste packaging should be allowed to be used also for articles with small amounts of liquids or residues of liquids, like sample tubes or injections. A complicate handling in hospitals and laboratories with different </w:t>
      </w:r>
      <w:proofErr w:type="spellStart"/>
      <w:r>
        <w:rPr>
          <w:lang w:val="en-US"/>
        </w:rPr>
        <w:t>packagings</w:t>
      </w:r>
      <w:proofErr w:type="spellEnd"/>
      <w:r>
        <w:rPr>
          <w:lang w:val="en-US"/>
        </w:rPr>
        <w:t xml:space="preserve"> for different type of waste should be avoided. </w:t>
      </w:r>
    </w:p>
    <w:p w:rsidR="009162CE" w:rsidRDefault="009162CE" w:rsidP="009162CE">
      <w:pPr>
        <w:pStyle w:val="Bullet1G"/>
        <w:rPr>
          <w:lang w:val="en-US"/>
        </w:rPr>
      </w:pPr>
      <w:r>
        <w:rPr>
          <w:lang w:val="en-US"/>
        </w:rPr>
        <w:t xml:space="preserve">It should be considered if the marking could be simplified. The maximum gross mass is </w:t>
      </w:r>
      <w:proofErr w:type="gramStart"/>
      <w:r>
        <w:rPr>
          <w:lang w:val="en-US"/>
        </w:rPr>
        <w:t>an important</w:t>
      </w:r>
      <w:proofErr w:type="gramEnd"/>
      <w:r>
        <w:rPr>
          <w:lang w:val="en-US"/>
        </w:rPr>
        <w:t xml:space="preserve"> information for standardized industrial procedures, but for medical staff using this packaging for waste it will usually be not possible to ascertain the actual mass. Consequentially it is proposed to mark the packages with the text “</w:t>
      </w:r>
      <w:r w:rsidRPr="00527D85">
        <w:rPr>
          <w:lang w:val="en-US"/>
        </w:rPr>
        <w:t>PACKAGING FOR SOLID WASTE ONLY”</w:t>
      </w:r>
      <w:r>
        <w:rPr>
          <w:lang w:val="en-US"/>
        </w:rPr>
        <w:t xml:space="preserve"> </w:t>
      </w:r>
      <w:r w:rsidRPr="00527D85">
        <w:rPr>
          <w:lang w:val="en-US"/>
        </w:rPr>
        <w:t xml:space="preserve">If the subcommittee prefers to follow the Norwegian proposal for a marking it should consider to include an additional requirement in 6.3.4.2 (d) </w:t>
      </w:r>
      <w:r>
        <w:rPr>
          <w:lang w:val="en-US"/>
        </w:rPr>
        <w:t xml:space="preserve">to use the letter </w:t>
      </w:r>
      <w:r w:rsidRPr="00527D85">
        <w:rPr>
          <w:lang w:val="en-US"/>
        </w:rPr>
        <w:t>“S” indicating that the packaging is intended to contain solid wastes</w:t>
      </w:r>
      <w:r>
        <w:rPr>
          <w:lang w:val="en-US"/>
        </w:rPr>
        <w:t xml:space="preserve"> as follows: </w:t>
      </w:r>
    </w:p>
    <w:p w:rsidR="009162CE" w:rsidRDefault="009162CE">
      <w:pPr>
        <w:suppressAutoHyphens w:val="0"/>
        <w:spacing w:line="240" w:lineRule="auto"/>
        <w:rPr>
          <w:b/>
          <w:sz w:val="28"/>
        </w:rPr>
      </w:pPr>
      <w:r>
        <w:br w:type="page"/>
      </w:r>
    </w:p>
    <w:p w:rsidR="009162CE" w:rsidRDefault="009162CE" w:rsidP="009162CE">
      <w:pPr>
        <w:pStyle w:val="SingleTxtG"/>
        <w:ind w:left="2127"/>
        <w:rPr>
          <w:lang w:val="en-US"/>
        </w:rPr>
      </w:pPr>
      <w:r w:rsidRPr="00527D85">
        <w:rPr>
          <w:rFonts w:ascii="Arial" w:eastAsia="Calibri" w:hAnsi="Arial" w:cs="Arial"/>
          <w:i/>
          <w:noProof/>
          <w:sz w:val="22"/>
          <w:szCs w:val="22"/>
        </w:rPr>
        <w:lastRenderedPageBreak/>
        <w:drawing>
          <wp:anchor distT="0" distB="0" distL="114300" distR="114300" simplePos="0" relativeHeight="251659264" behindDoc="0" locked="0" layoutInCell="1" allowOverlap="1" wp14:anchorId="33E25D57" wp14:editId="0E23AACD">
            <wp:simplePos x="0" y="0"/>
            <wp:positionH relativeFrom="column">
              <wp:posOffset>600710</wp:posOffset>
            </wp:positionH>
            <wp:positionV relativeFrom="paragraph">
              <wp:posOffset>-37465</wp:posOffset>
            </wp:positionV>
            <wp:extent cx="527050" cy="571500"/>
            <wp:effectExtent l="0" t="0" r="635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7050" cy="571500"/>
                    </a:xfrm>
                    <a:prstGeom prst="rect">
                      <a:avLst/>
                    </a:prstGeom>
                    <a:noFill/>
                    <a:ln w="9525">
                      <a:noFill/>
                      <a:miter lim="800000"/>
                      <a:headEnd/>
                      <a:tailEnd/>
                    </a:ln>
                  </pic:spPr>
                </pic:pic>
              </a:graphicData>
            </a:graphic>
          </wp:anchor>
        </w:drawing>
      </w:r>
      <w:proofErr w:type="gramStart"/>
      <w:r w:rsidRPr="00527D85">
        <w:rPr>
          <w:lang w:val="en-US"/>
        </w:rPr>
        <w:t>4G/CLASS 6.2/15/S/06</w:t>
      </w:r>
      <w:proofErr w:type="gramEnd"/>
      <w:r w:rsidRPr="00527D85">
        <w:rPr>
          <w:lang w:val="en-US"/>
        </w:rPr>
        <w:tab/>
      </w:r>
      <w:r w:rsidRPr="00527D85">
        <w:rPr>
          <w:lang w:val="en-US"/>
        </w:rPr>
        <w:tab/>
      </w:r>
    </w:p>
    <w:p w:rsidR="009162CE" w:rsidRPr="00527D85" w:rsidRDefault="009162CE" w:rsidP="009162CE">
      <w:pPr>
        <w:pStyle w:val="SingleTxtG"/>
        <w:ind w:left="2127"/>
        <w:rPr>
          <w:lang w:val="en-US"/>
        </w:rPr>
      </w:pPr>
      <w:r w:rsidRPr="00527D85">
        <w:rPr>
          <w:lang w:val="en-US"/>
        </w:rPr>
        <w:t>S/SP-9989-ERIKSSON</w:t>
      </w:r>
      <w:r w:rsidRPr="00527D85">
        <w:rPr>
          <w:rFonts w:ascii="Arial" w:eastAsia="Calibri" w:hAnsi="Arial" w:cs="Arial"/>
          <w:i/>
          <w:noProof/>
          <w:sz w:val="22"/>
          <w:szCs w:val="22"/>
          <w:lang w:val="en-US" w:eastAsia="de-DE"/>
        </w:rPr>
        <w:t xml:space="preserve"> </w:t>
      </w:r>
    </w:p>
    <w:p w:rsidR="00D04930" w:rsidRDefault="00D04930" w:rsidP="009162CE">
      <w:pPr>
        <w:pStyle w:val="SingleTxtG"/>
      </w:pPr>
    </w:p>
    <w:p w:rsidR="009162CE" w:rsidRPr="00751052" w:rsidRDefault="009162CE" w:rsidP="009162CE">
      <w:pPr>
        <w:pStyle w:val="HChG"/>
      </w:pPr>
      <w:r>
        <w:tab/>
      </w:r>
      <w:r>
        <w:tab/>
      </w:r>
      <w:r w:rsidRPr="009162CE">
        <w:t>Proposal</w:t>
      </w:r>
    </w:p>
    <w:p w:rsidR="009162CE" w:rsidRDefault="009162CE" w:rsidP="009162CE">
      <w:pPr>
        <w:pStyle w:val="SingleTxtG"/>
        <w:rPr>
          <w:lang w:val="en-US"/>
        </w:rPr>
      </w:pPr>
      <w:r w:rsidRPr="002A68D1">
        <w:rPr>
          <w:lang w:val="en-US"/>
        </w:rPr>
        <w:t>2.</w:t>
      </w:r>
      <w:r w:rsidRPr="002A68D1">
        <w:rPr>
          <w:lang w:val="en-US"/>
        </w:rPr>
        <w:tab/>
      </w:r>
      <w:r>
        <w:rPr>
          <w:lang w:val="en-US"/>
        </w:rPr>
        <w:t xml:space="preserve">The following modifications of the Norwegian documents (printed in red and bold) are suggested: </w:t>
      </w:r>
    </w:p>
    <w:p w:rsidR="009162CE" w:rsidRPr="00527D85" w:rsidRDefault="009162CE" w:rsidP="009162CE">
      <w:pPr>
        <w:pStyle w:val="SingleTxtG"/>
        <w:ind w:firstLine="567"/>
      </w:pPr>
      <w:r w:rsidRPr="00527D85">
        <w:rPr>
          <w:lang w:val="en-US"/>
        </w:rPr>
        <w:t>P620:</w:t>
      </w:r>
    </w:p>
    <w:p w:rsidR="009162CE" w:rsidRPr="003814FC" w:rsidRDefault="009162CE" w:rsidP="009162CE">
      <w:pPr>
        <w:pStyle w:val="SingleTxtG"/>
        <w:ind w:left="1701"/>
        <w:rPr>
          <w:lang w:val="en-US"/>
        </w:rPr>
      </w:pPr>
      <w:r w:rsidRPr="00700620">
        <w:t xml:space="preserve">“3. Whatever the intended temperature of the consignment, the primary receptacle or the secondary packaging shall be capable of withstanding without leakage an internal pressure producing a pressure differential of not less than 95 </w:t>
      </w:r>
      <w:proofErr w:type="spellStart"/>
      <w:r w:rsidRPr="00700620">
        <w:t>kPa</w:t>
      </w:r>
      <w:proofErr w:type="spellEnd"/>
      <w:r w:rsidRPr="00700620">
        <w:rPr>
          <w:strike/>
        </w:rPr>
        <w:t xml:space="preserve"> and</w:t>
      </w:r>
      <w:r w:rsidRPr="00700620">
        <w:rPr>
          <w:u w:val="single"/>
        </w:rPr>
        <w:t xml:space="preserve">. This </w:t>
      </w:r>
      <w:r w:rsidRPr="00BF3989">
        <w:rPr>
          <w:b/>
          <w:color w:val="FF0000"/>
          <w:u w:val="single"/>
          <w:lang w:val="en-US"/>
        </w:rPr>
        <w:t>primary</w:t>
      </w:r>
      <w:r w:rsidRPr="00BF3989">
        <w:rPr>
          <w:b/>
          <w:u w:val="single"/>
          <w:lang w:val="en-US"/>
        </w:rPr>
        <w:t xml:space="preserve"> </w:t>
      </w:r>
      <w:r w:rsidRPr="00700620">
        <w:rPr>
          <w:u w:val="single"/>
        </w:rPr>
        <w:t>receptacle or</w:t>
      </w:r>
      <w:r w:rsidRPr="00BF3989">
        <w:rPr>
          <w:u w:val="single"/>
          <w:lang w:val="en-US"/>
        </w:rPr>
        <w:t xml:space="preserve"> </w:t>
      </w:r>
      <w:r w:rsidRPr="00BF3989">
        <w:rPr>
          <w:b/>
          <w:color w:val="FF0000"/>
          <w:u w:val="single"/>
          <w:lang w:val="en-US"/>
        </w:rPr>
        <w:t>secondary</w:t>
      </w:r>
      <w:r w:rsidRPr="00700620">
        <w:rPr>
          <w:u w:val="single"/>
        </w:rPr>
        <w:t xml:space="preserve"> packaging shall also be capable of withstanding</w:t>
      </w:r>
      <w:r w:rsidRPr="00700620">
        <w:t xml:space="preserve"> temperatures in the range -40 °C to +55 °C.” </w:t>
      </w:r>
    </w:p>
    <w:p w:rsidR="009162CE" w:rsidRDefault="009162CE" w:rsidP="009162CE">
      <w:pPr>
        <w:pStyle w:val="SingleTxtG"/>
      </w:pPr>
      <w:r>
        <w:rPr>
          <w:lang w:val="en-US"/>
        </w:rPr>
        <w:t xml:space="preserve">Definition of waste: </w:t>
      </w:r>
    </w:p>
    <w:p w:rsidR="009162CE" w:rsidRPr="003814FC" w:rsidRDefault="009162CE" w:rsidP="009162CE">
      <w:pPr>
        <w:pStyle w:val="SingleTxtG"/>
        <w:ind w:left="1701"/>
        <w:rPr>
          <w:lang w:val="en-US"/>
        </w:rPr>
      </w:pPr>
      <w:r w:rsidRPr="00900C9B">
        <w:t xml:space="preserve">“6.3.5.2.1 </w:t>
      </w:r>
      <w:r w:rsidRPr="00900C9B">
        <w:tab/>
        <w:t xml:space="preserve">Samples of each packaging shall be prepared as for transport except that a liquid or solid infectious substance shall be replaced by water or, where conditioning at -18 °C is specified, by water/antifreeze. Each primary receptacle shall be filled to not less than 98 % of its capacity. </w:t>
      </w:r>
    </w:p>
    <w:p w:rsidR="009162CE" w:rsidRPr="003814FC" w:rsidRDefault="009162CE" w:rsidP="009162CE">
      <w:pPr>
        <w:pStyle w:val="SingleTxtG"/>
        <w:ind w:left="1701"/>
        <w:rPr>
          <w:u w:val="single"/>
          <w:lang w:val="en-US"/>
        </w:rPr>
      </w:pPr>
      <w:r w:rsidRPr="00900C9B">
        <w:rPr>
          <w:u w:val="single"/>
        </w:rPr>
        <w:t xml:space="preserve">For </w:t>
      </w:r>
      <w:proofErr w:type="spellStart"/>
      <w:r w:rsidRPr="00900C9B">
        <w:rPr>
          <w:u w:val="single"/>
        </w:rPr>
        <w:t>packagings</w:t>
      </w:r>
      <w:proofErr w:type="spellEnd"/>
      <w:r w:rsidRPr="00900C9B">
        <w:rPr>
          <w:u w:val="single"/>
        </w:rPr>
        <w:t xml:space="preserve"> intended to contain waste, the primary receptacles may alternatively be filled to the maximum gross mass in kilogram</w:t>
      </w:r>
      <w:r>
        <w:rPr>
          <w:u w:val="single"/>
        </w:rPr>
        <w:t xml:space="preserve">s </w:t>
      </w:r>
      <w:r w:rsidRPr="00900C9B">
        <w:rPr>
          <w:u w:val="single"/>
        </w:rPr>
        <w:t>at which they may be used.</w:t>
      </w:r>
    </w:p>
    <w:p w:rsidR="009162CE" w:rsidRPr="00106996" w:rsidRDefault="009162CE" w:rsidP="009162CE">
      <w:pPr>
        <w:pStyle w:val="SingleTxtG"/>
        <w:ind w:left="1701"/>
        <w:rPr>
          <w:color w:val="FF0000"/>
          <w:lang w:val="en-US"/>
        </w:rPr>
      </w:pPr>
      <w:r w:rsidRPr="00106996">
        <w:rPr>
          <w:b/>
          <w:color w:val="FF0000"/>
          <w:lang w:val="en-US"/>
        </w:rPr>
        <w:t>For the purpose of this paragraph „waste</w:t>
      </w:r>
      <w:proofErr w:type="gramStart"/>
      <w:r w:rsidRPr="00106996">
        <w:rPr>
          <w:b/>
          <w:color w:val="FF0000"/>
          <w:lang w:val="en-US"/>
        </w:rPr>
        <w:t>“</w:t>
      </w:r>
      <w:r>
        <w:rPr>
          <w:b/>
          <w:color w:val="FF0000"/>
          <w:lang w:val="en-US"/>
        </w:rPr>
        <w:t xml:space="preserve"> means</w:t>
      </w:r>
      <w:proofErr w:type="gramEnd"/>
      <w:r w:rsidRPr="00106996">
        <w:rPr>
          <w:b/>
          <w:color w:val="FF0000"/>
          <w:lang w:val="en-US"/>
        </w:rPr>
        <w:t xml:space="preserve"> solid waste</w:t>
      </w:r>
      <w:r>
        <w:rPr>
          <w:b/>
          <w:color w:val="FF0000"/>
          <w:lang w:val="en-US"/>
        </w:rPr>
        <w:t xml:space="preserve"> and mixtures of solid and liquid waste</w:t>
      </w:r>
      <w:r w:rsidRPr="00106996">
        <w:rPr>
          <w:b/>
          <w:color w:val="FF0000"/>
          <w:lang w:val="en-US"/>
        </w:rPr>
        <w:t>, provided that there is no free liquid visible at the time at the time the waste is loaded</w:t>
      </w:r>
      <w:r>
        <w:rPr>
          <w:color w:val="FF0000"/>
          <w:lang w:val="en-US"/>
        </w:rPr>
        <w:t xml:space="preserve">. </w:t>
      </w:r>
      <w:r w:rsidRPr="00364674">
        <w:rPr>
          <w:b/>
          <w:color w:val="FF0000"/>
          <w:lang w:val="en-US"/>
        </w:rPr>
        <w:t xml:space="preserve">Articles, containing liquids, with a maximum net quantity of [100 ml] [200ml] </w:t>
      </w:r>
      <w:r>
        <w:rPr>
          <w:b/>
          <w:color w:val="FF0000"/>
          <w:lang w:val="en-US"/>
        </w:rPr>
        <w:t xml:space="preserve">also </w:t>
      </w:r>
      <w:r w:rsidRPr="00364674">
        <w:rPr>
          <w:b/>
          <w:color w:val="FF0000"/>
          <w:lang w:val="en-US"/>
        </w:rPr>
        <w:t xml:space="preserve">maybe contained in the waste if the inner packaging contains sufficient absorbent material to absorb the entire amount of liquids. Examples of such articles are </w:t>
      </w:r>
      <w:r>
        <w:rPr>
          <w:b/>
          <w:color w:val="FF0000"/>
          <w:lang w:val="en-US"/>
        </w:rPr>
        <w:t xml:space="preserve">sample </w:t>
      </w:r>
      <w:r w:rsidRPr="00364674">
        <w:rPr>
          <w:b/>
          <w:color w:val="FF0000"/>
          <w:lang w:val="en-US"/>
        </w:rPr>
        <w:t xml:space="preserve">tubes, injections or </w:t>
      </w:r>
      <w:r>
        <w:rPr>
          <w:b/>
          <w:color w:val="FF0000"/>
          <w:lang w:val="en-US"/>
        </w:rPr>
        <w:t xml:space="preserve">small </w:t>
      </w:r>
      <w:r w:rsidRPr="00364674">
        <w:rPr>
          <w:b/>
          <w:color w:val="FF0000"/>
          <w:lang w:val="en-US"/>
        </w:rPr>
        <w:t>bottles</w:t>
      </w:r>
      <w:r>
        <w:rPr>
          <w:b/>
          <w:color w:val="FF0000"/>
          <w:lang w:val="en-US"/>
        </w:rPr>
        <w:t>.</w:t>
      </w:r>
    </w:p>
    <w:p w:rsidR="009162CE" w:rsidRDefault="009162CE" w:rsidP="009162CE">
      <w:pPr>
        <w:pStyle w:val="SingleTxtG"/>
      </w:pPr>
      <w:r>
        <w:rPr>
          <w:lang w:val="en-US"/>
        </w:rPr>
        <w:t>Marking:</w:t>
      </w:r>
    </w:p>
    <w:p w:rsidR="009162CE" w:rsidRPr="00F90DEB" w:rsidRDefault="009162CE" w:rsidP="009162CE">
      <w:pPr>
        <w:pStyle w:val="SingleTxtG"/>
        <w:ind w:left="1701"/>
        <w:rPr>
          <w:strike/>
        </w:rPr>
      </w:pPr>
      <w:r w:rsidRPr="00F90DEB">
        <w:rPr>
          <w:strike/>
          <w:lang w:val="en-US"/>
        </w:rPr>
        <w:t>(</w:t>
      </w:r>
      <w:r w:rsidRPr="00F90DEB">
        <w:rPr>
          <w:strike/>
        </w:rPr>
        <w:t>a)</w:t>
      </w:r>
      <w:r w:rsidRPr="00F90DEB">
        <w:rPr>
          <w:strike/>
        </w:rPr>
        <w:tab/>
        <w:t>Insert a new paragraph, so that the new 6.3.4.2 (d) would read as follows:</w:t>
      </w:r>
    </w:p>
    <w:p w:rsidR="009162CE" w:rsidRPr="00F90DEB" w:rsidRDefault="009162CE" w:rsidP="009162CE">
      <w:pPr>
        <w:pStyle w:val="SingleTxtG"/>
        <w:ind w:left="2268"/>
        <w:rPr>
          <w:strike/>
        </w:rPr>
      </w:pPr>
      <w:r w:rsidRPr="00F90DEB">
        <w:rPr>
          <w:strike/>
        </w:rPr>
        <w:t xml:space="preserve">(d) </w:t>
      </w:r>
      <w:r w:rsidRPr="00F90DEB">
        <w:rPr>
          <w:strike/>
          <w:lang w:val="en-US"/>
        </w:rPr>
        <w:tab/>
      </w:r>
      <w:r w:rsidRPr="00F90DEB">
        <w:rPr>
          <w:strike/>
        </w:rPr>
        <w:t xml:space="preserve">For </w:t>
      </w:r>
      <w:proofErr w:type="spellStart"/>
      <w:r w:rsidRPr="00F90DEB">
        <w:rPr>
          <w:strike/>
        </w:rPr>
        <w:t>packagings</w:t>
      </w:r>
      <w:proofErr w:type="spellEnd"/>
      <w:r w:rsidRPr="00F90DEB">
        <w:rPr>
          <w:strike/>
        </w:rPr>
        <w:t xml:space="preserve"> intended to contain waste, the maximum gross mass in kilograms; this may be omitted when each primary receptacle has been tested with water or water/antifreeze to not less than 98% of its capacity;</w:t>
      </w:r>
    </w:p>
    <w:p w:rsidR="009162CE" w:rsidRPr="00F90DEB" w:rsidRDefault="009162CE" w:rsidP="009162CE">
      <w:pPr>
        <w:pStyle w:val="SingleTxtG"/>
        <w:ind w:left="1701"/>
        <w:rPr>
          <w:strike/>
        </w:rPr>
      </w:pPr>
      <w:r w:rsidRPr="00F90DEB">
        <w:rPr>
          <w:strike/>
          <w:lang w:val="en-US"/>
        </w:rPr>
        <w:t>(b)</w:t>
      </w:r>
      <w:r w:rsidRPr="00F90DEB">
        <w:rPr>
          <w:strike/>
          <w:lang w:val="en-US"/>
        </w:rPr>
        <w:tab/>
      </w:r>
      <w:r w:rsidRPr="00F90DEB">
        <w:rPr>
          <w:strike/>
        </w:rPr>
        <w:t xml:space="preserve">The remaining entries of the list in 6.3.4.2 would change from (d) – (g) to </w:t>
      </w:r>
      <w:r w:rsidRPr="00F90DEB">
        <w:rPr>
          <w:strike/>
          <w:lang w:val="en-US"/>
        </w:rPr>
        <w:tab/>
      </w:r>
      <w:r w:rsidRPr="00F90DEB">
        <w:rPr>
          <w:strike/>
        </w:rPr>
        <w:t>(e)</w:t>
      </w:r>
      <w:r w:rsidRPr="00F90DEB">
        <w:rPr>
          <w:strike/>
          <w:lang w:val="en-US"/>
        </w:rPr>
        <w:t> </w:t>
      </w:r>
      <w:r w:rsidRPr="00F90DEB">
        <w:rPr>
          <w:strike/>
        </w:rPr>
        <w:t>– (h) respectively.</w:t>
      </w:r>
    </w:p>
    <w:p w:rsidR="009162CE" w:rsidRPr="00F90DEB" w:rsidRDefault="009162CE" w:rsidP="009162CE">
      <w:pPr>
        <w:pStyle w:val="SingleTxtG"/>
        <w:ind w:firstLine="567"/>
        <w:rPr>
          <w:strike/>
        </w:rPr>
      </w:pPr>
      <w:r w:rsidRPr="00F90DEB">
        <w:rPr>
          <w:strike/>
          <w:lang w:val="en-US"/>
        </w:rPr>
        <w:t>(c)</w:t>
      </w:r>
      <w:r w:rsidRPr="00F90DEB">
        <w:rPr>
          <w:strike/>
          <w:lang w:val="en-US"/>
        </w:rPr>
        <w:tab/>
      </w:r>
      <w:r w:rsidRPr="00F90DEB">
        <w:rPr>
          <w:strike/>
        </w:rPr>
        <w:t xml:space="preserve">In subsection 6.3.4.3, </w:t>
      </w:r>
      <w:r w:rsidRPr="00F90DEB">
        <w:rPr>
          <w:i/>
          <w:strike/>
        </w:rPr>
        <w:t>delete</w:t>
      </w:r>
      <w:r w:rsidRPr="00F90DEB">
        <w:rPr>
          <w:strike/>
        </w:rPr>
        <w:t xml:space="preserve"> 6.3.4.2 (a) to (g); </w:t>
      </w:r>
      <w:r w:rsidRPr="00F90DEB">
        <w:rPr>
          <w:i/>
          <w:strike/>
        </w:rPr>
        <w:t xml:space="preserve">add </w:t>
      </w:r>
      <w:r w:rsidRPr="00F90DEB">
        <w:rPr>
          <w:strike/>
        </w:rPr>
        <w:t>6.3.4.2 (a) to (h);</w:t>
      </w:r>
    </w:p>
    <w:p w:rsidR="009162CE" w:rsidRPr="00F90DEB" w:rsidRDefault="009162CE" w:rsidP="009162CE">
      <w:pPr>
        <w:pStyle w:val="SingleTxtG"/>
        <w:spacing w:after="0"/>
        <w:ind w:firstLine="567"/>
        <w:rPr>
          <w:strike/>
        </w:rPr>
      </w:pPr>
      <w:r w:rsidRPr="00F90DEB">
        <w:rPr>
          <w:strike/>
          <w:lang w:val="en-US"/>
        </w:rPr>
        <w:t>(d)</w:t>
      </w:r>
      <w:r w:rsidRPr="00F90DEB">
        <w:rPr>
          <w:strike/>
          <w:lang w:val="en-US"/>
        </w:rPr>
        <w:tab/>
      </w:r>
      <w:r w:rsidRPr="00F90DEB">
        <w:rPr>
          <w:strike/>
        </w:rPr>
        <w:t xml:space="preserve">Subsection 6.3.4.4 including a new example of marking would read as </w:t>
      </w:r>
      <w:r w:rsidRPr="00F90DEB">
        <w:rPr>
          <w:strike/>
          <w:lang w:val="en-US"/>
        </w:rPr>
        <w:tab/>
      </w:r>
      <w:r w:rsidRPr="00F90DEB">
        <w:rPr>
          <w:strike/>
          <w:lang w:val="en-US"/>
        </w:rPr>
        <w:tab/>
      </w:r>
      <w:r w:rsidRPr="00F90DEB">
        <w:rPr>
          <w:strike/>
        </w:rPr>
        <w:t>follows:</w:t>
      </w:r>
    </w:p>
    <w:p w:rsidR="009162CE" w:rsidRPr="00F90DEB" w:rsidRDefault="009162CE" w:rsidP="009162CE">
      <w:pPr>
        <w:pStyle w:val="H23G"/>
        <w:spacing w:before="120"/>
        <w:rPr>
          <w:strike/>
        </w:rPr>
      </w:pPr>
      <w:r w:rsidRPr="00F90DEB">
        <w:rPr>
          <w:strike/>
        </w:rPr>
        <w:tab/>
      </w:r>
      <w:r w:rsidRPr="00F90DEB">
        <w:rPr>
          <w:strike/>
        </w:rPr>
        <w:tab/>
        <w:t>6.3.4.4 Examples of marking</w:t>
      </w:r>
    </w:p>
    <w:p w:rsidR="00201FDF" w:rsidRPr="00F90DEB" w:rsidRDefault="00201FDF" w:rsidP="00201FDF">
      <w:pPr>
        <w:pStyle w:val="ListParagraph"/>
        <w:ind w:firstLine="210"/>
        <w:rPr>
          <w:strike/>
        </w:rPr>
      </w:pPr>
      <w:r w:rsidRPr="00F90DEB">
        <w:rPr>
          <w:rFonts w:ascii="Arial" w:hAnsi="Arial" w:cs="Arial"/>
          <w:strike/>
          <w:noProof/>
          <w:color w:val="0000FF"/>
          <w:sz w:val="27"/>
          <w:szCs w:val="27"/>
        </w:rPr>
        <w:drawing>
          <wp:anchor distT="0" distB="0" distL="114300" distR="114300" simplePos="0" relativeHeight="251662336" behindDoc="1" locked="0" layoutInCell="1" allowOverlap="1" wp14:anchorId="4D1D2D79" wp14:editId="73666008">
            <wp:simplePos x="0" y="0"/>
            <wp:positionH relativeFrom="column">
              <wp:posOffset>650875</wp:posOffset>
            </wp:positionH>
            <wp:positionV relativeFrom="paragraph">
              <wp:posOffset>3175</wp:posOffset>
            </wp:positionV>
            <wp:extent cx="300990" cy="300990"/>
            <wp:effectExtent l="0" t="0" r="0" b="0"/>
            <wp:wrapSquare wrapText="bothSides"/>
            <wp:docPr id="3" name="Bilde 2" descr="https://encrypted-tbn1.gstatic.com/images?q=tbn:ANd9GcQXZBBeyn7zDkNgp-3BORFMSdkjFTDBIlK5hmN2iZTQs3WAP1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DEB">
        <w:rPr>
          <w:strike/>
        </w:rPr>
        <w:t>4G/CLASS 6.2/06</w:t>
      </w:r>
      <w:r w:rsidRPr="00F90DEB">
        <w:rPr>
          <w:strike/>
        </w:rPr>
        <w:tab/>
      </w:r>
      <w:r w:rsidRPr="00F90DEB">
        <w:rPr>
          <w:strike/>
        </w:rPr>
        <w:tab/>
      </w:r>
      <w:r w:rsidRPr="00F90DEB">
        <w:rPr>
          <w:strike/>
        </w:rPr>
        <w:tab/>
        <w:t>as in 6.3.4.2 (a), (b), (c) and (e)</w:t>
      </w:r>
    </w:p>
    <w:p w:rsidR="00201FDF" w:rsidRPr="00F90DEB" w:rsidRDefault="00201FDF" w:rsidP="00201FDF">
      <w:pPr>
        <w:pStyle w:val="ListParagraph"/>
        <w:tabs>
          <w:tab w:val="left" w:pos="1701"/>
        </w:tabs>
        <w:ind w:firstLine="210"/>
        <w:rPr>
          <w:strike/>
        </w:rPr>
      </w:pPr>
      <w:r w:rsidRPr="00F90DEB">
        <w:rPr>
          <w:strike/>
        </w:rPr>
        <w:t>S/SP-9989-ERIKSSON</w:t>
      </w:r>
      <w:r w:rsidRPr="00F90DEB">
        <w:rPr>
          <w:strike/>
        </w:rPr>
        <w:tab/>
      </w:r>
      <w:r w:rsidRPr="00F90DEB">
        <w:rPr>
          <w:strike/>
        </w:rPr>
        <w:tab/>
        <w:t>as in 6.3.4.2 (f) and (g)</w:t>
      </w:r>
    </w:p>
    <w:p w:rsidR="00201FDF" w:rsidRPr="00F90DEB" w:rsidRDefault="00201FDF" w:rsidP="00201FDF">
      <w:pPr>
        <w:pStyle w:val="ListParagraph"/>
        <w:rPr>
          <w:strike/>
        </w:rPr>
      </w:pPr>
      <w:r w:rsidRPr="00F90DEB">
        <w:rPr>
          <w:rFonts w:ascii="Arial" w:hAnsi="Arial" w:cs="Arial"/>
          <w:strike/>
          <w:noProof/>
          <w:color w:val="0000FF"/>
          <w:sz w:val="27"/>
          <w:szCs w:val="27"/>
        </w:rPr>
        <w:drawing>
          <wp:anchor distT="0" distB="0" distL="114300" distR="114300" simplePos="0" relativeHeight="251661312" behindDoc="1" locked="0" layoutInCell="1" allowOverlap="1" wp14:anchorId="476BB59C" wp14:editId="0A22F0BA">
            <wp:simplePos x="0" y="0"/>
            <wp:positionH relativeFrom="column">
              <wp:posOffset>650875</wp:posOffset>
            </wp:positionH>
            <wp:positionV relativeFrom="paragraph">
              <wp:posOffset>163830</wp:posOffset>
            </wp:positionV>
            <wp:extent cx="300990" cy="300990"/>
            <wp:effectExtent l="0" t="0" r="0" b="0"/>
            <wp:wrapSquare wrapText="bothSides"/>
            <wp:docPr id="4" name="Bilde 1" descr="https://encrypted-tbn1.gstatic.com/images?q=tbn:ANd9GcQXZBBeyn7zDkNgp-3BORFMSdkjFTDBIlK5hmN2iZTQs3WAP1B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FDF" w:rsidRPr="00F90DEB" w:rsidRDefault="00201FDF" w:rsidP="00201FDF">
      <w:pPr>
        <w:pStyle w:val="ListParagraph"/>
        <w:ind w:firstLine="210"/>
        <w:rPr>
          <w:strike/>
        </w:rPr>
      </w:pPr>
      <w:r w:rsidRPr="00F90DEB">
        <w:rPr>
          <w:strike/>
        </w:rPr>
        <w:t>4G/CLASS 6.2/15/06</w:t>
      </w:r>
      <w:r w:rsidRPr="00F90DEB">
        <w:rPr>
          <w:strike/>
        </w:rPr>
        <w:tab/>
      </w:r>
      <w:r w:rsidRPr="00F90DEB">
        <w:rPr>
          <w:strike/>
        </w:rPr>
        <w:tab/>
        <w:t>as in 6.3.4.2 (a), (b), (c), (d) and (e)</w:t>
      </w:r>
    </w:p>
    <w:p w:rsidR="00201FDF" w:rsidRPr="00F90DEB" w:rsidRDefault="00201FDF" w:rsidP="00201FDF">
      <w:pPr>
        <w:pStyle w:val="ListParagraph"/>
        <w:spacing w:line="360" w:lineRule="auto"/>
        <w:ind w:firstLine="210"/>
        <w:rPr>
          <w:strike/>
        </w:rPr>
      </w:pPr>
      <w:r w:rsidRPr="00F90DEB">
        <w:rPr>
          <w:strike/>
        </w:rPr>
        <w:t>S/SP-9989-ERIKSSON</w:t>
      </w:r>
      <w:r w:rsidRPr="00F90DEB">
        <w:rPr>
          <w:strike/>
        </w:rPr>
        <w:tab/>
      </w:r>
      <w:r w:rsidRPr="00F90DEB">
        <w:rPr>
          <w:strike/>
        </w:rPr>
        <w:tab/>
        <w:t>as in 6.3.4.2 (f) and (g)</w:t>
      </w:r>
    </w:p>
    <w:p w:rsidR="00201FDF" w:rsidRPr="00F90DEB" w:rsidRDefault="00201FDF" w:rsidP="00201FDF">
      <w:pPr>
        <w:pStyle w:val="SingleTxtG"/>
        <w:spacing w:before="120"/>
        <w:ind w:left="2268" w:hanging="567"/>
        <w:rPr>
          <w:strike/>
          <w:lang w:val="en-US"/>
        </w:rPr>
      </w:pPr>
      <w:r w:rsidRPr="002A68D1">
        <w:rPr>
          <w:lang w:val="en-US"/>
        </w:rPr>
        <w:lastRenderedPageBreak/>
        <w:t>(e)</w:t>
      </w:r>
      <w:r w:rsidRPr="002A68D1">
        <w:rPr>
          <w:lang w:val="en-US"/>
        </w:rPr>
        <w:tab/>
      </w:r>
      <w:r w:rsidRPr="00F90DEB">
        <w:rPr>
          <w:strike/>
        </w:rPr>
        <w:t>6.3.5.1.6 g) would have the following amendment: "In addition to the marks prescribed in 6.3.4.2 (a) to (f</w:t>
      </w:r>
      <w:proofErr w:type="gramStart"/>
      <w:r w:rsidRPr="00F90DEB">
        <w:rPr>
          <w:strike/>
        </w:rPr>
        <w:t>)</w:t>
      </w:r>
      <w:r w:rsidRPr="00F90DEB">
        <w:rPr>
          <w:strike/>
          <w:u w:val="single"/>
        </w:rPr>
        <w:t>(</w:t>
      </w:r>
      <w:proofErr w:type="gramEnd"/>
      <w:r w:rsidRPr="00F90DEB">
        <w:rPr>
          <w:strike/>
          <w:u w:val="single"/>
        </w:rPr>
        <w:t>g)</w:t>
      </w:r>
      <w:r w:rsidRPr="00F90DEB">
        <w:rPr>
          <w:strike/>
        </w:rPr>
        <w:t xml:space="preserve">, </w:t>
      </w:r>
      <w:proofErr w:type="spellStart"/>
      <w:r w:rsidRPr="00F90DEB">
        <w:rPr>
          <w:strike/>
        </w:rPr>
        <w:t>packagings</w:t>
      </w:r>
      <w:proofErr w:type="spellEnd"/>
      <w:r w:rsidRPr="00F90DEB">
        <w:rPr>
          <w:strike/>
        </w:rPr>
        <w:t xml:space="preserve"> shall be marked in accordance with 6.3.4.2 (g)</w:t>
      </w:r>
      <w:r w:rsidRPr="00F90DEB">
        <w:rPr>
          <w:strike/>
          <w:u w:val="single"/>
        </w:rPr>
        <w:t>(h)</w:t>
      </w:r>
      <w:r w:rsidRPr="00F90DEB">
        <w:rPr>
          <w:strike/>
        </w:rPr>
        <w:t>."</w:t>
      </w:r>
    </w:p>
    <w:p w:rsidR="00201FDF" w:rsidRPr="00F90DEB" w:rsidRDefault="00201FDF" w:rsidP="00201FDF">
      <w:pPr>
        <w:pStyle w:val="SingleTxtG"/>
        <w:spacing w:before="120"/>
        <w:ind w:left="2268" w:hanging="567"/>
        <w:rPr>
          <w:b/>
          <w:color w:val="FF0000"/>
          <w:lang w:val="en-US"/>
        </w:rPr>
      </w:pPr>
      <w:r w:rsidRPr="00F90DEB">
        <w:rPr>
          <w:b/>
          <w:color w:val="FF0000"/>
          <w:lang w:val="en-US"/>
        </w:rPr>
        <w:t>6.3.4.2 Add a new sub-</w:t>
      </w:r>
      <w:proofErr w:type="gramStart"/>
      <w:r w:rsidRPr="00F90DEB">
        <w:rPr>
          <w:b/>
          <w:color w:val="FF0000"/>
          <w:lang w:val="en-US"/>
        </w:rPr>
        <w:t>paragraph  (</w:t>
      </w:r>
      <w:proofErr w:type="gramEnd"/>
      <w:r w:rsidRPr="00F90DEB">
        <w:rPr>
          <w:b/>
          <w:color w:val="FF0000"/>
          <w:lang w:val="en-US"/>
        </w:rPr>
        <w:t>h) as follows:</w:t>
      </w:r>
    </w:p>
    <w:p w:rsidR="00201FDF" w:rsidRDefault="00201FDF" w:rsidP="00201FDF">
      <w:pPr>
        <w:pStyle w:val="SingleTxtG"/>
        <w:spacing w:before="120"/>
        <w:ind w:left="2268" w:hanging="567"/>
        <w:rPr>
          <w:b/>
          <w:color w:val="FF0000"/>
          <w:lang w:val="en-US"/>
        </w:rPr>
      </w:pPr>
      <w:r>
        <w:rPr>
          <w:b/>
          <w:color w:val="FF0000"/>
          <w:lang w:val="en-US"/>
        </w:rPr>
        <w:t xml:space="preserve">“(h) For </w:t>
      </w:r>
      <w:proofErr w:type="spellStart"/>
      <w:r>
        <w:rPr>
          <w:b/>
          <w:color w:val="FF0000"/>
          <w:lang w:val="en-US"/>
        </w:rPr>
        <w:t>packagings</w:t>
      </w:r>
      <w:proofErr w:type="spellEnd"/>
      <w:r>
        <w:rPr>
          <w:b/>
          <w:color w:val="FF0000"/>
          <w:lang w:val="en-US"/>
        </w:rPr>
        <w:t xml:space="preserve"> for waste meeting the requirements of </w:t>
      </w:r>
      <w:r w:rsidRPr="00DD0A52">
        <w:rPr>
          <w:b/>
          <w:color w:val="FF0000"/>
          <w:lang w:val="en-US"/>
        </w:rPr>
        <w:t>6.3.5.2.1</w:t>
      </w:r>
      <w:r>
        <w:rPr>
          <w:b/>
          <w:color w:val="FF0000"/>
          <w:lang w:val="en-US"/>
        </w:rPr>
        <w:t xml:space="preserve"> the text: “</w:t>
      </w:r>
      <w:r w:rsidRPr="00DD0A52">
        <w:rPr>
          <w:b/>
          <w:color w:val="FF0000"/>
          <w:lang w:val="en-US"/>
        </w:rPr>
        <w:t>PACKAGING FOR SOLID WASTE ONLY</w:t>
      </w:r>
      <w:r>
        <w:rPr>
          <w:b/>
          <w:color w:val="FF0000"/>
          <w:lang w:val="en-US"/>
        </w:rPr>
        <w:t>”</w:t>
      </w:r>
    </w:p>
    <w:p w:rsidR="00201FDF" w:rsidRDefault="00201FDF" w:rsidP="00201FDF">
      <w:pPr>
        <w:pStyle w:val="SingleTxtG"/>
        <w:spacing w:before="120"/>
        <w:ind w:left="2268" w:hanging="567"/>
        <w:rPr>
          <w:b/>
          <w:color w:val="FF0000"/>
          <w:lang w:val="en-US"/>
        </w:rPr>
      </w:pPr>
      <w:r>
        <w:rPr>
          <w:b/>
          <w:color w:val="FF0000"/>
          <w:lang w:val="en-US"/>
        </w:rPr>
        <w:t xml:space="preserve">6.3.4.3 Amend the beginning of the first sentence to read as follows: </w:t>
      </w:r>
    </w:p>
    <w:p w:rsidR="00201FDF" w:rsidRPr="00201FDF" w:rsidRDefault="00201FDF" w:rsidP="00201FDF">
      <w:pPr>
        <w:pStyle w:val="SingleTxtG"/>
        <w:spacing w:before="120"/>
        <w:ind w:left="2268" w:hanging="567"/>
        <w:rPr>
          <w:b/>
          <w:color w:val="FF0000"/>
          <w:lang w:val="en-US"/>
        </w:rPr>
      </w:pPr>
      <w:r>
        <w:rPr>
          <w:b/>
          <w:color w:val="FF0000"/>
          <w:lang w:val="en-US"/>
        </w:rPr>
        <w:t>“6.3.4.3 Marks shall be applied in the sequence shown in 6.3.4.2 (a) to (h);</w:t>
      </w:r>
      <w:r>
        <w:rPr>
          <w:b/>
          <w:color w:val="FF0000"/>
          <w:lang w:val="en-US"/>
        </w:rPr>
        <w:t xml:space="preserve"> ...”</w:t>
      </w:r>
    </w:p>
    <w:p w:rsidR="009162CE" w:rsidRPr="00201FDF" w:rsidRDefault="00201FDF" w:rsidP="00201FDF">
      <w:pPr>
        <w:pStyle w:val="SingleTxtG"/>
        <w:spacing w:before="240" w:after="0"/>
        <w:jc w:val="center"/>
        <w:rPr>
          <w:u w:val="single"/>
        </w:rPr>
      </w:pPr>
      <w:r>
        <w:rPr>
          <w:u w:val="single"/>
        </w:rPr>
        <w:tab/>
      </w:r>
      <w:r>
        <w:rPr>
          <w:u w:val="single"/>
        </w:rPr>
        <w:tab/>
      </w:r>
      <w:r>
        <w:rPr>
          <w:u w:val="single"/>
        </w:rPr>
        <w:tab/>
      </w:r>
      <w:bookmarkStart w:id="0" w:name="_GoBack"/>
      <w:bookmarkEnd w:id="0"/>
    </w:p>
    <w:p w:rsidR="009162CE" w:rsidRPr="009162CE" w:rsidRDefault="009162CE" w:rsidP="009162CE"/>
    <w:p w:rsidR="009162CE" w:rsidRDefault="009162CE" w:rsidP="009162CE"/>
    <w:p w:rsidR="009162CE" w:rsidRDefault="009162CE" w:rsidP="009162CE"/>
    <w:p w:rsidR="009162CE" w:rsidRDefault="009162CE" w:rsidP="009162CE"/>
    <w:p w:rsidR="009162CE" w:rsidRPr="009162CE" w:rsidRDefault="009162CE" w:rsidP="009162CE"/>
    <w:sectPr w:rsidR="009162CE" w:rsidRPr="009162CE" w:rsidSect="00B564B8">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7C7" w:rsidRDefault="00D407C7"/>
  </w:endnote>
  <w:endnote w:type="continuationSeparator" w:id="0">
    <w:p w:rsidR="00D407C7" w:rsidRDefault="00D407C7"/>
  </w:endnote>
  <w:endnote w:type="continuationNotice" w:id="1">
    <w:p w:rsidR="00D407C7" w:rsidRDefault="00D407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201FDF">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201FDF">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7C7" w:rsidRPr="000B175B" w:rsidRDefault="00D407C7" w:rsidP="000B175B">
      <w:pPr>
        <w:tabs>
          <w:tab w:val="right" w:pos="2155"/>
        </w:tabs>
        <w:spacing w:after="80"/>
        <w:ind w:left="680"/>
        <w:rPr>
          <w:u w:val="single"/>
        </w:rPr>
      </w:pPr>
      <w:r>
        <w:rPr>
          <w:u w:val="single"/>
        </w:rPr>
        <w:tab/>
      </w:r>
    </w:p>
  </w:footnote>
  <w:footnote w:type="continuationSeparator" w:id="0">
    <w:p w:rsidR="00D407C7" w:rsidRPr="00FC68B7" w:rsidRDefault="00D407C7" w:rsidP="00FC68B7">
      <w:pPr>
        <w:tabs>
          <w:tab w:val="left" w:pos="2155"/>
        </w:tabs>
        <w:spacing w:after="80"/>
        <w:ind w:left="680"/>
        <w:rPr>
          <w:u w:val="single"/>
        </w:rPr>
      </w:pPr>
      <w:r>
        <w:rPr>
          <w:u w:val="single"/>
        </w:rPr>
        <w:tab/>
      </w:r>
    </w:p>
  </w:footnote>
  <w:footnote w:type="continuationNotice" w:id="1">
    <w:p w:rsidR="00D407C7" w:rsidRDefault="00D407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9162CE">
    <w:pPr>
      <w:pStyle w:val="Header"/>
    </w:pPr>
    <w:r>
      <w:t>UN/SCETDG/48/INF.30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201FDF" w:rsidP="00C935A3">
    <w:pPr>
      <w:pStyle w:val="Header"/>
      <w:jc w:val="right"/>
    </w:pPr>
    <w:r>
      <w:t>UN/SCETDG/48/INF.30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4C9C37C4"/>
    <w:multiLevelType w:val="hybridMultilevel"/>
    <w:tmpl w:val="3F1EEDE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1"/>
  </w:num>
  <w:num w:numId="14">
    <w:abstractNumId w:val="33"/>
  </w:num>
  <w:num w:numId="15">
    <w:abstractNumId w:val="37"/>
  </w:num>
  <w:num w:numId="16">
    <w:abstractNumId w:val="12"/>
  </w:num>
  <w:num w:numId="17">
    <w:abstractNumId w:val="15"/>
  </w:num>
  <w:num w:numId="18">
    <w:abstractNumId w:val="32"/>
  </w:num>
  <w:num w:numId="19">
    <w:abstractNumId w:val="19"/>
  </w:num>
  <w:num w:numId="20">
    <w:abstractNumId w:val="23"/>
  </w:num>
  <w:num w:numId="21">
    <w:abstractNumId w:val="38"/>
  </w:num>
  <w:num w:numId="22">
    <w:abstractNumId w:val="25"/>
  </w:num>
  <w:num w:numId="23">
    <w:abstractNumId w:val="27"/>
  </w:num>
  <w:num w:numId="24">
    <w:abstractNumId w:val="34"/>
  </w:num>
  <w:num w:numId="25">
    <w:abstractNumId w:val="24"/>
  </w:num>
  <w:num w:numId="26">
    <w:abstractNumId w:val="17"/>
  </w:num>
  <w:num w:numId="27">
    <w:abstractNumId w:val="20"/>
  </w:num>
  <w:num w:numId="28">
    <w:abstractNumId w:val="36"/>
  </w:num>
  <w:num w:numId="29">
    <w:abstractNumId w:val="29"/>
  </w:num>
  <w:num w:numId="30">
    <w:abstractNumId w:val="13"/>
  </w:num>
  <w:num w:numId="31">
    <w:abstractNumId w:val="35"/>
  </w:num>
  <w:num w:numId="32">
    <w:abstractNumId w:val="10"/>
  </w:num>
  <w:num w:numId="33">
    <w:abstractNumId w:val="21"/>
  </w:num>
  <w:num w:numId="34">
    <w:abstractNumId w:val="22"/>
  </w:num>
  <w:num w:numId="35">
    <w:abstractNumId w:val="14"/>
  </w:num>
  <w:num w:numId="36">
    <w:abstractNumId w:val="30"/>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6"/>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1FDF"/>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62CE"/>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5DEC"/>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oogle.no/url?sa=i&amp;rct=j&amp;q=&amp;esrc=s&amp;source=images&amp;cd=&amp;cad=rja&amp;uact=8&amp;ved=&amp;url=http://products.tradeindia.com/business-services/packaging-printing-service/&amp;ei=qlWuVYewKefcywPNiICADg&amp;bvm=bv.98197061,d.bGQ&amp;psig=AFQjCNGyRffHv-MP9Vw29yJFh_IAECrqoQ&amp;ust=14375749552579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B7E0A-5B16-44B8-8EDB-56996F0D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777</Words>
  <Characters>4429</Characters>
  <Application>Microsoft Office Word</Application>
  <DocSecurity>0</DocSecurity>
  <Lines>36</Lines>
  <Paragraphs>10</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2015-11-23T13:04:00Z</cp:lastPrinted>
  <dcterms:created xsi:type="dcterms:W3CDTF">2015-11-23T12:50:00Z</dcterms:created>
  <dcterms:modified xsi:type="dcterms:W3CDTF">2015-11-23T13:04:00Z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