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1" w:rsidRPr="000C42C4" w:rsidRDefault="000C42C4" w:rsidP="00301611">
      <w:pPr>
        <w:pBdr>
          <w:bottom w:val="single" w:sz="6" w:space="4" w:color="000000"/>
        </w:pBdr>
        <w:spacing w:after="0" w:line="240" w:lineRule="auto"/>
        <w:jc w:val="both"/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</w:pP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</w:r>
      <w:r w:rsidRPr="000C42C4">
        <w:rPr>
          <w:rFonts w:eastAsia="Times New Roman" w:cs="Times New Roman"/>
          <w:b/>
          <w:color w:val="000000"/>
          <w:sz w:val="27"/>
          <w:szCs w:val="27"/>
          <w:lang w:val="fr-CH" w:eastAsia="ru-RU"/>
        </w:rPr>
        <w:tab/>
        <w:t>INF.14</w:t>
      </w: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2236"/>
        <w:gridCol w:w="3214"/>
        <w:gridCol w:w="2930"/>
      </w:tblGrid>
      <w:tr w:rsidR="00301611" w:rsidRPr="00AA1682" w:rsidTr="00F16118">
        <w:trPr>
          <w:trHeight w:val="851"/>
        </w:trPr>
        <w:tc>
          <w:tcPr>
            <w:tcW w:w="1259" w:type="dxa"/>
            <w:tcBorders>
              <w:bottom w:val="single" w:sz="6" w:space="0" w:color="000000"/>
            </w:tcBorders>
            <w:hideMark/>
          </w:tcPr>
          <w:p w:rsidR="00301611" w:rsidRPr="00AA1682" w:rsidRDefault="00301611" w:rsidP="00F16118">
            <w:pPr>
              <w:spacing w:after="80" w:line="3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68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6" w:type="dxa"/>
            <w:tcBorders>
              <w:bottom w:val="single" w:sz="6" w:space="0" w:color="000000"/>
            </w:tcBorders>
            <w:vAlign w:val="bottom"/>
            <w:hideMark/>
          </w:tcPr>
          <w:p w:rsidR="00301611" w:rsidRPr="00AA1682" w:rsidRDefault="001F2DC8" w:rsidP="001F2DC8">
            <w:pPr>
              <w:spacing w:after="80" w:line="3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 xml:space="preserve">Организация </w:t>
            </w:r>
            <w:r w:rsidR="00301611" w:rsidRPr="00AA1682">
              <w:rPr>
                <w:rFonts w:eastAsia="Times New Roman" w:cs="Times New Roman"/>
                <w:sz w:val="28"/>
                <w:lang w:eastAsia="ru-RU"/>
              </w:rPr>
              <w:t>Объединенны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х </w:t>
            </w:r>
            <w:r w:rsidR="00301611" w:rsidRPr="00AA1682">
              <w:rPr>
                <w:rFonts w:eastAsia="Times New Roman" w:cs="Times New Roman"/>
                <w:sz w:val="28"/>
                <w:lang w:eastAsia="ru-RU"/>
              </w:rPr>
              <w:t>Наци</w:t>
            </w:r>
            <w:r>
              <w:rPr>
                <w:rFonts w:eastAsia="Times New Roman" w:cs="Times New Roman"/>
                <w:sz w:val="28"/>
                <w:lang w:eastAsia="ru-RU"/>
              </w:rPr>
              <w:t>й</w:t>
            </w:r>
          </w:p>
        </w:tc>
        <w:tc>
          <w:tcPr>
            <w:tcW w:w="6144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301611" w:rsidRPr="00301611" w:rsidRDefault="00301611" w:rsidP="00301611">
            <w:pPr>
              <w:spacing w:after="20" w:line="40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40"/>
                <w:lang w:eastAsia="ru-RU"/>
              </w:rPr>
              <w:t xml:space="preserve">                                 </w:t>
            </w:r>
            <w:r w:rsidRPr="00AA1682">
              <w:rPr>
                <w:rFonts w:eastAsia="Times New Roman" w:cs="Times New Roman"/>
                <w:sz w:val="40"/>
                <w:lang w:eastAsia="ru-RU"/>
              </w:rPr>
              <w:t>ST</w:t>
            </w:r>
            <w:r>
              <w:rPr>
                <w:rFonts w:eastAsia="Times New Roman" w:cs="Times New Roman"/>
                <w:sz w:val="20"/>
                <w:lang w:eastAsia="ru-RU"/>
              </w:rPr>
              <w:t>/SG/AC.10/C.3/201</w:t>
            </w:r>
            <w:r w:rsidRPr="00AA1682">
              <w:rPr>
                <w:rFonts w:eastAsia="Times New Roman" w:cs="Times New Roman"/>
                <w:sz w:val="20"/>
                <w:lang w:eastAsia="ru-RU"/>
              </w:rPr>
              <w:t>5/</w:t>
            </w:r>
            <w:r>
              <w:rPr>
                <w:rFonts w:eastAsia="Times New Roman" w:cs="Times New Roman"/>
                <w:sz w:val="20"/>
                <w:lang w:eastAsia="ru-RU"/>
              </w:rPr>
              <w:t>XX</w:t>
            </w:r>
          </w:p>
        </w:tc>
      </w:tr>
      <w:tr w:rsidR="00301611" w:rsidRPr="00AA1682" w:rsidTr="00F16118">
        <w:trPr>
          <w:trHeight w:val="2835"/>
        </w:trPr>
        <w:tc>
          <w:tcPr>
            <w:tcW w:w="1259" w:type="dxa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301611" w:rsidRPr="00AA1682" w:rsidRDefault="007D3924" w:rsidP="00F16118">
            <w:pPr>
              <w:spacing w:before="120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716280" cy="609600"/>
                      <wp:effectExtent l="0" t="0" r="0" b="0"/>
                      <wp:docPr id="3" name="AutoShape 1" descr="_un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628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_unlogo" style="width:56.4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50" w:type="dxa"/>
            <w:gridSpan w:val="2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301611" w:rsidRPr="00AA1682" w:rsidRDefault="00301611" w:rsidP="00F16118">
            <w:pPr>
              <w:spacing w:before="120" w:after="0" w:line="42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682">
              <w:rPr>
                <w:rFonts w:eastAsia="Times New Roman" w:cs="Times New Roman"/>
                <w:b/>
                <w:bCs/>
                <w:sz w:val="40"/>
                <w:lang w:eastAsia="ru-RU"/>
              </w:rPr>
              <w:t>Секретариат</w:t>
            </w:r>
          </w:p>
        </w:tc>
        <w:tc>
          <w:tcPr>
            <w:tcW w:w="2930" w:type="dxa"/>
            <w:tcBorders>
              <w:top w:val="single" w:sz="6" w:space="0" w:color="000000"/>
              <w:bottom w:val="single" w:sz="12" w:space="0" w:color="000000"/>
            </w:tcBorders>
            <w:hideMark/>
          </w:tcPr>
          <w:p w:rsidR="00301611" w:rsidRPr="00AA1682" w:rsidRDefault="005F38F3" w:rsidP="00F16118">
            <w:pPr>
              <w:spacing w:before="240"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Distr</w:t>
            </w:r>
            <w:r w:rsidR="00301611" w:rsidRPr="00AA1682">
              <w:rPr>
                <w:rFonts w:eastAsia="Times New Roman" w:cs="Times New Roman"/>
                <w:sz w:val="20"/>
                <w:lang w:eastAsia="ru-RU"/>
              </w:rPr>
              <w:t>.: General</w:t>
            </w:r>
          </w:p>
          <w:p w:rsidR="00301611" w:rsidRPr="00AA1682" w:rsidRDefault="00301611" w:rsidP="00F16118">
            <w:pPr>
              <w:spacing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22</w:t>
            </w:r>
            <w:r w:rsidRPr="00AA1682"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lang w:eastAsia="ru-RU"/>
              </w:rPr>
              <w:t>сентября</w:t>
            </w:r>
            <w:r w:rsidRPr="00AA1682">
              <w:rPr>
                <w:rFonts w:eastAsia="Times New Roman" w:cs="Times New Roman"/>
                <w:sz w:val="20"/>
                <w:lang w:eastAsia="ru-RU"/>
              </w:rPr>
              <w:t xml:space="preserve"> 2015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 года</w:t>
            </w:r>
          </w:p>
          <w:p w:rsidR="00301611" w:rsidRPr="00AA1682" w:rsidRDefault="00301611" w:rsidP="00F16118">
            <w:pPr>
              <w:spacing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68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301611" w:rsidRPr="00AA1682" w:rsidRDefault="00301611" w:rsidP="00301611">
            <w:pPr>
              <w:spacing w:after="0" w:line="24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682">
              <w:rPr>
                <w:rFonts w:eastAsia="Times New Roman" w:cs="Times New Roman"/>
                <w:sz w:val="20"/>
                <w:lang w:eastAsia="ru-RU"/>
              </w:rPr>
              <w:t xml:space="preserve">Оригинал: </w:t>
            </w:r>
            <w:r w:rsidRPr="001F2DC8">
              <w:rPr>
                <w:rFonts w:eastAsia="Times New Roman" w:cs="Times New Roman"/>
                <w:sz w:val="20"/>
                <w:lang w:eastAsia="ru-RU"/>
              </w:rPr>
              <w:t>рус</w:t>
            </w:r>
            <w:r w:rsidRPr="00AA1682">
              <w:rPr>
                <w:rFonts w:eastAsia="Times New Roman" w:cs="Times New Roman"/>
                <w:sz w:val="20"/>
                <w:lang w:eastAsia="ru-RU"/>
              </w:rPr>
              <w:t>ский</w:t>
            </w:r>
          </w:p>
        </w:tc>
        <w:bookmarkStart w:id="0" w:name="_GoBack"/>
        <w:bookmarkEnd w:id="0"/>
      </w:tr>
    </w:tbl>
    <w:p w:rsidR="00301611" w:rsidRPr="00AA1682" w:rsidRDefault="00301611" w:rsidP="00301611">
      <w:pPr>
        <w:spacing w:before="120" w:after="120" w:line="24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A1682">
        <w:rPr>
          <w:rFonts w:eastAsia="Times New Roman" w:cs="Times New Roman"/>
          <w:b/>
          <w:bCs/>
          <w:color w:val="000000"/>
          <w:szCs w:val="24"/>
          <w:lang w:eastAsia="ru-RU"/>
        </w:rPr>
        <w:t>Комитет экспертов по перевозке опасных грузов</w:t>
      </w:r>
      <w:r w:rsidRPr="00AA1682">
        <w:rPr>
          <w:rFonts w:eastAsia="Times New Roman" w:cs="Times New Roman"/>
          <w:color w:val="000000"/>
          <w:sz w:val="27"/>
          <w:lang w:eastAsia="ru-RU"/>
        </w:rPr>
        <w:t> </w:t>
      </w:r>
      <w:r w:rsidRPr="00AA168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1682">
        <w:rPr>
          <w:rFonts w:eastAsia="Times New Roman" w:cs="Times New Roman"/>
          <w:b/>
          <w:bCs/>
          <w:color w:val="000000"/>
          <w:szCs w:val="24"/>
          <w:lang w:eastAsia="ru-RU"/>
        </w:rPr>
        <w:t>и на глобальном уровне системы классификации</w:t>
      </w:r>
      <w:r w:rsidRPr="00AA1682">
        <w:rPr>
          <w:rFonts w:eastAsia="Times New Roman" w:cs="Times New Roman"/>
          <w:color w:val="000000"/>
          <w:sz w:val="27"/>
          <w:lang w:eastAsia="ru-RU"/>
        </w:rPr>
        <w:t> </w:t>
      </w:r>
      <w:r w:rsidRPr="00AA168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1682">
        <w:rPr>
          <w:rFonts w:eastAsia="Times New Roman" w:cs="Times New Roman"/>
          <w:b/>
          <w:bCs/>
          <w:color w:val="000000"/>
          <w:szCs w:val="24"/>
          <w:lang w:eastAsia="ru-RU"/>
        </w:rPr>
        <w:t>и маркировки химических веществ</w:t>
      </w:r>
    </w:p>
    <w:p w:rsidR="00301611" w:rsidRPr="00AA1682" w:rsidRDefault="00301611" w:rsidP="00301611">
      <w:pPr>
        <w:spacing w:before="120" w:after="0" w:line="24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A1682">
        <w:rPr>
          <w:rFonts w:eastAsia="Times New Roman" w:cs="Times New Roman"/>
          <w:b/>
          <w:bCs/>
          <w:color w:val="000000"/>
          <w:sz w:val="20"/>
          <w:lang w:eastAsia="ru-RU"/>
        </w:rPr>
        <w:t>Подкомитет экспертов по перевозке опасных грузов</w:t>
      </w:r>
    </w:p>
    <w:p w:rsidR="00301611" w:rsidRPr="00AA1682" w:rsidRDefault="00301611" w:rsidP="00301611">
      <w:pPr>
        <w:spacing w:before="120" w:after="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0"/>
          <w:lang w:eastAsia="ru-RU"/>
        </w:rPr>
        <w:t>48</w:t>
      </w:r>
      <w:r w:rsidRPr="00AA1682">
        <w:rPr>
          <w:rFonts w:eastAsia="Times New Roman" w:cs="Times New Roman"/>
          <w:b/>
          <w:bCs/>
          <w:color w:val="000000"/>
          <w:sz w:val="20"/>
          <w:lang w:eastAsia="ru-RU"/>
        </w:rPr>
        <w:t xml:space="preserve"> сессия</w:t>
      </w:r>
    </w:p>
    <w:p w:rsidR="00301611" w:rsidRPr="00AA1682" w:rsidRDefault="00301611" w:rsidP="00301611">
      <w:pPr>
        <w:spacing w:after="0" w:line="240" w:lineRule="atLeast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A1682">
        <w:rPr>
          <w:rFonts w:eastAsia="Times New Roman" w:cs="Times New Roman"/>
          <w:color w:val="000000"/>
          <w:sz w:val="20"/>
          <w:lang w:eastAsia="ru-RU"/>
        </w:rPr>
        <w:t xml:space="preserve">Женева, </w:t>
      </w:r>
      <w:r>
        <w:rPr>
          <w:rFonts w:eastAsia="Times New Roman" w:cs="Times New Roman"/>
          <w:color w:val="000000"/>
          <w:sz w:val="20"/>
          <w:lang w:eastAsia="ru-RU"/>
        </w:rPr>
        <w:t>30 ноября</w:t>
      </w:r>
      <w:r w:rsidRPr="00AA1682">
        <w:rPr>
          <w:rFonts w:eastAsia="Times New Roman" w:cs="Times New Roman"/>
          <w:color w:val="000000"/>
          <w:sz w:val="20"/>
          <w:lang w:eastAsia="ru-RU"/>
        </w:rPr>
        <w:t xml:space="preserve"> - </w:t>
      </w:r>
      <w:r>
        <w:rPr>
          <w:rFonts w:eastAsia="Times New Roman" w:cs="Times New Roman"/>
          <w:color w:val="000000"/>
          <w:sz w:val="20"/>
          <w:lang w:eastAsia="ru-RU"/>
        </w:rPr>
        <w:t>9</w:t>
      </w:r>
      <w:r w:rsidRPr="00AA1682">
        <w:rPr>
          <w:rFonts w:eastAsia="Times New Roman" w:cs="Times New Roman"/>
          <w:color w:val="000000"/>
          <w:sz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0"/>
          <w:lang w:eastAsia="ru-RU"/>
        </w:rPr>
        <w:t>декабря</w:t>
      </w:r>
      <w:r w:rsidRPr="00AA1682">
        <w:rPr>
          <w:rFonts w:eastAsia="Times New Roman" w:cs="Times New Roman"/>
          <w:color w:val="000000"/>
          <w:sz w:val="20"/>
          <w:lang w:eastAsia="ru-RU"/>
        </w:rPr>
        <w:t xml:space="preserve"> 2015</w:t>
      </w:r>
      <w:r>
        <w:rPr>
          <w:rFonts w:eastAsia="Times New Roman" w:cs="Times New Roman"/>
          <w:color w:val="000000"/>
          <w:sz w:val="20"/>
          <w:lang w:eastAsia="ru-RU"/>
        </w:rPr>
        <w:t xml:space="preserve"> года</w:t>
      </w:r>
    </w:p>
    <w:p w:rsidR="00301611" w:rsidRPr="00AA1682" w:rsidRDefault="00301611" w:rsidP="00301611">
      <w:pPr>
        <w:spacing w:after="0" w:line="240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A1682">
        <w:rPr>
          <w:rFonts w:eastAsia="Times New Roman" w:cs="Times New Roman"/>
          <w:color w:val="000000"/>
          <w:sz w:val="20"/>
          <w:lang w:eastAsia="ru-RU"/>
        </w:rPr>
        <w:t xml:space="preserve">Пункт </w:t>
      </w:r>
      <w:r w:rsidR="005F38F3" w:rsidRPr="005F38F3">
        <w:rPr>
          <w:rFonts w:eastAsia="Times New Roman" w:cs="Times New Roman"/>
          <w:color w:val="000000"/>
          <w:sz w:val="20"/>
          <w:lang w:eastAsia="ru-RU"/>
        </w:rPr>
        <w:t>6</w:t>
      </w:r>
      <w:r w:rsidRPr="00AA1682">
        <w:rPr>
          <w:rFonts w:eastAsia="Times New Roman" w:cs="Times New Roman"/>
          <w:color w:val="000000"/>
          <w:sz w:val="20"/>
          <w:lang w:eastAsia="ru-RU"/>
        </w:rPr>
        <w:t xml:space="preserve"> (</w:t>
      </w:r>
      <w:r w:rsidR="005F38F3">
        <w:rPr>
          <w:rFonts w:eastAsia="Times New Roman" w:cs="Times New Roman"/>
          <w:color w:val="000000"/>
          <w:sz w:val="20"/>
          <w:lang w:val="en-US" w:eastAsia="ru-RU"/>
        </w:rPr>
        <w:t>c</w:t>
      </w:r>
      <w:r w:rsidRPr="00AA1682">
        <w:rPr>
          <w:rFonts w:eastAsia="Times New Roman" w:cs="Times New Roman"/>
          <w:color w:val="000000"/>
          <w:sz w:val="20"/>
          <w:lang w:eastAsia="ru-RU"/>
        </w:rPr>
        <w:t>) предварительной повестки дня</w:t>
      </w:r>
      <w:r w:rsidR="005F38F3">
        <w:rPr>
          <w:rFonts w:eastAsia="Times New Roman" w:cs="Times New Roman"/>
          <w:color w:val="000000"/>
          <w:sz w:val="20"/>
          <w:lang w:eastAsia="ru-RU"/>
        </w:rPr>
        <w:t>:</w:t>
      </w:r>
      <w:r w:rsidRPr="00AA1682">
        <w:rPr>
          <w:rFonts w:eastAsia="Times New Roman" w:cs="Times New Roman"/>
          <w:color w:val="000000"/>
          <w:sz w:val="27"/>
          <w:lang w:eastAsia="ru-RU"/>
        </w:rPr>
        <w:t> </w:t>
      </w:r>
      <w:r w:rsidRPr="00AA168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5F38F3">
        <w:rPr>
          <w:rFonts w:eastAsia="Times New Roman" w:cs="Times New Roman"/>
          <w:b/>
          <w:bCs/>
          <w:color w:val="000000"/>
          <w:sz w:val="20"/>
          <w:lang w:eastAsia="ru-RU"/>
        </w:rPr>
        <w:t>Упаковка</w:t>
      </w:r>
      <w:r w:rsidRPr="00AA1682">
        <w:rPr>
          <w:rFonts w:eastAsia="Times New Roman" w:cs="Times New Roman"/>
          <w:b/>
          <w:bCs/>
          <w:color w:val="000000"/>
          <w:sz w:val="20"/>
          <w:lang w:eastAsia="ru-RU"/>
        </w:rPr>
        <w:t xml:space="preserve"> </w:t>
      </w:r>
    </w:p>
    <w:p w:rsidR="00301611" w:rsidRPr="00AA1682" w:rsidRDefault="00301611" w:rsidP="00301611">
      <w:pPr>
        <w:keepNext/>
        <w:spacing w:before="360" w:after="240" w:line="300" w:lineRule="atLeast"/>
        <w:ind w:right="1134" w:hanging="113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A168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  <w:r w:rsidRPr="00AA1682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AA168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  <w:r w:rsidRPr="00AA1682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F38F3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Внесение поправок в </w:t>
      </w:r>
      <w:r w:rsidR="00DE79C3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специальные положения, </w:t>
      </w:r>
      <w:r w:rsidR="005F38F3">
        <w:rPr>
          <w:rFonts w:eastAsia="Times New Roman" w:cs="Times New Roman"/>
          <w:b/>
          <w:bCs/>
          <w:color w:val="000000"/>
          <w:sz w:val="28"/>
          <w:lang w:eastAsia="ru-RU"/>
        </w:rPr>
        <w:t>инструкции по упаковке и смежные разделы Типовых правил</w:t>
      </w:r>
    </w:p>
    <w:p w:rsidR="00301611" w:rsidRPr="00AA1682" w:rsidRDefault="00301611" w:rsidP="00301611">
      <w:pPr>
        <w:keepNext/>
        <w:spacing w:before="360" w:after="240" w:line="240" w:lineRule="auto"/>
        <w:ind w:right="1134" w:hanging="113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A168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                            Передано </w:t>
      </w:r>
      <w:r w:rsidR="005F38F3">
        <w:rPr>
          <w:rFonts w:eastAsia="Times New Roman" w:cs="Times New Roman"/>
          <w:b/>
          <w:bCs/>
          <w:color w:val="000000"/>
          <w:szCs w:val="24"/>
          <w:lang w:eastAsia="ru-RU"/>
        </w:rPr>
        <w:t>Правительством Российской Федерации</w:t>
      </w:r>
    </w:p>
    <w:p w:rsidR="00301611" w:rsidRPr="00AA1682" w:rsidRDefault="00301611" w:rsidP="00CE1EE1">
      <w:pPr>
        <w:keepNext/>
        <w:spacing w:before="360" w:after="240" w:line="300" w:lineRule="atLeast"/>
        <w:ind w:right="1134" w:hanging="1134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A1682">
        <w:rPr>
          <w:rFonts w:eastAsia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5F38F3" w:rsidRPr="00A35F80" w:rsidRDefault="00CE1EE1" w:rsidP="007C1957">
      <w:pPr>
        <w:jc w:val="both"/>
      </w:pPr>
      <w:r>
        <w:t xml:space="preserve">            </w:t>
      </w:r>
      <w:r w:rsidR="005F38F3" w:rsidRPr="00A35F80">
        <w:t>15-25 сентября 2015 г. в г. Женеве (Швейцарская Конфедерация) состоялась осенняя сессия Совместного совещания Комиссии экспертов МПОГ</w:t>
      </w:r>
      <w:r w:rsidR="005F38F3" w:rsidRPr="00A35F80">
        <w:br/>
        <w:t>и Рабочей группы по перевозкам опасных грузов Комитета по внутреннему транспорту Европейской экономической комиссии ООН (КВТ ЕЭК ООН). В ходе рассмотрения поправок к МПОГ/ДОПОГ/ВОПОГ, связанных с необходимостью согласования данных текстов с положениями Типовых правил Рекомендаций ООН по перевозке опасных грузов (19-е издание), при обсуждении новой инструкции по упаковке Р910 делегация Российской Федерации обратила внимание делегатов на необходимость уточнения требований к упаковк</w:t>
      </w:r>
      <w:r w:rsidR="005F38F3">
        <w:t>е</w:t>
      </w:r>
      <w:r w:rsidR="005F38F3" w:rsidRPr="00A35F80">
        <w:t xml:space="preserve"> аккумуляторных батарей. Помимо теплоизоляции такая упаковка должна обеспечивать также и электр</w:t>
      </w:r>
      <w:r w:rsidR="005F38F3">
        <w:t xml:space="preserve">ическую </w:t>
      </w:r>
      <w:r w:rsidR="005F38F3" w:rsidRPr="00A35F80">
        <w:t xml:space="preserve">изоляцию </w:t>
      </w:r>
      <w:r w:rsidR="005F38F3">
        <w:t>(электронепроводимость)</w:t>
      </w:r>
      <w:r w:rsidR="005F38F3" w:rsidRPr="00A35F80">
        <w:t xml:space="preserve">. Позиция Российской Федерации была поддержана рядом участников совещания. Учитывая, что при уточнении понятия </w:t>
      </w:r>
      <w:r w:rsidR="005F38F3">
        <w:t>электро</w:t>
      </w:r>
      <w:r w:rsidR="005F38F3" w:rsidRPr="00A35F80">
        <w:t xml:space="preserve">непроводимости упаковки потребуется внесение изменений не только в тексты МПОГ/ДОПОГ/ВОПОГ, но и в сами Типовые правила ООН, секретариат КВТ ЕЭК ООН обратился с просьбой к российской стороне подготовить соответствующее предложение к очередной сессии Подкомитета </w:t>
      </w:r>
      <w:r w:rsidR="001F2DC8">
        <w:t>экспертов</w:t>
      </w:r>
      <w:r w:rsidR="005F38F3" w:rsidRPr="00A35F80">
        <w:t xml:space="preserve"> ООН по перевозке опасных грузов (30 ноября - 9 декабря 2015 г., г. Женева). Учитывая </w:t>
      </w:r>
      <w:r w:rsidR="005F38F3" w:rsidRPr="00A35F80">
        <w:lastRenderedPageBreak/>
        <w:t xml:space="preserve">вышеизложенное, а также принимая во внимание необходимость будущей гармонизации положений Типовых правил ООН с МПОГ/ДОПОГ/ВОПОГ/Приложением 2 </w:t>
      </w:r>
      <w:r w:rsidR="00516239">
        <w:t xml:space="preserve">к </w:t>
      </w:r>
      <w:r w:rsidR="005F38F3" w:rsidRPr="00A35F80">
        <w:t>СМГС, Российская Федерация подготовила соответствующ</w:t>
      </w:r>
      <w:r w:rsidR="005F38F3">
        <w:t>и</w:t>
      </w:r>
      <w:r w:rsidR="005F38F3" w:rsidRPr="00A35F80">
        <w:t>е п</w:t>
      </w:r>
      <w:r w:rsidR="005F38F3">
        <w:t>оправки</w:t>
      </w:r>
      <w:r>
        <w:t xml:space="preserve"> (выделено цветом)</w:t>
      </w:r>
      <w:r w:rsidR="005F38F3" w:rsidRPr="00A35F80">
        <w:t xml:space="preserve">. </w:t>
      </w:r>
    </w:p>
    <w:p w:rsidR="00DE79C3" w:rsidRPr="00DE79C3" w:rsidRDefault="00DE79C3" w:rsidP="00DE79C3">
      <w:pPr>
        <w:rPr>
          <w:b/>
        </w:rPr>
      </w:pPr>
      <w:r w:rsidRPr="00DE79C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01611" w:rsidRPr="00DE79C3">
        <w:rPr>
          <w:b/>
        </w:rPr>
        <w:t>Предложение 1</w:t>
      </w:r>
      <w:r w:rsidRPr="00DE79C3">
        <w:rPr>
          <w:b/>
        </w:rPr>
        <w:t>.</w:t>
      </w:r>
      <w:r>
        <w:rPr>
          <w:b/>
        </w:rPr>
        <w:t xml:space="preserve"> В</w:t>
      </w:r>
      <w:r w:rsidRPr="00DE79C3">
        <w:rPr>
          <w:b/>
        </w:rPr>
        <w:t>нести изменения в Главу 3.3</w:t>
      </w:r>
      <w:r w:rsidR="001F2DC8">
        <w:rPr>
          <w:b/>
        </w:rPr>
        <w:t xml:space="preserve"> Типовых Правил</w:t>
      </w:r>
    </w:p>
    <w:p w:rsidR="00DE79C3" w:rsidRDefault="00DE79C3" w:rsidP="00DE79C3">
      <w:pPr>
        <w:pStyle w:val="magyind"/>
        <w:rPr>
          <w:rFonts w:eastAsia="Arial"/>
        </w:rPr>
      </w:pPr>
      <w:r>
        <w:rPr>
          <w:b/>
        </w:rPr>
        <w:t>188</w:t>
      </w:r>
      <w:r>
        <w:t xml:space="preserve"> </w:t>
      </w:r>
      <w:r>
        <w:tab/>
        <w:t>Элементы и батареи, предъявляемые к перевозке, не подпадают под действие предписаний Прил. 2 к СМГС, если они отвечают следующим положениям:</w:t>
      </w:r>
    </w:p>
    <w:p w:rsidR="00DE79C3" w:rsidRDefault="00DE79C3" w:rsidP="00DE79C3">
      <w:pPr>
        <w:pStyle w:val="magyind"/>
        <w:rPr>
          <w:rFonts w:eastAsia="Arial"/>
        </w:rPr>
      </w:pPr>
      <w:r>
        <w:rPr>
          <w:rFonts w:eastAsia="Arial"/>
        </w:rPr>
        <w:t xml:space="preserve"> </w:t>
      </w:r>
      <w:r>
        <w:t>а)  для элемента из лития или литиевого сплава содержание лития не превышает 1 г, а для литий-ионного элемента мощность не превышает 20 Вт∙ч;</w:t>
      </w:r>
    </w:p>
    <w:p w:rsidR="00DE79C3" w:rsidRDefault="00DE79C3" w:rsidP="00DE79C3">
      <w:pPr>
        <w:pStyle w:val="magyind"/>
        <w:rPr>
          <w:rFonts w:eastAsia="Arial"/>
        </w:rPr>
      </w:pPr>
      <w:r>
        <w:rPr>
          <w:rFonts w:eastAsia="Arial"/>
        </w:rPr>
        <w:t xml:space="preserve"> </w:t>
      </w:r>
      <w:r>
        <w:t>б)  для батареи из лития или литиевого сплава общее содержание лития не превышает 2 г, а для литий-ионной  батареи мощность не превышает 100 Вт∙ч.  За исключением батарей, изготовленных до 1 января 2009 г., литий-ионные батареи, подпадающие под действие данного положения, должны иметь на наружной поверхности корпуса маркировку с указанием мощности в Вт·ч;</w:t>
      </w:r>
    </w:p>
    <w:p w:rsidR="00DE79C3" w:rsidRDefault="00DE79C3" w:rsidP="00DE79C3">
      <w:pPr>
        <w:pStyle w:val="magyind"/>
      </w:pPr>
      <w:r>
        <w:rPr>
          <w:rFonts w:eastAsia="Arial"/>
        </w:rPr>
        <w:t xml:space="preserve">  </w:t>
      </w:r>
      <w:r>
        <w:t>в) каждый элемент или каждая батарея соответствует положениям подпунктов а) и д) п. 2.2.9.1.7.;</w:t>
      </w:r>
    </w:p>
    <w:p w:rsidR="00DE79C3" w:rsidRDefault="00DE79C3" w:rsidP="00DE79C3">
      <w:pPr>
        <w:pStyle w:val="magyind"/>
        <w:rPr>
          <w:rFonts w:eastAsia="Arial"/>
        </w:rPr>
      </w:pPr>
      <w:r>
        <w:t xml:space="preserve">г) батареи и элементы, за исключением случаев, когда они установлены в оборудовании, должны помещаться во внутреннюю тару, которая полностью защищает батарею или элемент. Батареи и элементы должны быть защищены таким образом, чтобы исключалась возможность короткого замыкания, включая защиту от контакта с </w:t>
      </w:r>
      <w:r w:rsidRPr="00306F00">
        <w:rPr>
          <w:highlight w:val="yellow"/>
        </w:rPr>
        <w:t>электропроводящими</w:t>
      </w:r>
      <w:r>
        <w:t xml:space="preserve">  материалами внутри тары, которые могли бы привести к короткому замыканию.  Внутренняя тара должна помещаться в прочную наружную тару, соответствующую положениям п.п. 4.1.1.1, 4.1.1.2 и 4.1.1.5;        </w:t>
      </w:r>
    </w:p>
    <w:p w:rsidR="00DE79C3" w:rsidRDefault="00DE79C3" w:rsidP="00DE79C3"/>
    <w:p w:rsidR="00DE79C3" w:rsidRDefault="00DE79C3" w:rsidP="00DE79C3">
      <w:pPr>
        <w:pStyle w:val="magyind"/>
      </w:pPr>
      <w:r w:rsidRPr="003733AF">
        <w:rPr>
          <w:b/>
          <w:highlight w:val="cyan"/>
        </w:rPr>
        <w:t>310</w:t>
      </w:r>
      <w:r>
        <w:rPr>
          <w:b/>
        </w:rPr>
        <w:t>*</w:t>
      </w:r>
      <w:r>
        <w:tab/>
        <w:t xml:space="preserve">Требования к испытаниям, изложенные в подразделе 38.3 </w:t>
      </w:r>
      <w:r>
        <w:rPr>
          <w:i/>
          <w:iCs/>
        </w:rPr>
        <w:t>Руководства по испытаниям и критериям</w:t>
      </w:r>
      <w:r>
        <w:t>, не применяются к промышленным партиям, состоящим из не более чем 100 элементов и батарей, или к опытным образцам элементов и батарей, когда эти образцы перевозятся для испытаний, если:</w:t>
      </w:r>
    </w:p>
    <w:p w:rsidR="00DE79C3" w:rsidRDefault="00DE79C3" w:rsidP="00DE79C3">
      <w:pPr>
        <w:pStyle w:val="magyind2"/>
      </w:pPr>
      <w:r>
        <w:t>а)</w:t>
      </w:r>
      <w:r>
        <w:tab/>
        <w:t>эти элементы и батареи перевозятся в наружной таре, такой, как металлический, пластмассовый или фанерный барабан или металлический, пластмассовый или деревянный ящик, которая отвечает критериям группы упаковки </w:t>
      </w:r>
      <w:r>
        <w:rPr>
          <w:lang w:val="en-US"/>
        </w:rPr>
        <w:t>I</w:t>
      </w:r>
      <w:r>
        <w:t>;  и</w:t>
      </w:r>
    </w:p>
    <w:p w:rsidR="00DE79C3" w:rsidRDefault="00DE79C3" w:rsidP="00DE79C3">
      <w:pPr>
        <w:pStyle w:val="magyind2"/>
      </w:pPr>
      <w:r>
        <w:t>б)</w:t>
      </w:r>
      <w:r>
        <w:tab/>
        <w:t xml:space="preserve">каждый элемент и каждая батарея индивидуально упакованы во внутреннюю тару, помещенную в наружную тару, и обложены негорючим и </w:t>
      </w:r>
      <w:r w:rsidRPr="00306F00">
        <w:rPr>
          <w:highlight w:val="yellow"/>
        </w:rPr>
        <w:t>электронепроводящим</w:t>
      </w:r>
      <w:r>
        <w:t xml:space="preserve"> прокладочным материалом.</w:t>
      </w:r>
    </w:p>
    <w:p w:rsidR="00DE79C3" w:rsidRDefault="00CE1EE1" w:rsidP="00DE79C3">
      <w:pPr>
        <w:pStyle w:val="magyind2"/>
      </w:pPr>
      <w:r>
        <w:t>___________</w:t>
      </w:r>
    </w:p>
    <w:p w:rsidR="00DE79C3" w:rsidRDefault="00DE79C3" w:rsidP="00DE79C3">
      <w:pPr>
        <w:pStyle w:val="magyind2"/>
      </w:pPr>
      <w:r w:rsidRPr="00FA6942">
        <w:rPr>
          <w:i/>
        </w:rPr>
        <w:t>* Текст специального положения 310 в Правилах RID/ADR</w:t>
      </w:r>
      <w:r>
        <w:rPr>
          <w:i/>
        </w:rPr>
        <w:t>/SMGS</w:t>
      </w:r>
      <w:r w:rsidRPr="00FA6942">
        <w:rPr>
          <w:i/>
        </w:rPr>
        <w:t xml:space="preserve"> имеет другую редакцию</w:t>
      </w:r>
      <w:r>
        <w:t>.</w:t>
      </w:r>
    </w:p>
    <w:p w:rsidR="00301611" w:rsidRPr="00DE79C3" w:rsidRDefault="00301611" w:rsidP="00DE79C3">
      <w:pPr>
        <w:spacing w:before="120" w:after="240" w:line="240" w:lineRule="atLeast"/>
        <w:ind w:left="1134" w:right="1134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AA1682">
        <w:rPr>
          <w:rFonts w:eastAsia="Times New Roman" w:cs="Times New Roman"/>
          <w:color w:val="000000"/>
          <w:sz w:val="20"/>
          <w:szCs w:val="20"/>
          <w:lang w:eastAsia="ru-RU"/>
        </w:rPr>
        <w:t>  </w:t>
      </w:r>
      <w:r w:rsidRPr="00AA1682">
        <w:rPr>
          <w:rFonts w:eastAsia="Times New Roman" w:cs="Times New Roman"/>
          <w:color w:val="000000"/>
          <w:sz w:val="20"/>
          <w:lang w:eastAsia="ru-RU"/>
        </w:rPr>
        <w:t> </w:t>
      </w:r>
    </w:p>
    <w:p w:rsidR="00DE79C3" w:rsidRDefault="00301611" w:rsidP="00DE79C3">
      <w:pPr>
        <w:spacing w:before="240" w:after="120" w:line="300" w:lineRule="atLeast"/>
        <w:ind w:right="1134" w:hanging="1134"/>
        <w:jc w:val="both"/>
        <w:rPr>
          <w:b/>
        </w:rPr>
      </w:pPr>
      <w:r w:rsidRPr="00AA168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  <w:r w:rsidRPr="00AA1682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AA168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  <w:r w:rsidRPr="00AA1682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DE79C3" w:rsidRPr="00DE79C3">
        <w:rPr>
          <w:b/>
        </w:rPr>
        <w:t xml:space="preserve">Предложение </w:t>
      </w:r>
      <w:r w:rsidR="00DE79C3">
        <w:rPr>
          <w:b/>
        </w:rPr>
        <w:t>2</w:t>
      </w:r>
      <w:r w:rsidR="00DE79C3" w:rsidRPr="00DE79C3">
        <w:rPr>
          <w:b/>
        </w:rPr>
        <w:t>.</w:t>
      </w:r>
      <w:r w:rsidR="00DE79C3">
        <w:rPr>
          <w:b/>
        </w:rPr>
        <w:t xml:space="preserve"> В</w:t>
      </w:r>
      <w:r w:rsidR="00DE79C3" w:rsidRPr="00DE79C3">
        <w:rPr>
          <w:b/>
        </w:rPr>
        <w:t xml:space="preserve">нести изменения в Главу </w:t>
      </w:r>
      <w:r w:rsidR="00DE79C3">
        <w:rPr>
          <w:b/>
        </w:rPr>
        <w:t>4.1</w:t>
      </w:r>
      <w:r w:rsidR="001F2DC8">
        <w:rPr>
          <w:b/>
        </w:rPr>
        <w:t xml:space="preserve"> Типовых Правил</w:t>
      </w:r>
    </w:p>
    <w:p w:rsidR="00DE79C3" w:rsidRDefault="00DE79C3" w:rsidP="00DE79C3">
      <w:pPr>
        <w:spacing w:before="240" w:after="120" w:line="300" w:lineRule="atLeast"/>
        <w:ind w:right="1134" w:hanging="1134"/>
        <w:jc w:val="both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294"/>
        <w:gridCol w:w="1241"/>
      </w:tblGrid>
      <w:tr w:rsidR="00DE79C3" w:rsidTr="00F16118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Style w:val="tablahboldmid"/>
            </w:pPr>
            <w:r>
              <w:t>P801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Style w:val="tablahboldmid"/>
            </w:pPr>
            <w:r>
              <w:t>ИНСТРУКЦИЯ ПО УПАКОВКЕ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Style w:val="tablahboldmid"/>
            </w:pPr>
            <w:r>
              <w:t>P801</w:t>
            </w:r>
          </w:p>
        </w:tc>
      </w:tr>
      <w:tr w:rsidR="00DE79C3" w:rsidTr="00F16118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Style w:val="tableh"/>
            </w:pPr>
            <w:r>
              <w:t>Настоящая инструкция применяется к новым и отработанным батареям, отнесенным к №№ ООН 2794, 2795 и 3028.</w:t>
            </w:r>
          </w:p>
        </w:tc>
      </w:tr>
      <w:tr w:rsidR="00DE79C3" w:rsidTr="00F16118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Style w:val="tableh"/>
            </w:pPr>
            <w:r>
              <w:t xml:space="preserve">При условии соблюдения общих положений, изложенных в разделах </w:t>
            </w:r>
            <w:r>
              <w:rPr>
                <w:b/>
              </w:rPr>
              <w:t xml:space="preserve">4.1.1 (за исключением п. 4.1.1.3) </w:t>
            </w:r>
            <w:r>
              <w:t xml:space="preserve">и </w:t>
            </w:r>
            <w:r>
              <w:rPr>
                <w:b/>
              </w:rPr>
              <w:t>4.1.3</w:t>
            </w:r>
            <w:r>
              <w:t>, разрешается использовать следующие виды тары:</w:t>
            </w:r>
          </w:p>
          <w:p w:rsidR="00DE79C3" w:rsidRDefault="00DE79C3" w:rsidP="00F16118">
            <w:pPr>
              <w:pStyle w:val="tablehreq"/>
            </w:pPr>
            <w:r>
              <w:t>(1)</w:t>
            </w:r>
            <w:r>
              <w:tab/>
              <w:t>жесткую наружную тару;</w:t>
            </w:r>
          </w:p>
          <w:p w:rsidR="00DE79C3" w:rsidRDefault="00DE79C3" w:rsidP="00F16118">
            <w:pPr>
              <w:pStyle w:val="tablehreq"/>
            </w:pPr>
            <w:r>
              <w:t>(2)</w:t>
            </w:r>
            <w:r>
              <w:tab/>
              <w:t>деревянные обрешетки;</w:t>
            </w:r>
          </w:p>
          <w:p w:rsidR="00DE79C3" w:rsidRDefault="00DE79C3" w:rsidP="00F16118">
            <w:pPr>
              <w:pStyle w:val="tablehreq"/>
            </w:pPr>
            <w:r>
              <w:t>(3)</w:t>
            </w:r>
            <w:r>
              <w:tab/>
              <w:t>поддоны.</w:t>
            </w:r>
          </w:p>
        </w:tc>
      </w:tr>
      <w:tr w:rsidR="00DE79C3" w:rsidTr="00F16118">
        <w:trPr>
          <w:cantSplit/>
        </w:trPr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Pr="00627660" w:rsidRDefault="00DE79C3" w:rsidP="00F16118">
            <w:pPr>
              <w:pStyle w:val="tableh"/>
              <w:rPr>
                <w:b/>
              </w:rPr>
            </w:pPr>
            <w:r w:rsidRPr="00627660">
              <w:rPr>
                <w:b/>
              </w:rPr>
              <w:lastRenderedPageBreak/>
              <w:t>Дополнительные требования:</w:t>
            </w:r>
          </w:p>
          <w:p w:rsidR="00DE79C3" w:rsidRDefault="00DE79C3" w:rsidP="00F16118">
            <w:pPr>
              <w:pStyle w:val="tablehreq"/>
            </w:pPr>
            <w:r>
              <w:t>1.</w:t>
            </w:r>
            <w:r>
              <w:tab/>
              <w:t>Батареи должны быть защищены от короткого замыкания.</w:t>
            </w:r>
          </w:p>
          <w:p w:rsidR="00DE79C3" w:rsidRDefault="00DE79C3" w:rsidP="00F16118">
            <w:pPr>
              <w:pStyle w:val="tablehreq"/>
            </w:pPr>
            <w:r>
              <w:t>2.</w:t>
            </w:r>
            <w:r>
              <w:tab/>
              <w:t xml:space="preserve">При штабелировании батареи должны быть надлежащим образом закреплены в ярусах, разделенных слоем </w:t>
            </w:r>
            <w:r w:rsidR="00CE1EE1" w:rsidRPr="00CE1EE1">
              <w:rPr>
                <w:highlight w:val="yellow"/>
              </w:rPr>
              <w:t>электронепроводящего</w:t>
            </w:r>
            <w:r>
              <w:t xml:space="preserve"> материала.</w:t>
            </w:r>
          </w:p>
          <w:p w:rsidR="00DE79C3" w:rsidRDefault="00DE79C3" w:rsidP="00F16118">
            <w:pPr>
              <w:pStyle w:val="tablehreq"/>
            </w:pPr>
            <w:r>
              <w:t>3.</w:t>
            </w:r>
            <w:r>
              <w:tab/>
              <w:t>Контактные клеммы батарей не должны подвергаться воздействию массы других элементов, расположенных сверху.</w:t>
            </w:r>
          </w:p>
          <w:p w:rsidR="00DE79C3" w:rsidRDefault="00DE79C3" w:rsidP="00F16118">
            <w:pPr>
              <w:pStyle w:val="tablehreq"/>
            </w:pPr>
            <w:r>
              <w:t>4.</w:t>
            </w:r>
            <w:r>
              <w:tab/>
              <w:t>Батареи должны быть упакованы или закреплены таким образом, чтобы не происходило их самопроизвольного перемещения. Любой используемый прокладочный материал должен быть инертным.</w:t>
            </w:r>
          </w:p>
        </w:tc>
      </w:tr>
    </w:tbl>
    <w:p w:rsidR="00DE79C3" w:rsidRDefault="00DE79C3" w:rsidP="00DE79C3"/>
    <w:p w:rsidR="00DE79C3" w:rsidRDefault="00DE79C3" w:rsidP="00DE79C3">
      <w:r>
        <w:rPr>
          <w:noProof/>
          <w:lang w:val="en-GB" w:eastAsia="en-GB"/>
        </w:rPr>
        <w:drawing>
          <wp:inline distT="0" distB="0" distL="0" distR="0">
            <wp:extent cx="6180300" cy="22314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722" t="37075" r="21822" b="3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00" cy="223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C3" w:rsidRDefault="00DE79C3" w:rsidP="00DE79C3"/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6"/>
        <w:gridCol w:w="7796"/>
        <w:gridCol w:w="805"/>
      </w:tblGrid>
      <w:tr w:rsidR="00DE79C3" w:rsidTr="00F16118">
        <w:trPr>
          <w:tblHeader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right" w:pos="9498"/>
              </w:tabs>
              <w:spacing w:line="240" w:lineRule="atLeast"/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  <w:t>P908</w:t>
            </w:r>
          </w:p>
        </w:tc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right" w:pos="9498"/>
              </w:tabs>
              <w:spacing w:line="240" w:lineRule="atLeast"/>
              <w:jc w:val="center"/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  <w:t>ИНСТРУКЦИЯ ПО УПАКОВКЕ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right" w:pos="9498"/>
              </w:tabs>
              <w:spacing w:line="240" w:lineRule="atLeast"/>
              <w:jc w:val="center"/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  <w:t>P908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Style w:val="SingleTxtGR"/>
              <w:ind w:left="0" w:right="0"/>
            </w:pPr>
            <w:r>
              <w:rPr>
                <w:rFonts w:ascii="Arial" w:hAnsi="Arial"/>
              </w:rPr>
              <w:t>Настоящая инструкция применяется к поврежденным или имеющим дефекты литий-ионным элементам и батареям, а также литий-металлическим элементам и батареям, в том числе содержащимся в оборудовании, под №№ ООН 3090, 3091, 3480 и 3481.</w:t>
            </w:r>
          </w:p>
        </w:tc>
      </w:tr>
      <w:tr w:rsidR="00DE79C3" w:rsidTr="00F16118">
        <w:trPr>
          <w:trHeight w:val="416"/>
        </w:trPr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Style w:val="SingleTxtGR"/>
              <w:ind w:left="0" w:right="0"/>
            </w:pPr>
            <w:r>
              <w:rPr>
                <w:rFonts w:ascii="Arial" w:hAnsi="Arial"/>
              </w:rPr>
              <w:t xml:space="preserve">При условии соблюдения общих положений, изложенных в разделах </w:t>
            </w:r>
            <w:r>
              <w:rPr>
                <w:rFonts w:ascii="Arial" w:hAnsi="Arial"/>
                <w:bCs/>
              </w:rPr>
              <w:t>4.1.1 и 4.1.3, разрешается использовать следующую тару: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Для элементов, батарей и оборудования, содержащего элементы и батареи: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56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барабаны (1A2, 1B2, 1N2, 1H2, 1D, 1G);</w:t>
            </w:r>
          </w:p>
        </w:tc>
      </w:tr>
      <w:tr w:rsidR="00DE79C3" w:rsidRPr="00516239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Pr="00BE489E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567"/>
              <w:jc w:val="both"/>
              <w:rPr>
                <w:lang w:val="en-US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ящики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val="en-US"/>
              </w:rPr>
              <w:t xml:space="preserve"> (4A, 4B, 4N, 4C1, 4C2, 4D, 4F, 4G, 4H1, 4H2);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56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канистры (3A2, 3B2, 3H2).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Тара должна отвечать требованиям для группы упаковки II.</w:t>
            </w:r>
          </w:p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134" w:hanging="56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1.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Каждый поврежденный или имеющий дефекты элемент, батарея или оборудование, содержащее такие элементы или батареи, должны упаковываться по отдельности во внутреннюю тару и помещаться в наружную тару. Внутренняя тара или наружная тара должны быть герметичными во избежание возможной утечки электролита.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134" w:hanging="567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2.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Каждая единица внутренней тары должна быть обложена достаточным количеством негорючего,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 xml:space="preserve"> и теплоизоляционного материала для защиты от опасного выделения тепла.</w:t>
            </w:r>
          </w:p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134" w:hanging="567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3.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Герметизированная тара должна быть при необходимости оборудована вентиляционным устройством.</w:t>
            </w:r>
          </w:p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134" w:hanging="567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4.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Должны быть приняты соответствующие меры для сведения к минимуму воздействия вибрации и ударов и предотвращения перемещения элементов или батарей внутри упаковки, которое может привести к их дальнейшему 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lastRenderedPageBreak/>
              <w:t xml:space="preserve">повреждению и создать опасность во время перевозки. Для выполнения данного требования может быть также использован негорючий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</w:rPr>
              <w:t>электронепроводящий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 xml:space="preserve"> прокладочный материал.</w:t>
            </w:r>
          </w:p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134" w:hanging="56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5.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Негорючесть должна быть оценена в соответствии со стандартом, признанным в стране, где была сконструирована или изготовлена тара.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lastRenderedPageBreak/>
              <w:t>При наличии протекших элементов или батарей во внутреннюю или наружную тару должно быть помещено достаточное количество инертного абсорбирующего материала, способного поглотить высвободившийся электролит.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Количество элементов или батарей массой нетто более 30 кг не должно превышать один элемент или одну батарею на единицу наружной тары.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jc w:val="both"/>
            </w:pPr>
            <w:r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t>Дополнительное требование:</w:t>
            </w:r>
          </w:p>
        </w:tc>
      </w:tr>
      <w:tr w:rsidR="00DE79C3" w:rsidTr="00F16118">
        <w:tc>
          <w:tcPr>
            <w:tcW w:w="9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Элементы и батареи должны быть защищены от короткого замыкания.</w:t>
            </w:r>
          </w:p>
        </w:tc>
      </w:tr>
    </w:tbl>
    <w:p w:rsidR="00DE79C3" w:rsidRDefault="00DE79C3" w:rsidP="00DE79C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672"/>
        <w:gridCol w:w="1125"/>
      </w:tblGrid>
      <w:tr w:rsidR="00DE79C3" w:rsidTr="00F16118">
        <w:trPr>
          <w:trHeight w:val="299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right" w:pos="9498"/>
              </w:tabs>
              <w:spacing w:line="240" w:lineRule="atLeast"/>
              <w:ind w:left="57"/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  <w:t>P909</w:t>
            </w:r>
          </w:p>
        </w:tc>
        <w:tc>
          <w:tcPr>
            <w:tcW w:w="7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right" w:pos="9498"/>
              </w:tabs>
              <w:spacing w:line="240" w:lineRule="atLeast"/>
              <w:jc w:val="center"/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  <w:t>ИНСТРУКЦИЯ ПО УПАКОВКЕ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right" w:pos="9498"/>
              </w:tabs>
              <w:spacing w:line="240" w:lineRule="atLeast"/>
              <w:jc w:val="right"/>
            </w:pPr>
            <w:r>
              <w:rPr>
                <w:rFonts w:ascii="Arial" w:hAnsi="Arial"/>
                <w:b/>
                <w:iCs/>
                <w:spacing w:val="4"/>
                <w:w w:val="103"/>
                <w:kern w:val="1"/>
                <w:sz w:val="20"/>
                <w:szCs w:val="20"/>
              </w:rPr>
              <w:t>P909</w:t>
            </w:r>
          </w:p>
        </w:tc>
      </w:tr>
      <w:tr w:rsidR="00DE79C3" w:rsidTr="00F16118"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spacing w:before="40" w:after="120" w:line="240" w:lineRule="atLeast"/>
              <w:ind w:left="90" w:right="239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Настоящая инструкция применяется к №№ ООН 3090, 3091, 3480 и 3481, перевозимых с целью удаления или переработки, когда они упакованы вместе с нелитиевыми батареями или без них.</w:t>
            </w:r>
          </w:p>
        </w:tc>
      </w:tr>
      <w:tr w:rsidR="00DE79C3" w:rsidTr="00F16118"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spacing w:after="120" w:line="240" w:lineRule="atLeast"/>
              <w:ind w:left="90" w:right="239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(1)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Элементы и батареи должны упаковываться в соответствии со следующими требованиями:</w:t>
            </w:r>
          </w:p>
          <w:p w:rsidR="00DE79C3" w:rsidRDefault="00DE79C3" w:rsidP="00F16118">
            <w:pPr>
              <w:spacing w:after="120" w:line="240" w:lineRule="atLeast"/>
              <w:ind w:left="567" w:right="239" w:hanging="477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a)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При условии соблюдения общих положений, изложенных в разделах 4.1.1 и 4.1.3, разрешается использовать следующую тару:</w:t>
            </w:r>
          </w:p>
          <w:p w:rsidR="00DE79C3" w:rsidRDefault="00DE79C3" w:rsidP="00F16118">
            <w:pPr>
              <w:spacing w:after="120" w:line="240" w:lineRule="atLeast"/>
              <w:ind w:left="1044" w:right="239" w:hanging="477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барабаны (1A2, 1B2, 1N2, 1H2, 1D, 1G); 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br/>
              <w:t>ящики (4A, 4B, 4N, 4C1, 4C2, 4D, 4F, 4G, 4H2); и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br/>
              <w:t>канистры (3A2, 3B2, 3H2).</w:t>
            </w:r>
          </w:p>
          <w:p w:rsidR="00DE79C3" w:rsidRDefault="00DE79C3" w:rsidP="00F16118">
            <w:pPr>
              <w:spacing w:after="120" w:line="240" w:lineRule="atLeast"/>
              <w:ind w:left="90" w:right="239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б)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Тара должна отвечать требованиям для группы упаковки II.</w:t>
            </w:r>
          </w:p>
          <w:p w:rsidR="00DE79C3" w:rsidRDefault="00DE79C3" w:rsidP="00F16118">
            <w:pPr>
              <w:spacing w:after="120" w:line="240" w:lineRule="atLeast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в)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Металлическая тара должна иметь облицовку из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 xml:space="preserve"> материала (например, пластмассы), достаточно прочного с учетом его предполагаемого использования.</w:t>
            </w:r>
          </w:p>
        </w:tc>
      </w:tr>
      <w:tr w:rsidR="00DE79C3" w:rsidTr="00F16118">
        <w:trPr>
          <w:trHeight w:val="1152"/>
        </w:trPr>
        <w:tc>
          <w:tcPr>
            <w:tcW w:w="96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spacing w:after="120" w:line="240" w:lineRule="atLeast"/>
              <w:ind w:left="567" w:right="239" w:hanging="477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(2)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Литий-ионные элементы, мощность которых не превышает 20 Вт·ч, литий-ионные батареи, мощность которых не превышает 100 Вт·ч, литий-металлические элементы с содержанием лития не более 1 г и литий-металлические батареи с общим содержанием лития не более 2 г могут упаковываться в соответствии со следующими условиями:</w:t>
            </w:r>
          </w:p>
          <w:p w:rsidR="00DE79C3" w:rsidRDefault="00DE79C3" w:rsidP="00F16118">
            <w:pPr>
              <w:spacing w:after="120" w:line="240" w:lineRule="atLeast"/>
              <w:ind w:left="567" w:right="239" w:hanging="477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a)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в прочную наружную тару массой брутто до 30 кг, отвечающую общим положениям, изложенным в разделах 4.1.1 (за исключением п. 4.1.1.3) и 4.1.3;</w:t>
            </w:r>
          </w:p>
          <w:p w:rsidR="00DE79C3" w:rsidRDefault="00DE79C3" w:rsidP="00F16118">
            <w:pPr>
              <w:spacing w:after="120" w:line="240" w:lineRule="atLeast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б)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металлическая тара должна иметь облицовку из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 xml:space="preserve"> материала (например, пластмассы), достаточно прочного с учетом его предполагаемого использования.</w:t>
            </w:r>
          </w:p>
        </w:tc>
      </w:tr>
      <w:tr w:rsidR="00DE79C3" w:rsidTr="00F16118">
        <w:trPr>
          <w:trHeight w:val="1152"/>
        </w:trPr>
        <w:tc>
          <w:tcPr>
            <w:tcW w:w="96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spacing w:after="120" w:line="240" w:lineRule="atLeast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(3)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Для элементов или батарей, содержащихся в оборудовании, может использоваться прочная наружная тара, изготовленная из подходящего материала и имеющая надлежащую прочность и конструкцию в зависимости от вместимости тары и ее предполагаемого использования. Тара может не отвечать требованиям п. 4.1.1.3. Крупногабаритное оборудование может передаваться для перевозки в неупакованном виде или на поддонах, если оборудование, в котором содержатся элементы или батареи, обеспечивает им эквивалентную защиту.</w:t>
            </w:r>
          </w:p>
        </w:tc>
      </w:tr>
      <w:tr w:rsidR="00DE79C3" w:rsidTr="00F16118">
        <w:trPr>
          <w:trHeight w:val="1152"/>
        </w:trPr>
        <w:tc>
          <w:tcPr>
            <w:tcW w:w="9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spacing w:after="120" w:line="240" w:lineRule="atLeast"/>
              <w:ind w:left="567" w:right="239" w:hanging="477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lastRenderedPageBreak/>
              <w:t>(4)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Кроме того, для элементов или батарей, масса брутто которых составляет не менее 12 кг и которые имеют крепкий, ударопрочный корпус, может использоваться прочная наружная тара, изготовленная из подходящего материала и имеющая надлежащую прочность и конструкцию в зависимости от вместимости тары и ее предполагаемого использования. Тара может не отвечать требованиям п. 4.1.1.3.</w:t>
            </w:r>
          </w:p>
        </w:tc>
      </w:tr>
      <w:tr w:rsidR="00DE79C3" w:rsidTr="00F16118">
        <w:trPr>
          <w:trHeight w:val="1109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spacing w:after="120" w:line="240" w:lineRule="atLeast"/>
              <w:ind w:left="90" w:right="239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t>Дополнительные требования:</w:t>
            </w:r>
          </w:p>
          <w:p w:rsidR="00DE79C3" w:rsidRDefault="00DE79C3" w:rsidP="00F16118">
            <w:pPr>
              <w:spacing w:after="120" w:line="240" w:lineRule="atLeast"/>
              <w:ind w:left="567" w:right="238" w:hanging="476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1.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Элементы и батареи должны быть сконструированы или упакованы таким образом, чтобы не происходило короткого замыкания и опасного выделения тепла.</w:t>
            </w:r>
          </w:p>
          <w:p w:rsidR="00DE79C3" w:rsidRDefault="00DE79C3" w:rsidP="00F16118">
            <w:pPr>
              <w:spacing w:after="120" w:line="240" w:lineRule="atLeast"/>
              <w:ind w:left="567" w:right="238" w:hanging="476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</w:p>
          <w:p w:rsidR="00DE79C3" w:rsidRDefault="00DE79C3" w:rsidP="00F16118">
            <w:pPr>
              <w:spacing w:after="120" w:line="240" w:lineRule="atLeast"/>
              <w:ind w:left="567" w:right="238" w:hanging="476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2.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Защита от короткого замыкания и опасного выделения тепла может включать, например:</w:t>
            </w:r>
          </w:p>
          <w:p w:rsidR="00DE79C3" w:rsidRDefault="00DE79C3" w:rsidP="00F16118">
            <w:pPr>
              <w:tabs>
                <w:tab w:val="left" w:pos="1134"/>
                <w:tab w:val="left" w:pos="1701"/>
                <w:tab w:val="left" w:pos="2268"/>
              </w:tabs>
              <w:spacing w:after="120" w:line="240" w:lineRule="atLeast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ab/>
              <w:t>индивидуальную защиту контактных клемм;</w:t>
            </w:r>
          </w:p>
          <w:p w:rsidR="00DE79C3" w:rsidRDefault="00DE79C3" w:rsidP="00F16118">
            <w:pPr>
              <w:tabs>
                <w:tab w:val="left" w:pos="1134"/>
                <w:tab w:val="left" w:pos="1701"/>
                <w:tab w:val="left" w:pos="2268"/>
              </w:tabs>
              <w:spacing w:after="120" w:line="240" w:lineRule="atLeast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ab/>
              <w:t xml:space="preserve">внутреннюю тару для предотвращения контакта между элементами и батареями; </w:t>
            </w:r>
          </w:p>
          <w:p w:rsidR="00DE79C3" w:rsidRDefault="00DE79C3" w:rsidP="00F16118">
            <w:pPr>
              <w:tabs>
                <w:tab w:val="left" w:pos="1134"/>
                <w:tab w:val="left" w:pos="1701"/>
                <w:tab w:val="left" w:pos="2268"/>
              </w:tabs>
              <w:spacing w:after="120" w:line="240" w:lineRule="atLeast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ab/>
              <w:t>батареи с утопленными в корпус контактными клеммами, сконструированные таким образом, чтобы обеспечить защиту от короткого замыкания; или</w:t>
            </w:r>
          </w:p>
          <w:p w:rsidR="00DE79C3" w:rsidRDefault="00DE79C3" w:rsidP="00F16118">
            <w:pPr>
              <w:tabs>
                <w:tab w:val="left" w:pos="1134"/>
                <w:tab w:val="left" w:pos="1701"/>
                <w:tab w:val="left" w:pos="2268"/>
              </w:tabs>
              <w:spacing w:after="240" w:line="240" w:lineRule="atLeast"/>
              <w:ind w:left="567" w:right="1134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>−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ab/>
              <w:t xml:space="preserve">использование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  <w:lang w:eastAsia="ru-RU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eastAsia="ru-RU"/>
              </w:rPr>
              <w:t xml:space="preserve"> и негорючего прокладочного материала для заполнения пустот между элементами или батареями внутри тары.</w:t>
            </w:r>
          </w:p>
          <w:p w:rsidR="00DE79C3" w:rsidRDefault="00DE79C3" w:rsidP="00F16118">
            <w:pPr>
              <w:keepNext/>
              <w:spacing w:after="120" w:line="240" w:lineRule="atLeast"/>
              <w:ind w:left="567" w:right="238" w:hanging="47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3.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Элементы и батареи должны быть закреплены внутри наружной тары во избежание чрезмерного перемещения во время перевозки (например, путем использования негорючего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  <w:lang w:eastAsia="ru-RU"/>
              </w:rPr>
              <w:t>электро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</w:rPr>
              <w:t>непроводящего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 xml:space="preserve"> прокладочного материала или путем использования герметично закрытого пластмассового мешка).</w:t>
            </w:r>
          </w:p>
        </w:tc>
      </w:tr>
    </w:tbl>
    <w:p w:rsidR="00DE79C3" w:rsidRPr="001F2DC8" w:rsidRDefault="00DE79C3" w:rsidP="00DE79C3"/>
    <w:tbl>
      <w:tblPr>
        <w:tblW w:w="9956" w:type="dxa"/>
        <w:tblInd w:w="-256" w:type="dxa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4394"/>
        <w:gridCol w:w="3284"/>
        <w:gridCol w:w="15"/>
      </w:tblGrid>
      <w:tr w:rsidR="004E107B" w:rsidRPr="006840D8" w:rsidTr="004E107B">
        <w:trPr>
          <w:gridAfter w:val="1"/>
          <w:wAfter w:w="1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7B" w:rsidRPr="004E107B" w:rsidRDefault="004E107B" w:rsidP="004E107B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tLeast"/>
              <w:ind w:right="1134"/>
              <w:jc w:val="both"/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</w:pP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lastRenderedPageBreak/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br w:type="page"/>
            </w: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br w:type="page"/>
              <w:t>P910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107B" w:rsidRPr="004E107B" w:rsidRDefault="004E107B" w:rsidP="004E107B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tLeast"/>
              <w:ind w:left="1134" w:right="233" w:hanging="901"/>
              <w:jc w:val="both"/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</w:pPr>
            <w:bookmarkStart w:id="1" w:name="lt_pId167"/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t>ИНСТРУКЦИЯ ПО УПАКОВКЕ</w:t>
            </w:r>
            <w:bookmarkEnd w:id="1"/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7B" w:rsidRPr="004E107B" w:rsidRDefault="004E107B" w:rsidP="004E107B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tLeast"/>
              <w:ind w:firstLine="833"/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</w:pPr>
            <w:r w:rsidRPr="004E107B"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t>P910</w:t>
            </w:r>
          </w:p>
        </w:tc>
      </w:tr>
      <w:tr w:rsidR="004E107B" w:rsidRPr="006840D8" w:rsidTr="004E107B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37" w:type="dxa"/>
            <w:right w:w="3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E107B" w:rsidRPr="006840D8" w:rsidRDefault="004E107B" w:rsidP="00F16118">
            <w:pPr>
              <w:pStyle w:val="SingleTxt"/>
              <w:spacing w:before="40" w:after="80"/>
              <w:ind w:left="0" w:right="0"/>
              <w:jc w:val="left"/>
              <w:rPr>
                <w:b/>
                <w:bCs/>
              </w:rPr>
            </w:pPr>
            <w:bookmarkStart w:id="2" w:name="lt_pId169"/>
            <w:r w:rsidRPr="006840D8">
              <w:rPr>
                <w:bCs/>
              </w:rPr>
              <w:t>Настоящая инструкция применяется к промышленным партиям, состоящим из не более чем 100 элементов и батарей под № ООН 3090, 3091, 3480 и 3481, или к опытным образцам элементов и батарей под этими номерами ООН, когда эти образцы перевозятся для испытаний.</w:t>
            </w:r>
            <w:bookmarkEnd w:id="2"/>
            <w:r w:rsidRPr="006840D8">
              <w:rPr>
                <w:bCs/>
              </w:rPr>
              <w:t xml:space="preserve"> </w:t>
            </w:r>
          </w:p>
        </w:tc>
      </w:tr>
      <w:tr w:rsidR="004E107B" w:rsidRPr="006840D8" w:rsidTr="004E107B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37" w:type="dxa"/>
            <w:right w:w="37" w:type="dxa"/>
          </w:tblCellMar>
          <w:tblLook w:val="04A0" w:firstRow="1" w:lastRow="0" w:firstColumn="1" w:lastColumn="0" w:noHBand="0" w:noVBand="1"/>
        </w:tblPrEx>
        <w:trPr>
          <w:trHeight w:val="1205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3" w:name="lt_pId170"/>
            <w:r w:rsidRPr="006840D8">
              <w:rPr>
                <w:bCs/>
              </w:rPr>
              <w:t>При условии соблюдения общих положений, изложенных в разделах 4.1.1 и 4.1.3, разрешается использовать следующую тару:</w:t>
            </w:r>
            <w:bookmarkEnd w:id="3"/>
          </w:p>
          <w:p w:rsidR="004E107B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91"/>
              </w:tabs>
              <w:spacing w:before="40" w:after="80"/>
              <w:ind w:left="0" w:right="0"/>
              <w:jc w:val="left"/>
              <w:rPr>
                <w:bCs/>
              </w:rPr>
            </w:pPr>
            <w:r w:rsidRPr="006840D8">
              <w:rPr>
                <w:bCs/>
              </w:rPr>
              <w:t>(1)</w:t>
            </w:r>
            <w:r w:rsidRPr="006840D8">
              <w:rPr>
                <w:bCs/>
              </w:rPr>
              <w:tab/>
            </w:r>
            <w:bookmarkStart w:id="4" w:name="lt_pId172"/>
            <w:r w:rsidRPr="006840D8">
              <w:rPr>
                <w:bCs/>
              </w:rPr>
              <w:t>Для элементов и батарей, в том числе упакованных с оборудованием:</w:t>
            </w:r>
            <w:bookmarkEnd w:id="4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995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5" w:name="lt_pId173"/>
            <w:r>
              <w:rPr>
                <w:bCs/>
              </w:rPr>
              <w:tab/>
            </w:r>
            <w:r w:rsidRPr="006840D8">
              <w:rPr>
                <w:bCs/>
              </w:rPr>
              <w:t>барабаны (1A2, 1B2, 1N2, 1H2, 1D, 1G);</w:t>
            </w:r>
            <w:bookmarkEnd w:id="5"/>
            <w:r>
              <w:rPr>
                <w:bCs/>
              </w:rPr>
              <w:br/>
            </w:r>
            <w:bookmarkStart w:id="6" w:name="lt_pId174"/>
            <w:r>
              <w:rPr>
                <w:bCs/>
              </w:rPr>
              <w:tab/>
            </w:r>
            <w:r w:rsidRPr="006840D8">
              <w:rPr>
                <w:bCs/>
              </w:rPr>
              <w:t>ящики</w:t>
            </w:r>
            <w:r w:rsidRPr="001B0E44">
              <w:rPr>
                <w:bCs/>
              </w:rPr>
              <w:t xml:space="preserve"> (4</w:t>
            </w:r>
            <w:r w:rsidRPr="006840D8">
              <w:rPr>
                <w:bCs/>
                <w:lang w:val="en-US"/>
              </w:rPr>
              <w:t>A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B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N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C</w:t>
            </w:r>
            <w:r w:rsidRPr="001B0E44">
              <w:rPr>
                <w:bCs/>
              </w:rPr>
              <w:t>1, 4</w:t>
            </w:r>
            <w:r w:rsidRPr="006840D8">
              <w:rPr>
                <w:bCs/>
                <w:lang w:val="en-US"/>
              </w:rPr>
              <w:t>C</w:t>
            </w:r>
            <w:r w:rsidRPr="001B0E44">
              <w:rPr>
                <w:bCs/>
              </w:rPr>
              <w:t>2, 4</w:t>
            </w:r>
            <w:r w:rsidRPr="006840D8">
              <w:rPr>
                <w:bCs/>
                <w:lang w:val="en-US"/>
              </w:rPr>
              <w:t>D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F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G</w:t>
            </w:r>
            <w:r w:rsidRPr="001B0E44">
              <w:rPr>
                <w:bCs/>
              </w:rPr>
              <w:t>, 4</w:t>
            </w:r>
            <w:r w:rsidRPr="006840D8">
              <w:rPr>
                <w:bCs/>
                <w:lang w:val="en-US"/>
              </w:rPr>
              <w:t>H</w:t>
            </w:r>
            <w:r w:rsidRPr="001B0E44">
              <w:rPr>
                <w:bCs/>
              </w:rPr>
              <w:t>1, 4</w:t>
            </w:r>
            <w:r w:rsidRPr="006840D8">
              <w:rPr>
                <w:bCs/>
                <w:lang w:val="en-US"/>
              </w:rPr>
              <w:t>H</w:t>
            </w:r>
            <w:r w:rsidRPr="001B0E44">
              <w:rPr>
                <w:bCs/>
              </w:rPr>
              <w:t>2);</w:t>
            </w:r>
            <w:bookmarkEnd w:id="6"/>
            <w:r>
              <w:rPr>
                <w:bCs/>
              </w:rPr>
              <w:br/>
            </w:r>
            <w:bookmarkStart w:id="7" w:name="lt_pId175"/>
            <w:r>
              <w:rPr>
                <w:bCs/>
              </w:rPr>
              <w:tab/>
            </w:r>
            <w:r w:rsidRPr="006840D8">
              <w:rPr>
                <w:bCs/>
              </w:rPr>
              <w:t>канистры (3A2, 3B2, 3H2).</w:t>
            </w:r>
            <w:bookmarkEnd w:id="7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bookmarkStart w:id="8" w:name="lt_pId176"/>
            <w:r>
              <w:rPr>
                <w:bCs/>
              </w:rPr>
              <w:tab/>
            </w:r>
            <w:r w:rsidRPr="006840D8">
              <w:rPr>
                <w:bCs/>
              </w:rPr>
              <w:t>Тара должна отвечать эксплуатационным требованиям для группы упаковки II и удовлетворять следующим требованиям:</w:t>
            </w:r>
            <w:bookmarkEnd w:id="8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a)</w:t>
            </w:r>
            <w:r w:rsidRPr="006840D8">
              <w:rPr>
                <w:bCs/>
              </w:rPr>
              <w:tab/>
            </w:r>
            <w:bookmarkStart w:id="9" w:name="lt_pId178"/>
            <w:r w:rsidRPr="006840D8">
              <w:rPr>
                <w:bCs/>
              </w:rPr>
              <w:t>батареи и элементы, включая оборудование, различных размеров, форм или масс должны упаковываться в наружную тару указанного выше испытанного типа конструкции при условии, что общая масса брутто упаковки не должна превышать массу брутто, на которую был испытан данный тип конструкции;</w:t>
            </w:r>
            <w:bookmarkEnd w:id="9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b)</w:t>
            </w:r>
            <w:r w:rsidRPr="006840D8">
              <w:rPr>
                <w:bCs/>
              </w:rPr>
              <w:tab/>
            </w:r>
            <w:bookmarkStart w:id="10" w:name="lt_pId180"/>
            <w:r w:rsidRPr="006840D8">
              <w:rPr>
                <w:bCs/>
              </w:rPr>
              <w:t>каждый элемент или каждая батарея должны упаковываться по отдельности во внутреннюю тару и помещаться в наружную тару;</w:t>
            </w:r>
            <w:bookmarkEnd w:id="10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c)</w:t>
            </w:r>
            <w:r w:rsidRPr="006840D8">
              <w:rPr>
                <w:bCs/>
              </w:rPr>
              <w:tab/>
            </w:r>
            <w:bookmarkStart w:id="11" w:name="lt_pId182"/>
            <w:r w:rsidRPr="006840D8">
              <w:rPr>
                <w:bCs/>
              </w:rPr>
              <w:t xml:space="preserve">каждая единица внутренней тары должна быть полностью обложена достаточным количеством негорючего и </w:t>
            </w:r>
            <w:r w:rsidRPr="004E107B">
              <w:rPr>
                <w:bCs/>
                <w:highlight w:val="yellow"/>
              </w:rPr>
              <w:t>электронепроводящего</w:t>
            </w:r>
            <w:r w:rsidRPr="006840D8">
              <w:rPr>
                <w:bCs/>
              </w:rPr>
              <w:t xml:space="preserve"> теплоизоляционного материала для защиты от опасного выделения тепла;</w:t>
            </w:r>
            <w:bookmarkEnd w:id="11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d)</w:t>
            </w:r>
            <w:r w:rsidRPr="006840D8">
              <w:rPr>
                <w:bCs/>
              </w:rPr>
              <w:tab/>
            </w:r>
            <w:bookmarkStart w:id="12" w:name="lt_pId184"/>
            <w:r w:rsidRPr="006840D8">
              <w:rPr>
                <w:bCs/>
              </w:rPr>
              <w:t>должны быть приняты соответствующие меры для сведения к минимуму воздействия вибраций и ударов и предотвращения перемещения элементов или батарей внутри упаковки, которое может привести к их повреждению и создать опасность во время перевозки.</w:t>
            </w:r>
            <w:bookmarkEnd w:id="12"/>
            <w:r w:rsidRPr="006840D8">
              <w:rPr>
                <w:bCs/>
              </w:rPr>
              <w:t xml:space="preserve">  </w:t>
            </w:r>
            <w:bookmarkStart w:id="13" w:name="lt_pId185"/>
            <w:r w:rsidRPr="006840D8">
              <w:rPr>
                <w:bCs/>
              </w:rPr>
              <w:t xml:space="preserve">Для выполнения этого требования может быть использован негорючий и </w:t>
            </w:r>
            <w:r w:rsidRPr="004E107B">
              <w:rPr>
                <w:bCs/>
                <w:highlight w:val="yellow"/>
              </w:rPr>
              <w:t>электронепроводящий</w:t>
            </w:r>
            <w:r w:rsidRPr="006840D8">
              <w:rPr>
                <w:bCs/>
              </w:rPr>
              <w:t xml:space="preserve"> прокладочный материал;</w:t>
            </w:r>
            <w:bookmarkEnd w:id="13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e)</w:t>
            </w:r>
            <w:r w:rsidRPr="006840D8">
              <w:rPr>
                <w:bCs/>
              </w:rPr>
              <w:tab/>
            </w:r>
            <w:bookmarkStart w:id="14" w:name="lt_pId187"/>
            <w:r w:rsidRPr="006840D8">
              <w:rPr>
                <w:bCs/>
              </w:rPr>
              <w:t>негорючесть должна быть оценена в соответствии со стандартом, признанным в стране, в которой была сконструирована или изготовлена тара;</w:t>
            </w:r>
            <w:bookmarkEnd w:id="14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clear" w:pos="1742"/>
                <w:tab w:val="left" w:pos="473"/>
                <w:tab w:val="left" w:pos="968"/>
              </w:tabs>
              <w:spacing w:before="40" w:after="80"/>
              <w:ind w:left="968" w:right="0" w:hanging="96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6840D8">
              <w:rPr>
                <w:bCs/>
              </w:rPr>
              <w:t>f)</w:t>
            </w:r>
            <w:r w:rsidRPr="006840D8">
              <w:rPr>
                <w:bCs/>
              </w:rPr>
              <w:tab/>
            </w:r>
            <w:bookmarkStart w:id="15" w:name="lt_pId189"/>
            <w:r w:rsidRPr="006840D8">
              <w:rPr>
                <w:bCs/>
              </w:rPr>
              <w:t>количество элементов или батарей массой нетто более 30 кг не должно превышать один элемент или одну батарею на единицу наружной тары.</w:t>
            </w:r>
            <w:bookmarkEnd w:id="15"/>
          </w:p>
          <w:p w:rsidR="004E107B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0" w:right="0"/>
              <w:jc w:val="left"/>
              <w:rPr>
                <w:bCs/>
              </w:rPr>
            </w:pPr>
            <w:r w:rsidRPr="006840D8">
              <w:rPr>
                <w:bCs/>
              </w:rPr>
              <w:t>(2)</w:t>
            </w:r>
            <w:r w:rsidRPr="006840D8">
              <w:rPr>
                <w:bCs/>
              </w:rPr>
              <w:tab/>
            </w:r>
            <w:bookmarkStart w:id="16" w:name="lt_pId191"/>
            <w:r w:rsidRPr="006840D8">
              <w:rPr>
                <w:bCs/>
              </w:rPr>
              <w:t>Для элементов и батарей, содержащихся в оборудовании:</w:t>
            </w:r>
            <w:bookmarkEnd w:id="16"/>
          </w:p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0" w:right="0"/>
              <w:jc w:val="left"/>
              <w:rPr>
                <w:bCs/>
              </w:rPr>
            </w:pPr>
            <w:r w:rsidRPr="006840D8">
              <w:rPr>
                <w:bCs/>
              </w:rPr>
              <w:tab/>
            </w:r>
            <w:bookmarkStart w:id="17" w:name="lt_pId193"/>
            <w:r>
              <w:rPr>
                <w:bCs/>
              </w:rPr>
              <w:tab/>
            </w:r>
            <w:r w:rsidRPr="006840D8">
              <w:rPr>
                <w:bCs/>
              </w:rPr>
              <w:t>барабаны (1A2, 1B2, 1N2, 1H2, 1D, 1G);</w:t>
            </w:r>
            <w:bookmarkEnd w:id="17"/>
            <w:r>
              <w:rPr>
                <w:bCs/>
              </w:rPr>
              <w:br/>
            </w:r>
            <w:r w:rsidRPr="006840D8">
              <w:rPr>
                <w:bCs/>
              </w:rPr>
              <w:tab/>
            </w:r>
            <w:bookmarkStart w:id="18" w:name="lt_pId195"/>
            <w:r>
              <w:rPr>
                <w:bCs/>
              </w:rPr>
              <w:tab/>
            </w:r>
            <w:r w:rsidRPr="006840D8">
              <w:rPr>
                <w:bCs/>
              </w:rPr>
              <w:t>ящики</w:t>
            </w:r>
            <w:r w:rsidRPr="00A07D60">
              <w:rPr>
                <w:bCs/>
              </w:rPr>
              <w:t xml:space="preserve"> (4A, 4B, 4N, 4C1, 4C2, 4D, 4F, 4G, 4H1, 4H2);</w:t>
            </w:r>
            <w:bookmarkEnd w:id="18"/>
            <w:r>
              <w:rPr>
                <w:bCs/>
              </w:rPr>
              <w:br/>
            </w:r>
            <w:r w:rsidRPr="00A07D60">
              <w:rPr>
                <w:bCs/>
              </w:rPr>
              <w:tab/>
            </w:r>
            <w:bookmarkStart w:id="19" w:name="lt_pId197"/>
            <w:r>
              <w:rPr>
                <w:bCs/>
              </w:rPr>
              <w:tab/>
            </w:r>
            <w:r w:rsidRPr="006840D8">
              <w:rPr>
                <w:bCs/>
              </w:rPr>
              <w:t>канистры (3A2, 3B2, 3H2).</w:t>
            </w:r>
            <w:bookmarkEnd w:id="19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bookmarkStart w:id="20" w:name="lt_pId198"/>
            <w:r>
              <w:rPr>
                <w:bCs/>
              </w:rPr>
              <w:tab/>
            </w:r>
            <w:r w:rsidRPr="006840D8">
              <w:rPr>
                <w:bCs/>
              </w:rPr>
              <w:t>Тара должна отвечать эксплуатационным требованиям для группы упаковки II и удовлетворять следующим требованиям:</w:t>
            </w:r>
            <w:bookmarkEnd w:id="20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bookmarkStart w:id="21" w:name="lt_pId199"/>
            <w:r>
              <w:rPr>
                <w:bCs/>
              </w:rPr>
              <w:t>а)</w:t>
            </w:r>
            <w:r>
              <w:rPr>
                <w:bCs/>
              </w:rPr>
              <w:tab/>
            </w:r>
            <w:r w:rsidRPr="006840D8">
              <w:rPr>
                <w:bCs/>
              </w:rPr>
              <w:t>оборудование различных размеров, форм или масс должно упаковываться в наружную тару указанного выше испытанного типа конструкции при условии, что общая масса брутто упаковки не должна превышать массу брутто, на которую был испытан данный тип конструкции;</w:t>
            </w:r>
            <w:bookmarkEnd w:id="21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r w:rsidRPr="006840D8">
              <w:rPr>
                <w:bCs/>
              </w:rPr>
              <w:t>b)</w:t>
            </w:r>
            <w:r w:rsidRPr="006840D8">
              <w:rPr>
                <w:bCs/>
              </w:rPr>
              <w:tab/>
            </w:r>
            <w:bookmarkStart w:id="22" w:name="lt_pId201"/>
            <w:r w:rsidRPr="006840D8">
              <w:rPr>
                <w:bCs/>
              </w:rPr>
              <w:t>оборудование должно быть сконструировано или упаковано таким образом, чтобы не происходило случайного срабатывания во время перевозки;</w:t>
            </w:r>
            <w:bookmarkEnd w:id="22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r w:rsidRPr="006840D8">
              <w:rPr>
                <w:bCs/>
              </w:rPr>
              <w:t>c)</w:t>
            </w:r>
            <w:r w:rsidRPr="006840D8">
              <w:rPr>
                <w:bCs/>
              </w:rPr>
              <w:tab/>
            </w:r>
            <w:bookmarkStart w:id="23" w:name="lt_pId203"/>
            <w:r w:rsidRPr="006840D8">
              <w:rPr>
                <w:bCs/>
              </w:rPr>
              <w:t>должны быть приняты соответствующие меры для сведения к минимуму воздействия вибраций и ударов и предотвращения перемещения оборудования внутри упаковки, которое может привести к его повреждению и создать опасность во время перевозки.</w:t>
            </w:r>
            <w:bookmarkEnd w:id="23"/>
            <w:r w:rsidRPr="006840D8">
              <w:rPr>
                <w:bCs/>
              </w:rPr>
              <w:t xml:space="preserve"> </w:t>
            </w:r>
            <w:bookmarkStart w:id="24" w:name="lt_pId204"/>
            <w:r w:rsidRPr="006840D8">
              <w:rPr>
                <w:bCs/>
              </w:rPr>
              <w:t xml:space="preserve">Если для выполнения этого требования используется прокладочный материал, он должен быть негорючим и </w:t>
            </w:r>
            <w:r w:rsidRPr="004E107B">
              <w:rPr>
                <w:bCs/>
                <w:highlight w:val="yellow"/>
              </w:rPr>
              <w:t>электронепроводящим</w:t>
            </w:r>
            <w:r w:rsidRPr="006840D8">
              <w:rPr>
                <w:bCs/>
              </w:rPr>
              <w:t>;</w:t>
            </w:r>
            <w:bookmarkEnd w:id="24"/>
            <w:r w:rsidRPr="006840D8">
              <w:rPr>
                <w:bCs/>
              </w:rPr>
              <w:t xml:space="preserve"> и</w:t>
            </w:r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r w:rsidRPr="006840D8">
              <w:rPr>
                <w:bCs/>
              </w:rPr>
              <w:t>d)</w:t>
            </w:r>
            <w:r w:rsidRPr="006840D8">
              <w:rPr>
                <w:bCs/>
              </w:rPr>
              <w:tab/>
            </w:r>
            <w:bookmarkStart w:id="25" w:name="lt_pId207"/>
            <w:r w:rsidRPr="006840D8">
              <w:rPr>
                <w:bCs/>
              </w:rPr>
              <w:t>негорючесть должна быть оценена в соответствии со стандартом, признанным в стране, в которой была сконструирована или изготовлена тара.</w:t>
            </w:r>
            <w:bookmarkEnd w:id="25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473" w:right="0" w:hanging="473"/>
              <w:jc w:val="left"/>
              <w:rPr>
                <w:b/>
                <w:bCs/>
                <w:i/>
              </w:rPr>
            </w:pPr>
            <w:r w:rsidRPr="006840D8">
              <w:rPr>
                <w:bCs/>
              </w:rPr>
              <w:t>(3)</w:t>
            </w:r>
            <w:r w:rsidRPr="006840D8">
              <w:rPr>
                <w:bCs/>
              </w:rPr>
              <w:tab/>
            </w:r>
            <w:bookmarkStart w:id="26" w:name="lt_pId209"/>
            <w:r w:rsidRPr="006840D8">
              <w:rPr>
                <w:bCs/>
              </w:rPr>
              <w:t>Оборудование или батареи могут перевозиться в неупакованном виде с соблюдением условий, указанных компетентным органом.</w:t>
            </w:r>
            <w:bookmarkEnd w:id="26"/>
            <w:r w:rsidRPr="006840D8">
              <w:rPr>
                <w:bCs/>
              </w:rPr>
              <w:t xml:space="preserve"> </w:t>
            </w:r>
            <w:bookmarkStart w:id="27" w:name="lt_pId210"/>
            <w:r w:rsidRPr="006840D8">
              <w:rPr>
                <w:bCs/>
              </w:rPr>
              <w:t>Дополнительные условия, которые могут учитываться в процессе утверждения, включают, в частности, следующие условия:</w:t>
            </w:r>
            <w:bookmarkEnd w:id="27"/>
          </w:p>
          <w:p w:rsidR="004E107B" w:rsidRPr="006840D8" w:rsidRDefault="004E107B" w:rsidP="00F16118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bookmarkStart w:id="28" w:name="lt_pId211"/>
            <w:r>
              <w:rPr>
                <w:bCs/>
              </w:rPr>
              <w:t>а)</w:t>
            </w:r>
            <w:r>
              <w:rPr>
                <w:bCs/>
              </w:rPr>
              <w:tab/>
            </w:r>
            <w:r w:rsidRPr="006840D8">
              <w:rPr>
                <w:bCs/>
              </w:rPr>
              <w:t xml:space="preserve">оборудование или батарея должны быть достаточно прочными, чтобы выдерживать удары и </w:t>
            </w:r>
            <w:r w:rsidRPr="006840D8">
              <w:rPr>
                <w:bCs/>
              </w:rPr>
              <w:lastRenderedPageBreak/>
              <w:t>нагрузки, обычно возникающие во время перевозки, в том числе при перегрузке между грузовыми транспортными единицами или между грузовыми транспортными единицами и складами, а также при любом перемещении с поддона с целью последующей ручной или механической обработки;</w:t>
            </w:r>
            <w:bookmarkEnd w:id="28"/>
            <w:r w:rsidRPr="006840D8">
              <w:rPr>
                <w:bCs/>
              </w:rPr>
              <w:t xml:space="preserve"> и </w:t>
            </w:r>
          </w:p>
          <w:p w:rsidR="004E107B" w:rsidRPr="006840D8" w:rsidRDefault="004E107B" w:rsidP="00CE1EE1">
            <w:pPr>
              <w:pStyle w:val="SingleTxt"/>
              <w:tabs>
                <w:tab w:val="clear" w:pos="1267"/>
                <w:tab w:val="left" w:pos="473"/>
                <w:tab w:val="left" w:pos="1008"/>
              </w:tabs>
              <w:spacing w:before="40" w:after="80"/>
              <w:ind w:left="1008" w:right="0" w:hanging="533"/>
              <w:jc w:val="left"/>
              <w:rPr>
                <w:bCs/>
              </w:rPr>
            </w:pPr>
            <w:bookmarkStart w:id="29" w:name="lt_pId213"/>
            <w:r>
              <w:rPr>
                <w:bCs/>
              </w:rPr>
              <w:t>b)</w:t>
            </w:r>
            <w:r>
              <w:rPr>
                <w:bCs/>
              </w:rPr>
              <w:tab/>
            </w:r>
            <w:r w:rsidRPr="006840D8">
              <w:rPr>
                <w:bCs/>
              </w:rPr>
              <w:t xml:space="preserve">оборудование или батарея должны быть установлены на опоры либо помещены в обрешетки или иные транспортно-загрузочные приспособления таким образом, чтобы в </w:t>
            </w:r>
            <w:r w:rsidR="00CE1EE1" w:rsidRPr="00CE1EE1">
              <w:rPr>
                <w:bCs/>
                <w:highlight w:val="yellow"/>
              </w:rPr>
              <w:t>нормальных</w:t>
            </w:r>
            <w:r w:rsidRPr="006840D8">
              <w:rPr>
                <w:bCs/>
              </w:rPr>
              <w:t xml:space="preserve"> условиях перевозки они не могли перемещаться.</w:t>
            </w:r>
            <w:bookmarkEnd w:id="29"/>
          </w:p>
        </w:tc>
      </w:tr>
      <w:tr w:rsidR="004E107B" w:rsidRPr="006840D8" w:rsidTr="004E107B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left w:w="37" w:type="dxa"/>
            <w:right w:w="37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/>
                <w:bCs/>
              </w:rPr>
            </w:pPr>
            <w:bookmarkStart w:id="30" w:name="lt_pId214"/>
            <w:r w:rsidRPr="006840D8">
              <w:rPr>
                <w:b/>
                <w:bCs/>
              </w:rPr>
              <w:lastRenderedPageBreak/>
              <w:t>Дополнительные требования</w:t>
            </w:r>
            <w:bookmarkEnd w:id="30"/>
          </w:p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31" w:name="lt_pId215"/>
            <w:r w:rsidRPr="006840D8">
              <w:rPr>
                <w:bCs/>
              </w:rPr>
              <w:t>Элементы и батареи должны быть защищены от короткого замыкания;</w:t>
            </w:r>
            <w:bookmarkEnd w:id="31"/>
          </w:p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0" w:right="0"/>
              <w:jc w:val="left"/>
              <w:rPr>
                <w:bCs/>
              </w:rPr>
            </w:pPr>
            <w:bookmarkStart w:id="32" w:name="lt_pId216"/>
            <w:r w:rsidRPr="006840D8">
              <w:rPr>
                <w:bCs/>
              </w:rPr>
              <w:t>защита от короткого замыкания включает следующее, но не ограничивается этим:</w:t>
            </w:r>
            <w:bookmarkEnd w:id="32"/>
            <w:r w:rsidRPr="006840D8">
              <w:rPr>
                <w:bCs/>
              </w:rPr>
              <w:t xml:space="preserve"> </w:t>
            </w:r>
          </w:p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3" w:name="lt_pId218"/>
            <w:r w:rsidRPr="006840D8">
              <w:rPr>
                <w:bCs/>
              </w:rPr>
              <w:t>индивидуальная защита контактных клемм;</w:t>
            </w:r>
            <w:bookmarkEnd w:id="33"/>
            <w:r w:rsidRPr="006840D8">
              <w:rPr>
                <w:bCs/>
              </w:rPr>
              <w:t xml:space="preserve"> </w:t>
            </w:r>
          </w:p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4" w:name="lt_pId220"/>
            <w:r w:rsidRPr="006840D8">
              <w:rPr>
                <w:bCs/>
              </w:rPr>
              <w:t xml:space="preserve">внутренняя тара для предотвращения </w:t>
            </w:r>
            <w:r w:rsidR="00CE1EE1" w:rsidRPr="00CE1EE1">
              <w:rPr>
                <w:bCs/>
                <w:highlight w:val="yellow"/>
              </w:rPr>
              <w:t>электрического</w:t>
            </w:r>
            <w:r w:rsidR="00CE1EE1">
              <w:rPr>
                <w:bCs/>
              </w:rPr>
              <w:t xml:space="preserve"> </w:t>
            </w:r>
            <w:r w:rsidRPr="006840D8">
              <w:rPr>
                <w:bCs/>
              </w:rPr>
              <w:t>контакта между элементами и батареями;</w:t>
            </w:r>
            <w:bookmarkEnd w:id="34"/>
            <w:r w:rsidRPr="006840D8">
              <w:rPr>
                <w:bCs/>
              </w:rPr>
              <w:t xml:space="preserve"> </w:t>
            </w:r>
          </w:p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5" w:name="lt_pId222"/>
            <w:r w:rsidRPr="006840D8">
              <w:rPr>
                <w:bCs/>
              </w:rPr>
              <w:t>батареи и утопленные в корпус контактные клеммы, сконструированные таким образом, чтобы обеспечить защиту от короткого замыкания; или</w:t>
            </w:r>
            <w:bookmarkEnd w:id="35"/>
            <w:r w:rsidRPr="006840D8">
              <w:rPr>
                <w:bCs/>
              </w:rPr>
              <w:t xml:space="preserve"> </w:t>
            </w:r>
          </w:p>
          <w:p w:rsidR="004E107B" w:rsidRPr="006840D8" w:rsidRDefault="004E107B" w:rsidP="00F16118">
            <w:pPr>
              <w:pStyle w:val="SingleTxt"/>
              <w:keepNext/>
              <w:keepLines/>
              <w:tabs>
                <w:tab w:val="clear" w:pos="1267"/>
                <w:tab w:val="left" w:pos="473"/>
              </w:tabs>
              <w:spacing w:before="40" w:after="80"/>
              <w:ind w:left="473" w:right="0" w:hanging="473"/>
              <w:jc w:val="left"/>
              <w:rPr>
                <w:bCs/>
              </w:rPr>
            </w:pPr>
            <w:r>
              <w:rPr>
                <w:bCs/>
              </w:rPr>
              <w:t>–</w:t>
            </w:r>
            <w:r w:rsidRPr="006840D8">
              <w:rPr>
                <w:bCs/>
              </w:rPr>
              <w:tab/>
            </w:r>
            <w:bookmarkStart w:id="36" w:name="lt_pId224"/>
            <w:r w:rsidRPr="006840D8">
              <w:rPr>
                <w:bCs/>
              </w:rPr>
              <w:t xml:space="preserve">использование </w:t>
            </w:r>
            <w:r w:rsidR="00CE1EE1" w:rsidRPr="00CE1EE1">
              <w:rPr>
                <w:bCs/>
                <w:highlight w:val="yellow"/>
              </w:rPr>
              <w:t>электро</w:t>
            </w:r>
            <w:r w:rsidRPr="00CE1EE1">
              <w:rPr>
                <w:bCs/>
                <w:highlight w:val="yellow"/>
              </w:rPr>
              <w:t>непроводящего</w:t>
            </w:r>
            <w:r w:rsidRPr="006840D8">
              <w:rPr>
                <w:bCs/>
              </w:rPr>
              <w:t xml:space="preserve"> и негорючего прокладочного материала для заполнения пустот между элементами или батареями внутри тары.</w:t>
            </w:r>
            <w:bookmarkEnd w:id="36"/>
          </w:p>
        </w:tc>
      </w:tr>
      <w:tr w:rsidR="00DE79C3" w:rsidTr="004E107B">
        <w:trPr>
          <w:gridAfter w:val="1"/>
          <w:wAfter w:w="10" w:type="dxa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pageBreakBefore/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tLeast"/>
              <w:ind w:right="1134"/>
              <w:jc w:val="both"/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lastRenderedPageBreak/>
              <w:t>LP904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tLeast"/>
              <w:ind w:left="1134" w:right="233" w:hanging="901"/>
              <w:jc w:val="both"/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t>ИНСТРУКЦИЯ ПО УПАКОВКЕ</w:t>
            </w: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line="240" w:lineRule="atLeast"/>
              <w:ind w:firstLine="833"/>
              <w:jc w:val="right"/>
            </w:pPr>
            <w:r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t>LP904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42" w:right="114" w:firstLine="1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Настоящая инструкция применяется к одиночным поврежденным или имеющим дефекты батареям под № ООН 3090, 3091, 3480 и 3481, в том числе содержащимся в оборудовании.</w:t>
            </w:r>
          </w:p>
        </w:tc>
      </w:tr>
      <w:tr w:rsidR="00DE79C3" w:rsidTr="004E107B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42" w:right="114" w:firstLine="1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При условии соблюдения общих положений, изложенных в разделах 4.1.1 и 4.1.3, для одиночной поврежденной или имеющей дефекты батареи и для одиночной поврежденной или имеющей дефекты батареи, содержащейся в оборудовании, разрешается использовать следующую крупногабаритную тару: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42" w:right="132" w:firstLine="16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Для батарей и оборудования, содержащего батареи, крупногабаритную тару, изготовленную из: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560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стали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val="en-GB"/>
              </w:rPr>
              <w:t>(50A)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;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алюминия 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val="en-GB"/>
              </w:rPr>
              <w:t>(50B)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;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металла, кроме стали или алюминия (50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);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твердой пластмассы 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val="en-GB"/>
              </w:rPr>
              <w:t>(50H)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;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ind w:left="1701" w:right="1134" w:hanging="1542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фанеры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lang w:val="en-GB"/>
              </w:rPr>
              <w:t>(50D)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.</w:t>
            </w:r>
          </w:p>
        </w:tc>
      </w:tr>
      <w:tr w:rsidR="00DE79C3" w:rsidTr="004E107B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54" w:right="132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Тара должна отвечать требованиям для группы упаковки II.</w:t>
            </w:r>
          </w:p>
        </w:tc>
      </w:tr>
      <w:tr w:rsidR="00DE79C3" w:rsidTr="004E107B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742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742" w:right="132" w:hanging="588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1.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Каждая батарея или оборудование, содержащее такую батарею, должны быть упакованы по отдельности во внутреннюю тару и помещены в наружную тару. Внутренняя тара или наружная тара должна быть герметичной во избежание возможного высвобождения электролита.</w:t>
            </w:r>
          </w:p>
          <w:p w:rsidR="00DE79C3" w:rsidRDefault="00DE79C3" w:rsidP="00F16118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770" w:right="132" w:hanging="616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2.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Каждая внутренняя тара должна быть обложена достаточным количеством негорючего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</w:rPr>
              <w:t>электронепроводящего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 xml:space="preserve"> теплоизоляционного материала с целью защиты от опасного выделения тепла.</w:t>
            </w:r>
          </w:p>
          <w:p w:rsidR="00DE79C3" w:rsidRDefault="00DE79C3" w:rsidP="00F16118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770" w:right="132" w:hanging="616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3.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Герметизированная тара должна при необходимости иметь вентиляционное устройство.</w:t>
            </w:r>
          </w:p>
          <w:p w:rsidR="00DE79C3" w:rsidRDefault="00DE79C3" w:rsidP="00F16118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770" w:right="132" w:hanging="616"/>
              <w:jc w:val="both"/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4.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 xml:space="preserve">Должны быть приняты соответствующие меры для сведения к минимуму воздействия вибрации и ударов и предотвращения перемещения батареи внутри упаковки, которое может привести к дальнейшему повреждению и создавать опасность во время перевозки. Для выполнения данного требования может быть также использован негорючий и </w:t>
            </w:r>
            <w:r w:rsidRPr="00B96392"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  <w:highlight w:val="yellow"/>
              </w:rPr>
              <w:t>электронепроводящий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 xml:space="preserve"> прокладочный материал.</w:t>
            </w:r>
          </w:p>
          <w:p w:rsidR="00DE79C3" w:rsidRDefault="00DE79C3" w:rsidP="00F16118">
            <w:pPr>
              <w:tabs>
                <w:tab w:val="left" w:pos="770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770" w:right="132" w:hanging="616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5.</w:t>
            </w: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ab/>
              <w:t>Негорючесть должна быть оценена в соответствии со стандартом, признанным в стране, где была сконструирована или изготовлена тара.</w:t>
            </w:r>
          </w:p>
        </w:tc>
      </w:tr>
      <w:tr w:rsidR="00DE79C3" w:rsidTr="004E107B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54" w:right="132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При наличии протекших батарей во внутреннюю или наружную тару должно быть помещено достаточное количество инертного абсорбирующего материала, способного поглотить высвободившийся электролит.</w:t>
            </w:r>
          </w:p>
        </w:tc>
      </w:tr>
      <w:tr w:rsidR="00DE79C3" w:rsidTr="004E107B">
        <w:trPr>
          <w:gridAfter w:val="1"/>
          <w:wAfter w:w="10" w:type="dxa"/>
          <w:trHeight w:val="407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54" w:right="132"/>
              <w:jc w:val="both"/>
            </w:pPr>
            <w:r>
              <w:rPr>
                <w:rFonts w:ascii="Arial" w:hAnsi="Arial"/>
                <w:b/>
                <w:spacing w:val="4"/>
                <w:w w:val="103"/>
                <w:kern w:val="1"/>
                <w:sz w:val="20"/>
                <w:szCs w:val="20"/>
              </w:rPr>
              <w:t>Дополнительное требование:</w:t>
            </w:r>
          </w:p>
        </w:tc>
      </w:tr>
      <w:tr w:rsidR="00DE79C3" w:rsidTr="004E107B">
        <w:trPr>
          <w:gridAfter w:val="1"/>
          <w:wAfter w:w="10" w:type="dxa"/>
        </w:trPr>
        <w:tc>
          <w:tcPr>
            <w:tcW w:w="99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C3" w:rsidRDefault="00DE79C3" w:rsidP="00F16118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 w:line="240" w:lineRule="atLeast"/>
              <w:ind w:left="154" w:right="132"/>
              <w:jc w:val="both"/>
            </w:pPr>
            <w:r>
              <w:rPr>
                <w:rFonts w:ascii="Arial" w:hAnsi="Arial"/>
                <w:spacing w:val="4"/>
                <w:w w:val="103"/>
                <w:kern w:val="1"/>
                <w:sz w:val="20"/>
                <w:szCs w:val="20"/>
              </w:rPr>
              <w:t>Батареи должны быть защищены от короткого замыкания.</w:t>
            </w:r>
          </w:p>
        </w:tc>
      </w:tr>
    </w:tbl>
    <w:p w:rsidR="00DE79C3" w:rsidRDefault="00DE79C3" w:rsidP="00DE79C3"/>
    <w:p w:rsidR="004E107B" w:rsidRDefault="00DE79C3" w:rsidP="00CE1EE1">
      <w:pPr>
        <w:spacing w:before="240" w:after="120" w:line="300" w:lineRule="atLeast"/>
        <w:ind w:right="1134" w:hanging="1134"/>
        <w:jc w:val="center"/>
        <w:rPr>
          <w:b/>
        </w:rPr>
      </w:pPr>
      <w:r w:rsidRPr="00DE79C3">
        <w:rPr>
          <w:b/>
        </w:rPr>
        <w:t xml:space="preserve">Предложение </w:t>
      </w:r>
      <w:r>
        <w:rPr>
          <w:b/>
        </w:rPr>
        <w:t>3</w:t>
      </w:r>
      <w:r w:rsidRPr="00DE79C3">
        <w:rPr>
          <w:b/>
        </w:rPr>
        <w:t>.</w:t>
      </w:r>
      <w:r>
        <w:rPr>
          <w:b/>
        </w:rPr>
        <w:t xml:space="preserve"> В</w:t>
      </w:r>
      <w:r w:rsidRPr="00DE79C3">
        <w:rPr>
          <w:b/>
        </w:rPr>
        <w:t xml:space="preserve">нести изменения в Главу </w:t>
      </w:r>
      <w:r w:rsidR="004E107B">
        <w:rPr>
          <w:b/>
        </w:rPr>
        <w:t>6.</w:t>
      </w:r>
      <w:r>
        <w:rPr>
          <w:b/>
        </w:rPr>
        <w:t>4</w:t>
      </w:r>
      <w:r w:rsidR="001F2DC8" w:rsidRPr="001F2DC8">
        <w:rPr>
          <w:b/>
        </w:rPr>
        <w:t xml:space="preserve"> </w:t>
      </w:r>
      <w:r w:rsidR="001F2DC8">
        <w:rPr>
          <w:b/>
        </w:rPr>
        <w:t>Типовых Правил</w:t>
      </w:r>
    </w:p>
    <w:p w:rsidR="004E107B" w:rsidRDefault="00CE1EE1" w:rsidP="00CE1EE1">
      <w:pPr>
        <w:spacing w:before="240" w:after="120" w:line="300" w:lineRule="atLeast"/>
        <w:ind w:right="1134" w:hanging="284"/>
        <w:rPr>
          <w:b/>
        </w:rPr>
      </w:pPr>
      <w:r w:rsidRPr="00CE1EE1">
        <w:rPr>
          <w:b/>
          <w:noProof/>
          <w:lang w:val="en-GB" w:eastAsia="en-GB"/>
        </w:rPr>
        <w:drawing>
          <wp:inline distT="0" distB="0" distL="0" distR="0">
            <wp:extent cx="5940170" cy="1118680"/>
            <wp:effectExtent l="19050" t="0" r="343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24" t="34916" r="29471" b="4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E1" w:rsidRPr="000E03FF" w:rsidRDefault="00CE1EE1" w:rsidP="00CE1EE1">
      <w:pPr>
        <w:jc w:val="both"/>
      </w:pPr>
      <w:r w:rsidRPr="007F0A8B">
        <w:lastRenderedPageBreak/>
        <w:t xml:space="preserve">Слова «тепловой проводимостью» заменить словами: «коэффициентом теплопроводности». </w:t>
      </w:r>
    </w:p>
    <w:p w:rsidR="00CE1EE1" w:rsidRPr="007F0A8B" w:rsidRDefault="00CE1EE1" w:rsidP="00CE1EE1">
      <w:pPr>
        <w:ind w:firstLine="708"/>
        <w:rPr>
          <w:i/>
        </w:rPr>
      </w:pPr>
      <w:r w:rsidRPr="007F0A8B">
        <w:rPr>
          <w:i/>
        </w:rPr>
        <w:t>[В системе СИ единицей измерения коэффициента теплопроводности является  </w:t>
      </w:r>
      <w:hyperlink r:id="rId8" w:tooltip="Ватт" w:history="1">
        <w:r w:rsidRPr="007F0A8B">
          <w:rPr>
            <w:rStyle w:val="Hyperlink"/>
            <w:i/>
          </w:rPr>
          <w:t>Вт</w:t>
        </w:r>
      </w:hyperlink>
      <w:r w:rsidRPr="007F0A8B">
        <w:rPr>
          <w:i/>
        </w:rPr>
        <w:t>/(</w:t>
      </w:r>
      <w:hyperlink r:id="rId9" w:tooltip="Метр" w:history="1">
        <w:r w:rsidRPr="007F0A8B">
          <w:rPr>
            <w:rStyle w:val="Hyperlink"/>
            <w:i/>
          </w:rPr>
          <w:t>м</w:t>
        </w:r>
      </w:hyperlink>
      <w:r w:rsidRPr="007F0A8B">
        <w:rPr>
          <w:i/>
        </w:rPr>
        <w:t>·</w:t>
      </w:r>
      <w:hyperlink r:id="rId10" w:tooltip="Кельвин" w:history="1">
        <w:r w:rsidRPr="007F0A8B">
          <w:rPr>
            <w:rStyle w:val="Hyperlink"/>
            <w:i/>
          </w:rPr>
          <w:t>K</w:t>
        </w:r>
      </w:hyperlink>
      <w:r w:rsidRPr="007F0A8B">
        <w:rPr>
          <w:i/>
        </w:rPr>
        <w:t>)].</w:t>
      </w:r>
    </w:p>
    <w:p w:rsidR="00DE79C3" w:rsidRDefault="00DE79C3" w:rsidP="00CE1EE1">
      <w:pPr>
        <w:spacing w:before="240" w:after="120" w:line="300" w:lineRule="atLeast"/>
        <w:ind w:right="1134" w:hanging="284"/>
        <w:jc w:val="both"/>
        <w:rPr>
          <w:b/>
        </w:rPr>
      </w:pPr>
    </w:p>
    <w:p w:rsidR="007C1957" w:rsidRPr="00D201E7" w:rsidRDefault="007C1957" w:rsidP="007C1957">
      <w:pPr>
        <w:pStyle w:val="HChGR"/>
        <w:jc w:val="center"/>
        <w:rPr>
          <w:sz w:val="24"/>
          <w:szCs w:val="24"/>
        </w:rPr>
      </w:pPr>
      <w:r w:rsidRPr="00D201E7">
        <w:rPr>
          <w:sz w:val="24"/>
          <w:szCs w:val="24"/>
        </w:rPr>
        <w:t>Обоснование</w:t>
      </w:r>
    </w:p>
    <w:p w:rsidR="007C1957" w:rsidRPr="00D201E7" w:rsidRDefault="007C1957" w:rsidP="007C1957">
      <w:pPr>
        <w:pStyle w:val="SingleTxtGR"/>
        <w:rPr>
          <w:sz w:val="24"/>
          <w:szCs w:val="24"/>
        </w:rPr>
      </w:pPr>
      <w:r w:rsidRPr="00D201E7">
        <w:rPr>
          <w:sz w:val="24"/>
          <w:szCs w:val="24"/>
        </w:rPr>
        <w:tab/>
        <w:t>Данн</w:t>
      </w:r>
      <w:r>
        <w:rPr>
          <w:sz w:val="24"/>
          <w:szCs w:val="24"/>
        </w:rPr>
        <w:t>ые</w:t>
      </w:r>
      <w:r w:rsidRPr="00D201E7">
        <w:rPr>
          <w:sz w:val="24"/>
          <w:szCs w:val="24"/>
        </w:rPr>
        <w:t xml:space="preserve"> поправк</w:t>
      </w:r>
      <w:r>
        <w:rPr>
          <w:sz w:val="24"/>
          <w:szCs w:val="24"/>
        </w:rPr>
        <w:t>и</w:t>
      </w:r>
      <w:r w:rsidRPr="00D201E7">
        <w:rPr>
          <w:sz w:val="24"/>
          <w:szCs w:val="24"/>
        </w:rPr>
        <w:t xml:space="preserve"> созда</w:t>
      </w:r>
      <w:r>
        <w:rPr>
          <w:sz w:val="24"/>
          <w:szCs w:val="24"/>
        </w:rPr>
        <w:t>ю</w:t>
      </w:r>
      <w:r w:rsidRPr="00D201E7">
        <w:rPr>
          <w:sz w:val="24"/>
          <w:szCs w:val="24"/>
        </w:rPr>
        <w:t xml:space="preserve">т для участников перевозки условия, направленные на правильное толкование </w:t>
      </w:r>
      <w:r>
        <w:rPr>
          <w:sz w:val="24"/>
          <w:szCs w:val="24"/>
        </w:rPr>
        <w:t>требований упаковке</w:t>
      </w:r>
      <w:r w:rsidRPr="00D201E7">
        <w:rPr>
          <w:sz w:val="24"/>
          <w:szCs w:val="24"/>
        </w:rPr>
        <w:t xml:space="preserve">. </w:t>
      </w:r>
    </w:p>
    <w:p w:rsidR="007C1957" w:rsidRPr="00D201E7" w:rsidRDefault="007C1957" w:rsidP="007C1957">
      <w:pPr>
        <w:pStyle w:val="HChGR"/>
        <w:jc w:val="center"/>
        <w:rPr>
          <w:sz w:val="24"/>
          <w:szCs w:val="24"/>
        </w:rPr>
      </w:pPr>
      <w:r w:rsidRPr="00D201E7">
        <w:rPr>
          <w:sz w:val="24"/>
          <w:szCs w:val="24"/>
        </w:rPr>
        <w:t>Обеспечение применения</w:t>
      </w:r>
    </w:p>
    <w:p w:rsidR="007C1957" w:rsidRPr="00D201E7" w:rsidRDefault="007C1957" w:rsidP="007C1957">
      <w:pPr>
        <w:pStyle w:val="SingleTxtGR"/>
        <w:rPr>
          <w:sz w:val="24"/>
          <w:szCs w:val="24"/>
        </w:rPr>
      </w:pPr>
      <w:r w:rsidRPr="00D201E7">
        <w:rPr>
          <w:sz w:val="24"/>
          <w:szCs w:val="24"/>
        </w:rPr>
        <w:tab/>
        <w:t>Никаких трудностей с обеспечением применения не предвидится.</w:t>
      </w:r>
    </w:p>
    <w:p w:rsidR="00DE79C3" w:rsidRDefault="00DE79C3" w:rsidP="007C1957">
      <w:pPr>
        <w:spacing w:before="240" w:after="120" w:line="300" w:lineRule="atLeast"/>
        <w:ind w:right="1134"/>
        <w:jc w:val="both"/>
        <w:rPr>
          <w:b/>
        </w:rPr>
      </w:pPr>
    </w:p>
    <w:p w:rsidR="00D21A01" w:rsidRDefault="00D21A01"/>
    <w:sectPr w:rsidR="00D21A01" w:rsidSect="00D2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D39"/>
    <w:multiLevelType w:val="hybridMultilevel"/>
    <w:tmpl w:val="45FAED52"/>
    <w:lvl w:ilvl="0" w:tplc="76C279C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11"/>
    <w:rsid w:val="000C42C4"/>
    <w:rsid w:val="000D77D3"/>
    <w:rsid w:val="001F12F4"/>
    <w:rsid w:val="001F2DC8"/>
    <w:rsid w:val="00301611"/>
    <w:rsid w:val="00302BA5"/>
    <w:rsid w:val="004E107B"/>
    <w:rsid w:val="00516239"/>
    <w:rsid w:val="005A323F"/>
    <w:rsid w:val="005F38F3"/>
    <w:rsid w:val="00715096"/>
    <w:rsid w:val="007C1957"/>
    <w:rsid w:val="007D3924"/>
    <w:rsid w:val="0087500D"/>
    <w:rsid w:val="00A17CF0"/>
    <w:rsid w:val="00CE1EE1"/>
    <w:rsid w:val="00D21A01"/>
    <w:rsid w:val="00D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F3"/>
    <w:pPr>
      <w:ind w:left="720"/>
      <w:contextualSpacing/>
    </w:pPr>
  </w:style>
  <w:style w:type="paragraph" w:customStyle="1" w:styleId="magyind">
    <w:name w:val="magy_ind"/>
    <w:basedOn w:val="Normal"/>
    <w:rsid w:val="00DE79C3"/>
    <w:pPr>
      <w:suppressAutoHyphens/>
      <w:spacing w:before="120" w:after="60" w:line="240" w:lineRule="auto"/>
      <w:ind w:left="1560" w:hanging="709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magyind2">
    <w:name w:val="magy_ind2"/>
    <w:basedOn w:val="Normal"/>
    <w:rsid w:val="00DE79C3"/>
    <w:pPr>
      <w:tabs>
        <w:tab w:val="left" w:pos="1122"/>
        <w:tab w:val="left" w:pos="2160"/>
        <w:tab w:val="left" w:pos="2268"/>
      </w:tabs>
      <w:suppressAutoHyphens/>
      <w:spacing w:before="60" w:after="60" w:line="240" w:lineRule="auto"/>
      <w:ind w:left="1701" w:hanging="283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ingleTxtGR">
    <w:name w:val="_ Single Txt_GR"/>
    <w:basedOn w:val="Normal"/>
    <w:rsid w:val="00DE79C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/>
      <w:spacing w:after="120" w:line="240" w:lineRule="atLeast"/>
      <w:ind w:left="1134" w:right="1134"/>
      <w:jc w:val="both"/>
    </w:pPr>
    <w:rPr>
      <w:rFonts w:eastAsia="Times New Roman" w:cs="Times New Roman"/>
      <w:spacing w:val="4"/>
      <w:w w:val="103"/>
      <w:kern w:val="1"/>
      <w:sz w:val="20"/>
      <w:szCs w:val="20"/>
      <w:lang w:eastAsia="zh-CN"/>
    </w:rPr>
  </w:style>
  <w:style w:type="paragraph" w:customStyle="1" w:styleId="tableh">
    <w:name w:val="tableh"/>
    <w:basedOn w:val="Normal"/>
    <w:rsid w:val="00DE79C3"/>
    <w:pPr>
      <w:tabs>
        <w:tab w:val="left" w:pos="169"/>
        <w:tab w:val="left" w:pos="217"/>
      </w:tabs>
      <w:suppressAutoHyphens/>
      <w:spacing w:before="20" w:after="20" w:line="240" w:lineRule="auto"/>
      <w:ind w:left="169" w:right="57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ahboldmid">
    <w:name w:val="tabla_hboldmid"/>
    <w:basedOn w:val="Normal"/>
    <w:rsid w:val="00DE79C3"/>
    <w:pPr>
      <w:suppressAutoHyphens/>
      <w:spacing w:before="60" w:after="60" w:line="240" w:lineRule="auto"/>
      <w:ind w:left="57" w:right="57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ablehreq">
    <w:name w:val="tablehreq"/>
    <w:basedOn w:val="tableh"/>
    <w:rsid w:val="00DE79C3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">
    <w:name w:val="__Single Txt"/>
    <w:basedOn w:val="Normal"/>
    <w:qFormat/>
    <w:rsid w:val="004E107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sz w:val="20"/>
    </w:rPr>
  </w:style>
  <w:style w:type="character" w:styleId="Hyperlink">
    <w:name w:val="Hyperlink"/>
    <w:basedOn w:val="DefaultParagraphFont"/>
    <w:uiPriority w:val="99"/>
    <w:unhideWhenUsed/>
    <w:rsid w:val="00CE1EE1"/>
    <w:rPr>
      <w:color w:val="0000FF"/>
      <w:u w:val="single"/>
    </w:rPr>
  </w:style>
  <w:style w:type="paragraph" w:customStyle="1" w:styleId="HChGR">
    <w:name w:val="_ H _Ch_GR"/>
    <w:basedOn w:val="Normal"/>
    <w:next w:val="Normal"/>
    <w:rsid w:val="007C195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F3"/>
    <w:pPr>
      <w:ind w:left="720"/>
      <w:contextualSpacing/>
    </w:pPr>
  </w:style>
  <w:style w:type="paragraph" w:customStyle="1" w:styleId="magyind">
    <w:name w:val="magy_ind"/>
    <w:basedOn w:val="Normal"/>
    <w:rsid w:val="00DE79C3"/>
    <w:pPr>
      <w:suppressAutoHyphens/>
      <w:spacing w:before="120" w:after="60" w:line="240" w:lineRule="auto"/>
      <w:ind w:left="1560" w:hanging="709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magyind2">
    <w:name w:val="magy_ind2"/>
    <w:basedOn w:val="Normal"/>
    <w:rsid w:val="00DE79C3"/>
    <w:pPr>
      <w:tabs>
        <w:tab w:val="left" w:pos="1122"/>
        <w:tab w:val="left" w:pos="2160"/>
        <w:tab w:val="left" w:pos="2268"/>
      </w:tabs>
      <w:suppressAutoHyphens/>
      <w:spacing w:before="60" w:after="60" w:line="240" w:lineRule="auto"/>
      <w:ind w:left="1701" w:hanging="283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ingleTxtGR">
    <w:name w:val="_ Single Txt_GR"/>
    <w:basedOn w:val="Normal"/>
    <w:rsid w:val="00DE79C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/>
      <w:spacing w:after="120" w:line="240" w:lineRule="atLeast"/>
      <w:ind w:left="1134" w:right="1134"/>
      <w:jc w:val="both"/>
    </w:pPr>
    <w:rPr>
      <w:rFonts w:eastAsia="Times New Roman" w:cs="Times New Roman"/>
      <w:spacing w:val="4"/>
      <w:w w:val="103"/>
      <w:kern w:val="1"/>
      <w:sz w:val="20"/>
      <w:szCs w:val="20"/>
      <w:lang w:eastAsia="zh-CN"/>
    </w:rPr>
  </w:style>
  <w:style w:type="paragraph" w:customStyle="1" w:styleId="tableh">
    <w:name w:val="tableh"/>
    <w:basedOn w:val="Normal"/>
    <w:rsid w:val="00DE79C3"/>
    <w:pPr>
      <w:tabs>
        <w:tab w:val="left" w:pos="169"/>
        <w:tab w:val="left" w:pos="217"/>
      </w:tabs>
      <w:suppressAutoHyphens/>
      <w:spacing w:before="20" w:after="20" w:line="240" w:lineRule="auto"/>
      <w:ind w:left="169" w:right="57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ahboldmid">
    <w:name w:val="tabla_hboldmid"/>
    <w:basedOn w:val="Normal"/>
    <w:rsid w:val="00DE79C3"/>
    <w:pPr>
      <w:suppressAutoHyphens/>
      <w:spacing w:before="60" w:after="60" w:line="240" w:lineRule="auto"/>
      <w:ind w:left="57" w:right="57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ablehreq">
    <w:name w:val="tablehreq"/>
    <w:basedOn w:val="tableh"/>
    <w:rsid w:val="00DE79C3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">
    <w:name w:val="__Single Txt"/>
    <w:basedOn w:val="Normal"/>
    <w:qFormat/>
    <w:rsid w:val="004E107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sz w:val="20"/>
    </w:rPr>
  </w:style>
  <w:style w:type="character" w:styleId="Hyperlink">
    <w:name w:val="Hyperlink"/>
    <w:basedOn w:val="DefaultParagraphFont"/>
    <w:uiPriority w:val="99"/>
    <w:unhideWhenUsed/>
    <w:rsid w:val="00CE1EE1"/>
    <w:rPr>
      <w:color w:val="0000FF"/>
      <w:u w:val="single"/>
    </w:rPr>
  </w:style>
  <w:style w:type="paragraph" w:customStyle="1" w:styleId="HChGR">
    <w:name w:val="_ H _Ch_GR"/>
    <w:basedOn w:val="Normal"/>
    <w:next w:val="Normal"/>
    <w:rsid w:val="007C195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1%82%D1%8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5%D0%BB%D1%8C%D0%B2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2670</Words>
  <Characters>15220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Laurence Berthet</cp:lastModifiedBy>
  <cp:revision>2</cp:revision>
  <cp:lastPrinted>2015-11-10T09:29:00Z</cp:lastPrinted>
  <dcterms:created xsi:type="dcterms:W3CDTF">2015-11-10T09:33:00Z</dcterms:created>
  <dcterms:modified xsi:type="dcterms:W3CDTF">2015-11-10T09:33:00Z</dcterms:modified>
</cp:coreProperties>
</file>