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5B285250" w14:textId="77777777" w:rsidTr="00691F20">
        <w:trPr>
          <w:cantSplit/>
          <w:trHeight w:hRule="exact" w:val="851"/>
        </w:trPr>
        <w:tc>
          <w:tcPr>
            <w:tcW w:w="9639" w:type="dxa"/>
            <w:tcBorders>
              <w:bottom w:val="single" w:sz="4" w:space="0" w:color="auto"/>
            </w:tcBorders>
            <w:vAlign w:val="bottom"/>
          </w:tcPr>
          <w:p w14:paraId="397BBDAC" w14:textId="01206090" w:rsidR="0099001C" w:rsidRPr="0099001C" w:rsidRDefault="0099001C" w:rsidP="00C71E6C">
            <w:pPr>
              <w:jc w:val="right"/>
              <w:rPr>
                <w:b/>
                <w:sz w:val="40"/>
                <w:szCs w:val="40"/>
              </w:rPr>
            </w:pPr>
            <w:r w:rsidRPr="0099001C">
              <w:rPr>
                <w:b/>
                <w:sz w:val="40"/>
                <w:szCs w:val="40"/>
              </w:rPr>
              <w:t>UN/SCEGHS/</w:t>
            </w:r>
            <w:r w:rsidR="00ED71D9">
              <w:rPr>
                <w:b/>
                <w:sz w:val="40"/>
                <w:szCs w:val="40"/>
              </w:rPr>
              <w:t>30</w:t>
            </w:r>
            <w:r w:rsidRPr="0099001C">
              <w:rPr>
                <w:b/>
                <w:sz w:val="40"/>
                <w:szCs w:val="40"/>
              </w:rPr>
              <w:t>/INF.</w:t>
            </w:r>
            <w:r w:rsidR="00C71E6C">
              <w:rPr>
                <w:b/>
                <w:sz w:val="40"/>
                <w:szCs w:val="40"/>
              </w:rPr>
              <w:t>19</w:t>
            </w:r>
          </w:p>
        </w:tc>
      </w:tr>
      <w:tr w:rsidR="0099001C" w14:paraId="28385B75" w14:textId="77777777" w:rsidTr="00E97D2D">
        <w:trPr>
          <w:cantSplit/>
          <w:trHeight w:hRule="exact" w:val="2988"/>
        </w:trPr>
        <w:tc>
          <w:tcPr>
            <w:tcW w:w="9639" w:type="dxa"/>
            <w:tcBorders>
              <w:top w:val="single" w:sz="4" w:space="0" w:color="auto"/>
            </w:tcBorders>
          </w:tcPr>
          <w:p w14:paraId="34EAB74E" w14:textId="77777777"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2B8708EC" w14:textId="522523D1" w:rsidR="00FD4F7E" w:rsidRPr="006E4850"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C71E6C">
              <w:rPr>
                <w:b/>
                <w:lang w:val="en-US"/>
              </w:rPr>
              <w:t>2 December 2015</w:t>
            </w:r>
          </w:p>
          <w:p w14:paraId="766E1A8D" w14:textId="77777777" w:rsidR="009F3D53" w:rsidRPr="006E4850" w:rsidRDefault="000D10AA" w:rsidP="009F3D53">
            <w:pPr>
              <w:spacing w:before="120"/>
              <w:rPr>
                <w:b/>
              </w:rPr>
            </w:pPr>
            <w:r w:rsidRPr="006E4850">
              <w:rPr>
                <w:b/>
                <w:bCs/>
              </w:rPr>
              <w:t>Thirtieth</w:t>
            </w:r>
            <w:r w:rsidR="009F3D53" w:rsidRPr="006E4850">
              <w:rPr>
                <w:b/>
                <w:bCs/>
              </w:rPr>
              <w:t xml:space="preserve"> session</w:t>
            </w:r>
          </w:p>
          <w:p w14:paraId="78FD84BC" w14:textId="75DBE8E8" w:rsidR="009F3D53" w:rsidRPr="006E4850" w:rsidRDefault="009F3D53" w:rsidP="009F3D53">
            <w:pPr>
              <w:jc w:val="both"/>
            </w:pPr>
            <w:r w:rsidRPr="006E4850">
              <w:t xml:space="preserve">Geneva, </w:t>
            </w:r>
            <w:r w:rsidR="00ED71D9" w:rsidRPr="006E4850">
              <w:t xml:space="preserve">9 </w:t>
            </w:r>
            <w:r w:rsidRPr="006E4850">
              <w:t xml:space="preserve">– </w:t>
            </w:r>
            <w:r w:rsidR="00ED71D9" w:rsidRPr="006E4850">
              <w:t>11</w:t>
            </w:r>
            <w:r w:rsidRPr="006E4850">
              <w:t xml:space="preserve"> </w:t>
            </w:r>
            <w:r w:rsidR="00ED71D9" w:rsidRPr="006E4850">
              <w:t>December</w:t>
            </w:r>
            <w:r w:rsidRPr="006E4850">
              <w:t xml:space="preserve"> 2015</w:t>
            </w:r>
          </w:p>
          <w:p w14:paraId="30DA27B2" w14:textId="77777777" w:rsidR="009F3D53" w:rsidRPr="006E4850" w:rsidRDefault="009F3D53" w:rsidP="009F3D53">
            <w:pPr>
              <w:jc w:val="both"/>
              <w:rPr>
                <w:lang w:val="en-US"/>
              </w:rPr>
            </w:pPr>
            <w:r w:rsidRPr="006E4850">
              <w:rPr>
                <w:lang w:val="en-US"/>
              </w:rPr>
              <w:t xml:space="preserve">Item </w:t>
            </w:r>
            <w:r w:rsidR="006E4850" w:rsidRPr="006E4850">
              <w:rPr>
                <w:lang w:val="en-US"/>
              </w:rPr>
              <w:t>3 (e)</w:t>
            </w:r>
            <w:r w:rsidRPr="006E4850">
              <w:rPr>
                <w:lang w:val="en-US"/>
              </w:rPr>
              <w:t xml:space="preserve"> of the provisional agenda</w:t>
            </w:r>
          </w:p>
          <w:p w14:paraId="3C3193D5" w14:textId="77777777" w:rsidR="0099001C" w:rsidRPr="006E4850" w:rsidRDefault="006E4850" w:rsidP="00E97D2D">
            <w:pPr>
              <w:jc w:val="both"/>
              <w:rPr>
                <w:b/>
                <w:lang w:val="en-US"/>
              </w:rPr>
            </w:pPr>
            <w:r w:rsidRPr="006E4850">
              <w:rPr>
                <w:b/>
                <w:lang w:val="en-US"/>
              </w:rPr>
              <w:t>Classification criteria and related hazard communication:</w:t>
            </w:r>
          </w:p>
          <w:p w14:paraId="550126BF" w14:textId="77777777" w:rsidR="006E4850" w:rsidRDefault="006E4850" w:rsidP="00E97D2D">
            <w:pPr>
              <w:jc w:val="both"/>
            </w:pPr>
            <w:r w:rsidRPr="006E4850">
              <w:rPr>
                <w:b/>
                <w:lang w:val="en-US"/>
              </w:rPr>
              <w:t>Miscellaneous</w:t>
            </w:r>
          </w:p>
        </w:tc>
      </w:tr>
    </w:tbl>
    <w:p w14:paraId="15196AD4" w14:textId="617E97C6" w:rsidR="00B11E5C" w:rsidRPr="00B11E5C" w:rsidRDefault="00B11E5C" w:rsidP="00CC2423">
      <w:pPr>
        <w:pStyle w:val="HChG"/>
        <w:spacing w:before="240" w:after="120"/>
        <w:rPr>
          <w:rFonts w:eastAsia="MS Mincho"/>
          <w:lang w:val="en-US" w:eastAsia="ja-JP"/>
        </w:rPr>
      </w:pPr>
      <w:r>
        <w:rPr>
          <w:rFonts w:eastAsia="MS Mincho"/>
          <w:lang w:val="en-US" w:eastAsia="ja-JP"/>
        </w:rPr>
        <w:tab/>
      </w:r>
      <w:r>
        <w:rPr>
          <w:rFonts w:eastAsia="MS Mincho"/>
          <w:lang w:val="en-US" w:eastAsia="ja-JP"/>
        </w:rPr>
        <w:tab/>
      </w:r>
      <w:r w:rsidR="0021096D">
        <w:rPr>
          <w:rFonts w:eastAsia="MS Mincho"/>
          <w:lang w:val="en-US" w:eastAsia="ja-JP"/>
        </w:rPr>
        <w:t xml:space="preserve">Comments on </w:t>
      </w:r>
      <w:r w:rsidR="00005A41">
        <w:rPr>
          <w:rFonts w:eastAsia="MS Mincho"/>
          <w:lang w:val="en-US" w:eastAsia="ja-JP"/>
        </w:rPr>
        <w:t xml:space="preserve">document </w:t>
      </w:r>
      <w:r w:rsidR="00005A41">
        <w:rPr>
          <w:rFonts w:eastAsia="MS Mincho"/>
          <w:lang w:val="en-US" w:eastAsia="ja-JP"/>
        </w:rPr>
        <w:t>ST/SG/AC/C.4/2015/13</w:t>
      </w:r>
      <w:r w:rsidR="0021096D">
        <w:rPr>
          <w:rFonts w:eastAsia="MS Mincho"/>
          <w:lang w:val="en-US" w:eastAsia="ja-JP"/>
        </w:rPr>
        <w:t xml:space="preserve"> “Use </w:t>
      </w:r>
      <w:r w:rsidR="000A6935" w:rsidRPr="000A6935">
        <w:rPr>
          <w:rFonts w:eastAsia="MS Mincho"/>
          <w:lang w:val="en-US" w:eastAsia="ja-JP"/>
        </w:rPr>
        <w:t>of non-animal testing methods for the classification of health hazards</w:t>
      </w:r>
      <w:r w:rsidR="00C71E6C">
        <w:rPr>
          <w:rFonts w:eastAsia="MS Mincho"/>
          <w:lang w:val="en-US" w:eastAsia="ja-JP"/>
        </w:rPr>
        <w:t xml:space="preserve">” </w:t>
      </w:r>
    </w:p>
    <w:p w14:paraId="0B23F9E5" w14:textId="77777777" w:rsidR="00B11E5C" w:rsidRDefault="00B11E5C" w:rsidP="00CC2423">
      <w:pPr>
        <w:pStyle w:val="H1G"/>
        <w:spacing w:before="240" w:after="120"/>
      </w:pPr>
      <w:r>
        <w:tab/>
      </w:r>
      <w:r>
        <w:tab/>
        <w:t xml:space="preserve">Transmitted by the </w:t>
      </w:r>
      <w:r w:rsidR="004C738E">
        <w:t>experts from the United States</w:t>
      </w:r>
      <w:r w:rsidR="0021096D">
        <w:t xml:space="preserve"> of America</w:t>
      </w:r>
    </w:p>
    <w:p w14:paraId="7E36867A" w14:textId="77777777" w:rsidR="00B11E5C" w:rsidRDefault="00B11E5C" w:rsidP="00CC2423">
      <w:pPr>
        <w:pStyle w:val="HChG"/>
        <w:spacing w:before="240" w:after="120"/>
        <w:rPr>
          <w:rFonts w:eastAsia="MS Mincho"/>
          <w:sz w:val="20"/>
        </w:rPr>
      </w:pPr>
      <w:r>
        <w:rPr>
          <w:rFonts w:eastAsia="MS Mincho"/>
        </w:rPr>
        <w:tab/>
      </w:r>
      <w:r>
        <w:rPr>
          <w:rFonts w:eastAsia="MS Mincho"/>
        </w:rPr>
        <w:tab/>
      </w:r>
      <w:r w:rsidR="0021096D">
        <w:rPr>
          <w:rFonts w:eastAsia="MS Mincho"/>
        </w:rPr>
        <w:t>Introduction</w:t>
      </w:r>
    </w:p>
    <w:p w14:paraId="0CD1F0AF" w14:textId="77777777" w:rsidR="00B11E5C" w:rsidRDefault="0021096D" w:rsidP="00C71E6C">
      <w:pPr>
        <w:pStyle w:val="SingleTxtG"/>
        <w:spacing w:after="100"/>
        <w:ind w:right="1138" w:firstLine="4"/>
      </w:pPr>
      <w:r>
        <w:t>1.</w:t>
      </w:r>
      <w:r>
        <w:tab/>
        <w:t xml:space="preserve">This informal paper </w:t>
      </w:r>
      <w:r w:rsidR="00DF7BFB">
        <w:t>provides comments on the working paper submitted by the Netherlands and the United Kingdom regarding the use of non-animal testing methods for the classification of health hazards (ST/SG/AC/C.4/2015/13)</w:t>
      </w:r>
      <w:r w:rsidR="00B11E5C">
        <w:t xml:space="preserve">.   </w:t>
      </w:r>
    </w:p>
    <w:p w14:paraId="6D0B0E83" w14:textId="7C3C448C" w:rsidR="00B11E5C" w:rsidRDefault="00B11E5C" w:rsidP="00A80B14">
      <w:pPr>
        <w:pStyle w:val="SingleTxtG"/>
        <w:spacing w:after="100"/>
        <w:ind w:right="1138" w:firstLine="4"/>
      </w:pPr>
      <w:r>
        <w:t>2.</w:t>
      </w:r>
      <w:r>
        <w:tab/>
      </w:r>
      <w:r w:rsidR="00D22137" w:rsidRPr="00C52A73">
        <w:rPr>
          <w:rFonts w:cs="Arial"/>
          <w:bCs/>
          <w:color w:val="000000"/>
        </w:rPr>
        <w:t xml:space="preserve">The U.S. </w:t>
      </w:r>
      <w:r w:rsidR="00EC5FC2">
        <w:rPr>
          <w:rFonts w:cs="Arial"/>
          <w:bCs/>
          <w:color w:val="000000"/>
        </w:rPr>
        <w:t xml:space="preserve">would like to </w:t>
      </w:r>
      <w:r w:rsidR="00D22137" w:rsidRPr="00C52A73">
        <w:rPr>
          <w:rFonts w:cs="Arial"/>
          <w:bCs/>
          <w:color w:val="000000"/>
        </w:rPr>
        <w:t xml:space="preserve">thank </w:t>
      </w:r>
      <w:r w:rsidR="00D22137">
        <w:rPr>
          <w:rFonts w:cs="Arial"/>
          <w:bCs/>
          <w:color w:val="000000"/>
        </w:rPr>
        <w:t xml:space="preserve">the Netherlands and the United Kingdom </w:t>
      </w:r>
      <w:r w:rsidR="00D22137" w:rsidRPr="00C52A73">
        <w:rPr>
          <w:rFonts w:cs="Arial"/>
          <w:bCs/>
          <w:color w:val="000000"/>
        </w:rPr>
        <w:t xml:space="preserve">for developing </w:t>
      </w:r>
      <w:r w:rsidR="00994529">
        <w:rPr>
          <w:rFonts w:cs="Arial"/>
          <w:bCs/>
          <w:color w:val="000000"/>
        </w:rPr>
        <w:t xml:space="preserve">the working </w:t>
      </w:r>
      <w:r w:rsidR="00D22137" w:rsidRPr="00C52A73">
        <w:rPr>
          <w:rFonts w:cs="Arial"/>
          <w:bCs/>
          <w:color w:val="000000"/>
        </w:rPr>
        <w:t xml:space="preserve">paper for consideration by the GHS </w:t>
      </w:r>
      <w:r w:rsidR="00D22137">
        <w:rPr>
          <w:rFonts w:cs="Arial"/>
          <w:bCs/>
          <w:color w:val="000000"/>
        </w:rPr>
        <w:t>Sub-committee.</w:t>
      </w:r>
    </w:p>
    <w:p w14:paraId="736F8763" w14:textId="77777777" w:rsidR="00B11E5C" w:rsidRPr="00883434" w:rsidRDefault="00883434" w:rsidP="00CC2423">
      <w:pPr>
        <w:pStyle w:val="HChG"/>
        <w:spacing w:before="240" w:after="120"/>
        <w:rPr>
          <w:rFonts w:eastAsia="MS Mincho"/>
        </w:rPr>
      </w:pPr>
      <w:r>
        <w:rPr>
          <w:rFonts w:eastAsia="MS Mincho"/>
        </w:rPr>
        <w:tab/>
      </w:r>
      <w:r>
        <w:rPr>
          <w:rFonts w:eastAsia="MS Mincho"/>
        </w:rPr>
        <w:tab/>
      </w:r>
      <w:r w:rsidR="0021096D">
        <w:rPr>
          <w:rFonts w:eastAsia="MS Mincho"/>
        </w:rPr>
        <w:t>Comments</w:t>
      </w:r>
    </w:p>
    <w:p w14:paraId="18A9DCD3" w14:textId="150A606D" w:rsidR="00E83F50" w:rsidRDefault="002F0E67" w:rsidP="00A80B14">
      <w:pPr>
        <w:pStyle w:val="SingleTxtG"/>
        <w:spacing w:after="100"/>
        <w:ind w:right="1138" w:firstLine="4"/>
      </w:pPr>
      <w:r>
        <w:t>3</w:t>
      </w:r>
      <w:r w:rsidR="00E83F50">
        <w:t>.</w:t>
      </w:r>
      <w:r w:rsidR="00E83F50" w:rsidRPr="00883434">
        <w:tab/>
      </w:r>
      <w:r w:rsidR="00E83F50" w:rsidRPr="00D22137">
        <w:t xml:space="preserve">With international efforts to replace animal testing with non-testing approaches and </w:t>
      </w:r>
      <w:r w:rsidR="00E83F50" w:rsidRPr="00995243">
        <w:rPr>
          <w:i/>
        </w:rPr>
        <w:t>in vitro</w:t>
      </w:r>
      <w:r w:rsidR="00E83F50" w:rsidRPr="00D22137">
        <w:t xml:space="preserve"> and </w:t>
      </w:r>
      <w:r w:rsidR="00E83F50" w:rsidRPr="00995243">
        <w:rPr>
          <w:i/>
        </w:rPr>
        <w:t>in chemico</w:t>
      </w:r>
      <w:r w:rsidR="00E83F50" w:rsidRPr="00D22137">
        <w:t xml:space="preserve"> test methods, the U.S. supports moving forward with assessment of alternate approaches to hazard classification</w:t>
      </w:r>
      <w:r w:rsidR="00994529">
        <w:t>;</w:t>
      </w:r>
      <w:r w:rsidR="00E83F50" w:rsidRPr="00D22137">
        <w:t xml:space="preserve"> however, </w:t>
      </w:r>
      <w:r w:rsidR="00994529">
        <w:t xml:space="preserve">the efforts </w:t>
      </w:r>
      <w:r w:rsidR="00E83F50" w:rsidRPr="00D22137">
        <w:t xml:space="preserve">should </w:t>
      </w:r>
      <w:r w:rsidR="00994529">
        <w:t xml:space="preserve">take </w:t>
      </w:r>
      <w:r w:rsidR="00E83F50" w:rsidRPr="00D22137">
        <w:t>a measured and focused approach</w:t>
      </w:r>
      <w:r w:rsidR="00E83F50" w:rsidRPr="00883434">
        <w:t>.</w:t>
      </w:r>
    </w:p>
    <w:p w14:paraId="7896F8D8" w14:textId="6A9BC76D" w:rsidR="0025322D" w:rsidRDefault="002F0E67" w:rsidP="00A80B14">
      <w:pPr>
        <w:pStyle w:val="SingleTxtG"/>
      </w:pPr>
      <w:r>
        <w:t>4</w:t>
      </w:r>
      <w:r w:rsidR="00337A8B">
        <w:t>.</w:t>
      </w:r>
      <w:r w:rsidR="00B11E5C">
        <w:tab/>
      </w:r>
      <w:r w:rsidR="00994529">
        <w:t xml:space="preserve">The U.S. suggests that </w:t>
      </w:r>
      <w:r w:rsidR="00D22137" w:rsidRPr="00D22137">
        <w:t>“</w:t>
      </w:r>
      <w:r w:rsidR="00994529" w:rsidRPr="00D22137">
        <w:t>read</w:t>
      </w:r>
      <w:r w:rsidR="00D22137" w:rsidRPr="00D22137">
        <w:t xml:space="preserve">-across” be </w:t>
      </w:r>
      <w:proofErr w:type="gramStart"/>
      <w:r w:rsidR="00E319BF">
        <w:t>well-</w:t>
      </w:r>
      <w:r w:rsidR="001F1E2B" w:rsidRPr="00D22137">
        <w:t>defined</w:t>
      </w:r>
      <w:proofErr w:type="gramEnd"/>
      <w:r w:rsidR="001F1E2B">
        <w:t xml:space="preserve">. </w:t>
      </w:r>
      <w:r w:rsidR="00D22137" w:rsidRPr="00D22137">
        <w:t>Databases of existing information include Category formation (grouping) read-across, Structure-Activity Relationships (SAR), Quantitative Structure-Activity Relationships (QSAR), and Expert Systems. Expert systems are typically categorized by whether they are underpinned by empirically based algorithms such as QSARs (e.g., TOPKAT), knowledge bases such as SARs (e.g., Derek Nexus), or hybrids (e.g., TIMES). Analysis of these non-testing approaches by expert groups is required to determine whether these approaches are sufficient for hazard classification as a stand-alone, or can contribute in a weight-of-evidence</w:t>
      </w:r>
      <w:r w:rsidR="00D22137">
        <w:t xml:space="preserve"> or integrated testing approach</w:t>
      </w:r>
      <w:r w:rsidR="00B11E5C">
        <w:t>.</w:t>
      </w:r>
    </w:p>
    <w:p w14:paraId="6258F4AD" w14:textId="23A1FEEE" w:rsidR="00D22137" w:rsidRDefault="002F0E67" w:rsidP="00A80B14">
      <w:pPr>
        <w:pStyle w:val="SingleTxtG"/>
        <w:spacing w:after="100"/>
        <w:ind w:right="1138" w:firstLine="4"/>
      </w:pPr>
      <w:r>
        <w:t>5</w:t>
      </w:r>
      <w:r w:rsidR="00D22137">
        <w:t>.</w:t>
      </w:r>
      <w:r w:rsidR="00D22137" w:rsidRPr="00883434">
        <w:tab/>
      </w:r>
      <w:r w:rsidR="00EC5FC2" w:rsidRPr="00EC5FC2">
        <w:t xml:space="preserve">The U.S. </w:t>
      </w:r>
      <w:r w:rsidR="00994529">
        <w:t xml:space="preserve">also </w:t>
      </w:r>
      <w:r w:rsidR="00EC5FC2" w:rsidRPr="00EC5FC2">
        <w:t>suggests using skin sensitization as a case study for the applicability of non-animal test method approaches (</w:t>
      </w:r>
      <w:r w:rsidR="00EC5FC2" w:rsidRPr="00254047">
        <w:rPr>
          <w:i/>
        </w:rPr>
        <w:t>in silico, in chemico, in vitro</w:t>
      </w:r>
      <w:r w:rsidR="00EC5FC2" w:rsidRPr="00EC5FC2">
        <w:t xml:space="preserve">) for hazard classification. If incorporated into the work program, focused expert work groups </w:t>
      </w:r>
      <w:r w:rsidR="00994529">
        <w:t xml:space="preserve">will </w:t>
      </w:r>
      <w:r w:rsidR="00EC5FC2" w:rsidRPr="00EC5FC2">
        <w:t>likely need to be established (</w:t>
      </w:r>
      <w:r w:rsidR="00EC5FC2" w:rsidRPr="00254047">
        <w:rPr>
          <w:i/>
        </w:rPr>
        <w:t>i.e</w:t>
      </w:r>
      <w:r w:rsidR="00EC5FC2" w:rsidRPr="00EC5FC2">
        <w:t xml:space="preserve">., one for assessing </w:t>
      </w:r>
      <w:r w:rsidR="00EC5FC2" w:rsidRPr="00254047">
        <w:rPr>
          <w:i/>
        </w:rPr>
        <w:t>in silico</w:t>
      </w:r>
      <w:r w:rsidR="00EC5FC2" w:rsidRPr="00EC5FC2">
        <w:t xml:space="preserve"> approaches, another for assessing for </w:t>
      </w:r>
      <w:r w:rsidR="00EC5FC2" w:rsidRPr="00254047">
        <w:rPr>
          <w:i/>
        </w:rPr>
        <w:t>in vitro</w:t>
      </w:r>
      <w:r w:rsidR="00EC5FC2" w:rsidRPr="00EC5FC2">
        <w:t xml:space="preserve"> approaches)</w:t>
      </w:r>
      <w:r w:rsidR="00D22137" w:rsidRPr="00883434">
        <w:t>.</w:t>
      </w:r>
    </w:p>
    <w:p w14:paraId="09AF8C7C" w14:textId="3F4AB4EA" w:rsidR="00D22137" w:rsidRDefault="002F0E67" w:rsidP="00A80B14">
      <w:pPr>
        <w:pStyle w:val="SingleTxtG"/>
        <w:spacing w:after="100"/>
        <w:ind w:right="1138" w:firstLine="4"/>
      </w:pPr>
      <w:r>
        <w:t>6</w:t>
      </w:r>
      <w:r w:rsidR="00D22137">
        <w:t>.</w:t>
      </w:r>
      <w:r w:rsidR="00D22137" w:rsidRPr="00883434">
        <w:tab/>
      </w:r>
      <w:r w:rsidR="00EC5FC2" w:rsidRPr="00EC5FC2">
        <w:t xml:space="preserve">The mechanism for skin sensitization that is initiated by covalent binding to proteins is </w:t>
      </w:r>
      <w:proofErr w:type="gramStart"/>
      <w:r w:rsidR="00472BBD">
        <w:t>well-</w:t>
      </w:r>
      <w:r w:rsidR="001F1E2B" w:rsidRPr="00EC5FC2">
        <w:t>defined</w:t>
      </w:r>
      <w:proofErr w:type="gramEnd"/>
      <w:r w:rsidR="00EC5FC2" w:rsidRPr="00EC5FC2">
        <w:t xml:space="preserve"> and </w:t>
      </w:r>
      <w:r w:rsidR="00472BBD">
        <w:t>well-</w:t>
      </w:r>
      <w:r w:rsidR="001F1E2B" w:rsidRPr="00EC5FC2">
        <w:t>characterized</w:t>
      </w:r>
      <w:r w:rsidR="00EC5FC2" w:rsidRPr="00EC5FC2">
        <w:t>. The skin sensitization Adverse Outcome Pathway (AOP) was the first AOP proposed to the OECD</w:t>
      </w:r>
      <w:r w:rsidR="000C2640">
        <w:t>.</w:t>
      </w:r>
      <w:r w:rsidR="00EC5FC2" w:rsidRPr="00EC5FC2">
        <w:t xml:space="preserve"> </w:t>
      </w:r>
      <w:r w:rsidR="000C2640">
        <w:t xml:space="preserve"> </w:t>
      </w:r>
      <w:r w:rsidR="00EC5FC2" w:rsidRPr="00EC5FC2">
        <w:t>(</w:t>
      </w:r>
      <w:r w:rsidR="000C2640">
        <w:t>A</w:t>
      </w:r>
      <w:r w:rsidR="00EC5FC2" w:rsidRPr="00EC5FC2">
        <w:t xml:space="preserve">n AOP is the sequence of events from the chemical structure of a target chemical or group of similar chemicals through the molecular initiating event to an </w:t>
      </w:r>
      <w:r w:rsidR="00EC5FC2" w:rsidRPr="00C50256">
        <w:rPr>
          <w:i/>
        </w:rPr>
        <w:t>in vivo</w:t>
      </w:r>
      <w:r w:rsidR="00EC5FC2" w:rsidRPr="00EC5FC2">
        <w:t xml:space="preserve"> outcom</w:t>
      </w:r>
      <w:r w:rsidR="00C50256">
        <w:t xml:space="preserve">e of interest, which in this </w:t>
      </w:r>
      <w:r w:rsidR="00EC5FC2" w:rsidRPr="00EC5FC2">
        <w:t>case</w:t>
      </w:r>
      <w:r w:rsidR="00C50256">
        <w:t xml:space="preserve"> is</w:t>
      </w:r>
      <w:r w:rsidR="00EC5FC2" w:rsidRPr="00EC5FC2">
        <w:t xml:space="preserve"> allergic </w:t>
      </w:r>
      <w:r w:rsidR="00EC5FC2" w:rsidRPr="00EC5FC2">
        <w:lastRenderedPageBreak/>
        <w:t xml:space="preserve">contact dermatitis). </w:t>
      </w:r>
      <w:r w:rsidR="00EC5FC2" w:rsidRPr="00C50256">
        <w:rPr>
          <w:i/>
        </w:rPr>
        <w:t>In silico, in chemico</w:t>
      </w:r>
      <w:r w:rsidR="00EC5FC2" w:rsidRPr="00EC5FC2">
        <w:t xml:space="preserve"> and </w:t>
      </w:r>
      <w:r w:rsidR="00EC5FC2" w:rsidRPr="00C50256">
        <w:rPr>
          <w:i/>
        </w:rPr>
        <w:t>in vitro</w:t>
      </w:r>
      <w:r w:rsidR="00EC5FC2" w:rsidRPr="00EC5FC2">
        <w:t xml:space="preserve"> test methods </w:t>
      </w:r>
      <w:proofErr w:type="gramStart"/>
      <w:r w:rsidR="00EC5FC2" w:rsidRPr="00EC5FC2">
        <w:t>have been aligned</w:t>
      </w:r>
      <w:proofErr w:type="gramEnd"/>
      <w:r w:rsidR="00EC5FC2" w:rsidRPr="00EC5FC2">
        <w:t xml:space="preserve"> with the key steps of the AOP.  </w:t>
      </w:r>
      <w:r w:rsidR="00EC5FC2" w:rsidRPr="00C50256">
        <w:rPr>
          <w:i/>
        </w:rPr>
        <w:t>In vitro</w:t>
      </w:r>
      <w:r w:rsidR="00EC5FC2" w:rsidRPr="00EC5FC2">
        <w:t xml:space="preserve"> test methods (</w:t>
      </w:r>
      <w:r w:rsidR="00EC5FC2" w:rsidRPr="00C50256">
        <w:rPr>
          <w:i/>
        </w:rPr>
        <w:t>e.g</w:t>
      </w:r>
      <w:r w:rsidR="00EC5FC2" w:rsidRPr="00EC5FC2">
        <w:t xml:space="preserve">., DPRA, KeratinoSens) </w:t>
      </w:r>
      <w:proofErr w:type="gramStart"/>
      <w:r w:rsidR="00EC5FC2" w:rsidRPr="00EC5FC2">
        <w:t>have been validated</w:t>
      </w:r>
      <w:proofErr w:type="gramEnd"/>
      <w:r w:rsidR="00EC5FC2" w:rsidRPr="00EC5FC2">
        <w:t xml:space="preserve"> for assessing skin sensitization potential, but with recommendations that the data from these test methods should always be considered in combination with other information in the context of integrated approaches such as Weight of Evidence (WoE) or Integrated Testing Strategies (ITS)</w:t>
      </w:r>
      <w:r w:rsidR="000C2640">
        <w:rPr>
          <w:rStyle w:val="FootnoteReference"/>
        </w:rPr>
        <w:footnoteReference w:id="2"/>
      </w:r>
      <w:r w:rsidR="00D22137" w:rsidRPr="00883434">
        <w:t>.</w:t>
      </w:r>
    </w:p>
    <w:p w14:paraId="2EAD1949" w14:textId="6ED785EB" w:rsidR="00337A8B" w:rsidRDefault="002F0E67" w:rsidP="00A80B14">
      <w:pPr>
        <w:pStyle w:val="SingleTxtG"/>
        <w:spacing w:after="100"/>
        <w:ind w:right="1138" w:firstLine="4"/>
      </w:pPr>
      <w:r>
        <w:t>7</w:t>
      </w:r>
      <w:r w:rsidR="00D22137">
        <w:t>.</w:t>
      </w:r>
      <w:r w:rsidR="00D22137" w:rsidRPr="00883434">
        <w:tab/>
      </w:r>
      <w:r w:rsidR="00EC5FC2" w:rsidRPr="00EC5FC2">
        <w:rPr>
          <w:rFonts w:cs="Arial"/>
          <w:bCs/>
          <w:color w:val="000000"/>
        </w:rPr>
        <w:t xml:space="preserve">Integrated Approaches to Testing and Assessment (IATA) for skin sensitization based on the skin sensitization AOP </w:t>
      </w:r>
      <w:proofErr w:type="gramStart"/>
      <w:r w:rsidR="00EC5FC2" w:rsidRPr="00EC5FC2">
        <w:rPr>
          <w:rFonts w:cs="Arial"/>
          <w:bCs/>
          <w:color w:val="000000"/>
        </w:rPr>
        <w:t>have been developed</w:t>
      </w:r>
      <w:proofErr w:type="gramEnd"/>
      <w:r w:rsidR="00EC5FC2" w:rsidRPr="00EC5FC2">
        <w:rPr>
          <w:rFonts w:cs="Arial"/>
          <w:bCs/>
          <w:color w:val="000000"/>
        </w:rPr>
        <w:t xml:space="preserve">. </w:t>
      </w:r>
      <w:r w:rsidR="00D26190">
        <w:rPr>
          <w:rFonts w:cs="Arial"/>
          <w:bCs/>
          <w:color w:val="000000"/>
        </w:rPr>
        <w:t xml:space="preserve">The </w:t>
      </w:r>
      <w:r w:rsidR="00EC5FC2" w:rsidRPr="00EC5FC2">
        <w:rPr>
          <w:rFonts w:cs="Arial"/>
          <w:bCs/>
          <w:color w:val="000000"/>
        </w:rPr>
        <w:t xml:space="preserve">OECD </w:t>
      </w:r>
      <w:r w:rsidR="00D26190">
        <w:rPr>
          <w:rFonts w:cs="Arial"/>
          <w:bCs/>
          <w:color w:val="000000"/>
        </w:rPr>
        <w:t xml:space="preserve">has published two </w:t>
      </w:r>
      <w:r w:rsidR="00EC5FC2" w:rsidRPr="00EC5FC2">
        <w:rPr>
          <w:rFonts w:cs="Arial"/>
          <w:bCs/>
          <w:color w:val="000000"/>
        </w:rPr>
        <w:t>guidance documents on skin sensitization IATAs</w:t>
      </w:r>
      <w:r w:rsidR="00D26190">
        <w:rPr>
          <w:rFonts w:cs="Arial"/>
          <w:bCs/>
          <w:color w:val="000000"/>
        </w:rPr>
        <w:t xml:space="preserve">: (1) </w:t>
      </w:r>
      <w:r w:rsidR="00EC5FC2" w:rsidRPr="00EC5FC2">
        <w:rPr>
          <w:rFonts w:cs="Arial"/>
          <w:bCs/>
          <w:color w:val="000000"/>
        </w:rPr>
        <w:t xml:space="preserve">Integrated Approaches to Testing and Assessment [IATA] for Skin Sensitization </w:t>
      </w:r>
      <w:r w:rsidR="00D26190">
        <w:rPr>
          <w:rFonts w:cs="Arial"/>
          <w:bCs/>
          <w:color w:val="000000"/>
        </w:rPr>
        <w:t>(</w:t>
      </w:r>
      <w:r w:rsidR="00EC5FC2" w:rsidRPr="00EC5FC2">
        <w:rPr>
          <w:rFonts w:cs="Arial"/>
          <w:bCs/>
          <w:color w:val="000000"/>
        </w:rPr>
        <w:t>OECD 2012</w:t>
      </w:r>
      <w:r w:rsidR="00D26190">
        <w:rPr>
          <w:rFonts w:cs="Arial"/>
          <w:bCs/>
          <w:color w:val="000000"/>
        </w:rPr>
        <w:t>), and (2)</w:t>
      </w:r>
      <w:r w:rsidR="00EC5FC2" w:rsidRPr="00EC5FC2">
        <w:rPr>
          <w:rFonts w:cs="Arial"/>
          <w:bCs/>
          <w:color w:val="000000"/>
        </w:rPr>
        <w:t xml:space="preserve"> Guidance Document No. 168: The Adverse Outcome Pathway for Skin Sensitisation Initiated by Covalent Binding to Proteins: Part 1, Part 2</w:t>
      </w:r>
      <w:r w:rsidR="00D26190">
        <w:rPr>
          <w:rFonts w:cs="Arial"/>
          <w:bCs/>
          <w:color w:val="000000"/>
        </w:rPr>
        <w:t xml:space="preserve"> (OECD, </w:t>
      </w:r>
      <w:r w:rsidR="00464832">
        <w:rPr>
          <w:rFonts w:cs="Arial"/>
          <w:bCs/>
          <w:color w:val="000000"/>
        </w:rPr>
        <w:t>No. 168, Part 1 and Part 2</w:t>
      </w:r>
      <w:r w:rsidR="00D26190">
        <w:rPr>
          <w:rFonts w:cs="Arial"/>
          <w:bCs/>
          <w:color w:val="000000"/>
        </w:rPr>
        <w:t>)</w:t>
      </w:r>
      <w:r w:rsidR="00EC5FC2" w:rsidRPr="00EC5FC2">
        <w:rPr>
          <w:rFonts w:cs="Arial"/>
          <w:bCs/>
          <w:color w:val="000000"/>
        </w:rPr>
        <w:t xml:space="preserve">. </w:t>
      </w:r>
      <w:r w:rsidR="000C2640">
        <w:rPr>
          <w:rFonts w:cs="Arial"/>
          <w:bCs/>
          <w:color w:val="000000"/>
        </w:rPr>
        <w:t>In addition, a</w:t>
      </w:r>
      <w:r w:rsidR="00EC5FC2" w:rsidRPr="00EC5FC2">
        <w:rPr>
          <w:rFonts w:cs="Arial"/>
          <w:bCs/>
          <w:color w:val="000000"/>
        </w:rPr>
        <w:t xml:space="preserve"> guidance document, prepared by an OECD Skin Sensitization Drafting Committee, is under review by the Skin Sensitization Hazard Assessment Task Force. </w:t>
      </w:r>
      <w:r w:rsidR="000C2640">
        <w:rPr>
          <w:rFonts w:cs="Arial"/>
          <w:bCs/>
          <w:color w:val="000000"/>
        </w:rPr>
        <w:t>T</w:t>
      </w:r>
      <w:r w:rsidR="00EC5FC2" w:rsidRPr="00EC5FC2">
        <w:rPr>
          <w:rFonts w:cs="Arial"/>
          <w:bCs/>
          <w:color w:val="000000"/>
        </w:rPr>
        <w:t xml:space="preserve">he purpose of the guidance is to standardize the documentation of IATA and results, </w:t>
      </w:r>
      <w:r w:rsidR="000C2640">
        <w:rPr>
          <w:rFonts w:cs="Arial"/>
          <w:bCs/>
          <w:color w:val="000000"/>
        </w:rPr>
        <w:t xml:space="preserve">and </w:t>
      </w:r>
      <w:r w:rsidR="00EC5FC2" w:rsidRPr="00EC5FC2">
        <w:rPr>
          <w:rFonts w:cs="Arial"/>
          <w:bCs/>
          <w:color w:val="000000"/>
        </w:rPr>
        <w:t xml:space="preserve">it </w:t>
      </w:r>
      <w:proofErr w:type="gramStart"/>
      <w:r w:rsidR="00EC5FC2" w:rsidRPr="00EC5FC2">
        <w:rPr>
          <w:rFonts w:cs="Arial"/>
          <w:bCs/>
          <w:color w:val="000000"/>
        </w:rPr>
        <w:t>is not intended</w:t>
      </w:r>
      <w:proofErr w:type="gramEnd"/>
      <w:r w:rsidR="00EC5FC2" w:rsidRPr="00EC5FC2">
        <w:rPr>
          <w:rFonts w:cs="Arial"/>
          <w:bCs/>
          <w:color w:val="000000"/>
        </w:rPr>
        <w:t xml:space="preserve"> to evaluate or approve IATAs. </w:t>
      </w:r>
      <w:r w:rsidR="000C2640">
        <w:rPr>
          <w:rFonts w:cs="Arial"/>
          <w:bCs/>
          <w:color w:val="000000"/>
        </w:rPr>
        <w:t>Howeve</w:t>
      </w:r>
      <w:r w:rsidR="00280952">
        <w:rPr>
          <w:rFonts w:cs="Arial"/>
          <w:bCs/>
          <w:color w:val="000000"/>
        </w:rPr>
        <w:t>r</w:t>
      </w:r>
      <w:r w:rsidR="000C2640">
        <w:rPr>
          <w:rFonts w:cs="Arial"/>
          <w:bCs/>
          <w:color w:val="000000"/>
        </w:rPr>
        <w:t>, t</w:t>
      </w:r>
      <w:r w:rsidR="00EC5FC2" w:rsidRPr="00EC5FC2">
        <w:rPr>
          <w:rFonts w:cs="Arial"/>
          <w:bCs/>
          <w:color w:val="000000"/>
        </w:rPr>
        <w:t>he guidance document contains 1</w:t>
      </w:r>
      <w:r w:rsidR="00DA240C">
        <w:rPr>
          <w:rFonts w:cs="Arial"/>
          <w:bCs/>
          <w:color w:val="000000"/>
        </w:rPr>
        <w:t>2</w:t>
      </w:r>
      <w:r w:rsidR="00EC5FC2" w:rsidRPr="00EC5FC2">
        <w:rPr>
          <w:rFonts w:cs="Arial"/>
          <w:bCs/>
          <w:color w:val="000000"/>
        </w:rPr>
        <w:t xml:space="preserve"> case studies </w:t>
      </w:r>
      <w:r w:rsidR="00B4104F">
        <w:rPr>
          <w:rFonts w:cs="Arial"/>
          <w:bCs/>
          <w:color w:val="000000"/>
        </w:rPr>
        <w:t>that</w:t>
      </w:r>
      <w:r w:rsidR="00EC5FC2" w:rsidRPr="00EC5FC2">
        <w:rPr>
          <w:rFonts w:cs="Arial"/>
          <w:bCs/>
          <w:color w:val="000000"/>
        </w:rPr>
        <w:t xml:space="preserve"> could serve as a base for assessing the robustness of IATAs for predicting and classifyin</w:t>
      </w:r>
      <w:r w:rsidR="00337A8B">
        <w:rPr>
          <w:rFonts w:cs="Arial"/>
          <w:bCs/>
          <w:color w:val="000000"/>
        </w:rPr>
        <w:t xml:space="preserve">g skin sensitization potential. </w:t>
      </w:r>
      <w:r w:rsidR="00D26190">
        <w:rPr>
          <w:rFonts w:cs="Arial"/>
          <w:bCs/>
          <w:color w:val="000000"/>
        </w:rPr>
        <w:t>T</w:t>
      </w:r>
      <w:r w:rsidR="00B5052A">
        <w:rPr>
          <w:rFonts w:cs="Arial"/>
          <w:bCs/>
          <w:color w:val="000000"/>
        </w:rPr>
        <w:t>h</w:t>
      </w:r>
      <w:r w:rsidR="00D26190">
        <w:rPr>
          <w:rFonts w:cs="Arial"/>
          <w:bCs/>
          <w:color w:val="000000"/>
        </w:rPr>
        <w:t>es</w:t>
      </w:r>
      <w:r w:rsidR="00B5052A">
        <w:rPr>
          <w:rFonts w:cs="Arial"/>
          <w:bCs/>
          <w:color w:val="000000"/>
        </w:rPr>
        <w:t>e skin sensitization</w:t>
      </w:r>
      <w:r w:rsidR="00B5052A">
        <w:t xml:space="preserve"> IATA case studies can provide a starting point for a flexible approach that still delivers consistent categorization. </w:t>
      </w:r>
      <w:r w:rsidR="00337A8B">
        <w:rPr>
          <w:rFonts w:cs="Arial"/>
          <w:bCs/>
          <w:color w:val="000000"/>
        </w:rPr>
        <w:t>T</w:t>
      </w:r>
      <w:r w:rsidR="00EC5FC2" w:rsidRPr="00EC5FC2">
        <w:rPr>
          <w:rFonts w:cs="Arial"/>
          <w:bCs/>
          <w:color w:val="000000"/>
        </w:rPr>
        <w:t xml:space="preserve">he U.S. suggests that </w:t>
      </w:r>
      <w:r w:rsidR="00D26190">
        <w:rPr>
          <w:rFonts w:cs="Arial"/>
          <w:bCs/>
          <w:color w:val="000000"/>
        </w:rPr>
        <w:t xml:space="preserve">the Sub-Committee consider ways to coordinate with </w:t>
      </w:r>
      <w:r w:rsidR="00EC5FC2" w:rsidRPr="00EC5FC2">
        <w:rPr>
          <w:rFonts w:cs="Arial"/>
          <w:bCs/>
          <w:color w:val="000000"/>
        </w:rPr>
        <w:t xml:space="preserve">these broad-based </w:t>
      </w:r>
      <w:r w:rsidR="00D26190">
        <w:rPr>
          <w:rFonts w:cs="Arial"/>
          <w:bCs/>
          <w:color w:val="000000"/>
        </w:rPr>
        <w:t xml:space="preserve">OECD </w:t>
      </w:r>
      <w:r w:rsidR="00EC5FC2" w:rsidRPr="00EC5FC2">
        <w:rPr>
          <w:rFonts w:cs="Arial"/>
          <w:bCs/>
          <w:color w:val="000000"/>
        </w:rPr>
        <w:t>exp</w:t>
      </w:r>
      <w:r w:rsidR="00EC5FC2">
        <w:rPr>
          <w:rFonts w:cs="Arial"/>
          <w:bCs/>
          <w:color w:val="000000"/>
        </w:rPr>
        <w:t>ert groups</w:t>
      </w:r>
      <w:r w:rsidR="00D22137" w:rsidRPr="00883434">
        <w:t>.</w:t>
      </w:r>
    </w:p>
    <w:p w14:paraId="3F3A0982" w14:textId="759FAA15" w:rsidR="00C66C30" w:rsidRPr="00883434" w:rsidRDefault="00C66C30" w:rsidP="00A80B14">
      <w:pPr>
        <w:pStyle w:val="SingleTxtG"/>
        <w:spacing w:after="100"/>
        <w:ind w:right="1138" w:firstLine="4"/>
      </w:pPr>
      <w:r>
        <w:t>8.</w:t>
      </w:r>
      <w:r>
        <w:tab/>
        <w:t xml:space="preserve">While non-animal testing </w:t>
      </w:r>
      <w:r w:rsidR="00EC09E3">
        <w:t xml:space="preserve">approaches have </w:t>
      </w:r>
      <w:r>
        <w:t xml:space="preserve">assessed </w:t>
      </w:r>
      <w:r w:rsidR="00EC09E3">
        <w:t xml:space="preserve">the hazard potential </w:t>
      </w:r>
      <w:r>
        <w:t xml:space="preserve">for single substances, </w:t>
      </w:r>
      <w:r w:rsidR="00EC09E3">
        <w:t xml:space="preserve">the </w:t>
      </w:r>
      <w:r>
        <w:t>utility of these approaches for assessing the hazard potential of mixtures</w:t>
      </w:r>
      <w:r w:rsidR="00CF0645">
        <w:t xml:space="preserve"> </w:t>
      </w:r>
      <w:r w:rsidR="00382446">
        <w:t xml:space="preserve">needs to </w:t>
      </w:r>
      <w:proofErr w:type="gramStart"/>
      <w:r w:rsidR="00382446">
        <w:t>be demonstrated</w:t>
      </w:r>
      <w:proofErr w:type="gramEnd"/>
      <w:r>
        <w:t>.</w:t>
      </w:r>
    </w:p>
    <w:p w14:paraId="41AFCDC0" w14:textId="374F00C5" w:rsidR="00D22137" w:rsidRDefault="00EC09E3" w:rsidP="00A80B14">
      <w:pPr>
        <w:pStyle w:val="SingleTxtG"/>
        <w:spacing w:after="100"/>
        <w:ind w:right="1138" w:firstLine="4"/>
      </w:pPr>
      <w:r>
        <w:t>9</w:t>
      </w:r>
      <w:r w:rsidR="00D22137">
        <w:t>.</w:t>
      </w:r>
      <w:r w:rsidR="00D22137" w:rsidRPr="00883434">
        <w:tab/>
      </w:r>
      <w:r w:rsidR="00EC5FC2" w:rsidRPr="00EC5FC2">
        <w:t xml:space="preserve">Future work may also consider the incorporation of Tox21 approaches. Relevant high-throughput screening </w:t>
      </w:r>
      <w:r w:rsidR="000F6D56">
        <w:t xml:space="preserve">assays, which may predict </w:t>
      </w:r>
      <w:proofErr w:type="gramStart"/>
      <w:r w:rsidR="000F6D56">
        <w:t xml:space="preserve">skin </w:t>
      </w:r>
      <w:r w:rsidR="001F1E2B" w:rsidRPr="00EC5FC2">
        <w:t>sensitizing</w:t>
      </w:r>
      <w:proofErr w:type="gramEnd"/>
      <w:r w:rsidR="001F1E2B" w:rsidRPr="00EC5FC2">
        <w:t xml:space="preserve"> activity,</w:t>
      </w:r>
      <w:r w:rsidR="00EC5FC2" w:rsidRPr="00EC5FC2">
        <w:t xml:space="preserve"> can be mapped to the skin sensitization AOP</w:t>
      </w:r>
      <w:r w:rsidR="00C50039">
        <w:t>.</w:t>
      </w:r>
    </w:p>
    <w:p w14:paraId="10751C7D" w14:textId="49902A3B" w:rsidR="00D22137" w:rsidRDefault="00EC09E3" w:rsidP="00A80B14">
      <w:pPr>
        <w:pStyle w:val="SingleTxtG"/>
        <w:spacing w:after="100"/>
        <w:ind w:right="1138" w:firstLine="4"/>
      </w:pPr>
      <w:r>
        <w:t>10</w:t>
      </w:r>
      <w:r w:rsidR="00D22137">
        <w:t>.</w:t>
      </w:r>
      <w:r w:rsidR="00D22137" w:rsidRPr="00883434">
        <w:tab/>
      </w:r>
      <w:r w:rsidR="00D22137">
        <w:rPr>
          <w:rFonts w:cs="Arial"/>
          <w:bCs/>
          <w:color w:val="000000"/>
        </w:rPr>
        <w:t>Alternate approaches may have applications not only for health hazard classification but also for environmental hazards</w:t>
      </w:r>
      <w:r w:rsidR="00D22137" w:rsidRPr="00883434">
        <w:t>.</w:t>
      </w:r>
    </w:p>
    <w:p w14:paraId="66E2D8BF" w14:textId="77777777" w:rsidR="00630329" w:rsidRPr="00630329" w:rsidRDefault="00630329" w:rsidP="00CC2423">
      <w:pPr>
        <w:pStyle w:val="SingleTxtG"/>
        <w:spacing w:before="120" w:after="0"/>
        <w:ind w:left="1701" w:right="1140" w:hanging="561"/>
        <w:rPr>
          <w:b/>
          <w:sz w:val="28"/>
          <w:szCs w:val="28"/>
        </w:rPr>
      </w:pPr>
      <w:r w:rsidRPr="00630329">
        <w:rPr>
          <w:b/>
          <w:sz w:val="28"/>
          <w:szCs w:val="28"/>
        </w:rPr>
        <w:t>Proposal</w:t>
      </w:r>
    </w:p>
    <w:p w14:paraId="27A1F92C" w14:textId="77777777" w:rsidR="00D22137" w:rsidRDefault="00D22137" w:rsidP="00E83F50">
      <w:pPr>
        <w:pStyle w:val="SingleTxtG"/>
        <w:spacing w:after="0"/>
        <w:ind w:left="1701" w:hanging="567"/>
        <w:jc w:val="right"/>
      </w:pPr>
    </w:p>
    <w:p w14:paraId="0BE0C20A" w14:textId="24A335CB" w:rsidR="00F132BA" w:rsidRDefault="00417AC8" w:rsidP="00CC2423">
      <w:pPr>
        <w:pStyle w:val="SingleTxtG"/>
        <w:ind w:firstLine="6"/>
        <w:rPr>
          <w:rFonts w:cs="Arial"/>
          <w:bCs/>
          <w:color w:val="000000"/>
        </w:rPr>
      </w:pPr>
      <w:r>
        <w:t>11</w:t>
      </w:r>
      <w:r w:rsidR="00630329">
        <w:t>.</w:t>
      </w:r>
      <w:r w:rsidR="00630329">
        <w:tab/>
      </w:r>
      <w:r w:rsidR="00382446">
        <w:t>Because of the</w:t>
      </w:r>
      <w:r w:rsidR="00DE377B">
        <w:t xml:space="preserve"> extensive </w:t>
      </w:r>
      <w:r w:rsidR="002B6A6A">
        <w:t>amount of analysis that will need to be performed and the breadth and depth of expertise necessary to assess the various read-across systems</w:t>
      </w:r>
      <w:r w:rsidR="00394F95">
        <w:t xml:space="preserve"> and the applicability of </w:t>
      </w:r>
      <w:r w:rsidR="002B6A6A">
        <w:t>alternate test methods</w:t>
      </w:r>
      <w:r w:rsidR="00394F95">
        <w:t xml:space="preserve"> and/or integrated approaches</w:t>
      </w:r>
      <w:r w:rsidR="002B6A6A">
        <w:t>, t</w:t>
      </w:r>
      <w:r w:rsidR="00630329">
        <w:rPr>
          <w:rFonts w:cs="Arial"/>
          <w:bCs/>
          <w:color w:val="000000"/>
        </w:rPr>
        <w:t xml:space="preserve">he U.S. proposes </w:t>
      </w:r>
      <w:r w:rsidR="00685EE2">
        <w:rPr>
          <w:rFonts w:cs="Arial"/>
          <w:bCs/>
          <w:color w:val="000000"/>
        </w:rPr>
        <w:t xml:space="preserve">the establishment of a </w:t>
      </w:r>
      <w:r w:rsidR="00685EE2">
        <w:t xml:space="preserve">working group that will outline guiding principles/terms of reference for the proposed work. Once input </w:t>
      </w:r>
      <w:proofErr w:type="gramStart"/>
      <w:r w:rsidR="00685EE2">
        <w:t>is received</w:t>
      </w:r>
      <w:proofErr w:type="gramEnd"/>
      <w:r w:rsidR="00685EE2">
        <w:t xml:space="preserve"> and draft terms of reference developed, specific </w:t>
      </w:r>
      <w:r w:rsidR="00005A41">
        <w:rPr>
          <w:rFonts w:cs="Arial"/>
          <w:bCs/>
          <w:color w:val="000000"/>
        </w:rPr>
        <w:t>informal working g</w:t>
      </w:r>
      <w:r w:rsidR="00630329">
        <w:rPr>
          <w:rFonts w:cs="Arial"/>
          <w:bCs/>
          <w:color w:val="000000"/>
        </w:rPr>
        <w:t>roups</w:t>
      </w:r>
      <w:r w:rsidR="00685EE2">
        <w:rPr>
          <w:rFonts w:cs="Arial"/>
          <w:bCs/>
          <w:color w:val="000000"/>
        </w:rPr>
        <w:t xml:space="preserve"> should be created</w:t>
      </w:r>
      <w:r w:rsidR="004E1305">
        <w:rPr>
          <w:rFonts w:cs="Arial"/>
          <w:bCs/>
          <w:color w:val="000000"/>
        </w:rPr>
        <w:t xml:space="preserve"> that address</w:t>
      </w:r>
      <w:r w:rsidR="00F132BA">
        <w:rPr>
          <w:rFonts w:cs="Arial"/>
          <w:bCs/>
          <w:color w:val="000000"/>
        </w:rPr>
        <w:t>:</w:t>
      </w:r>
    </w:p>
    <w:p w14:paraId="64D2AF6C" w14:textId="6915BF0D" w:rsidR="00B145D4" w:rsidRPr="00E319BF" w:rsidRDefault="007A3ED7" w:rsidP="00A80B14">
      <w:pPr>
        <w:pStyle w:val="Bullet1G"/>
      </w:pPr>
      <w:r>
        <w:t xml:space="preserve">Evaluating </w:t>
      </w:r>
      <w:r w:rsidR="00F132BA">
        <w:t xml:space="preserve">the applicability of alternate </w:t>
      </w:r>
      <w:r w:rsidR="00F132BA" w:rsidRPr="00995243">
        <w:rPr>
          <w:i/>
        </w:rPr>
        <w:t>in vitro</w:t>
      </w:r>
      <w:r w:rsidR="00F132BA" w:rsidRPr="00D22137">
        <w:t xml:space="preserve"> and </w:t>
      </w:r>
      <w:r w:rsidR="00F132BA" w:rsidRPr="00995243">
        <w:rPr>
          <w:i/>
        </w:rPr>
        <w:t xml:space="preserve">in </w:t>
      </w:r>
      <w:proofErr w:type="gramStart"/>
      <w:r w:rsidR="00F132BA" w:rsidRPr="00995243">
        <w:rPr>
          <w:i/>
        </w:rPr>
        <w:t>chemico</w:t>
      </w:r>
      <w:r w:rsidR="00F132BA" w:rsidRPr="00D22137">
        <w:t xml:space="preserve"> test </w:t>
      </w:r>
      <w:r w:rsidR="00F132BA">
        <w:t>method data</w:t>
      </w:r>
      <w:proofErr w:type="gramEnd"/>
      <w:r w:rsidR="00F132BA">
        <w:t xml:space="preserve"> for </w:t>
      </w:r>
      <w:r w:rsidR="00A80B14">
        <w:t xml:space="preserve">hazard classification. </w:t>
      </w:r>
      <w:r w:rsidR="00F132BA">
        <w:t xml:space="preserve">We suggest the working group initially focus on the hazard class of </w:t>
      </w:r>
      <w:r w:rsidR="00630329">
        <w:t>skin sensitization</w:t>
      </w:r>
      <w:r w:rsidR="00F132BA">
        <w:t>.</w:t>
      </w:r>
    </w:p>
    <w:p w14:paraId="1671C22A" w14:textId="118BFB32" w:rsidR="005D2C29" w:rsidRPr="00CC2423" w:rsidRDefault="00CC2423" w:rsidP="00E97D2D">
      <w:pPr>
        <w:pStyle w:val="Bullet1G"/>
        <w:spacing w:after="0"/>
        <w:jc w:val="center"/>
        <w:rPr>
          <w:u w:val="single"/>
        </w:rPr>
      </w:pPr>
      <w:r>
        <w:rPr>
          <w:noProof/>
          <w:lang w:eastAsia="en-GB"/>
        </w:rPr>
        <mc:AlternateContent>
          <mc:Choice Requires="wps">
            <w:drawing>
              <wp:anchor distT="0" distB="0" distL="114300" distR="114300" simplePos="0" relativeHeight="251659264" behindDoc="0" locked="0" layoutInCell="1" allowOverlap="1" wp14:anchorId="08534CC4" wp14:editId="614277F8">
                <wp:simplePos x="0" y="0"/>
                <wp:positionH relativeFrom="column">
                  <wp:posOffset>2568575</wp:posOffset>
                </wp:positionH>
                <wp:positionV relativeFrom="paragraph">
                  <wp:posOffset>467904</wp:posOffset>
                </wp:positionV>
                <wp:extent cx="14859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solidFill>
                          <a:srgbClr val="FFFFFF"/>
                        </a:solidFill>
                        <a:ln w="9525">
                          <a:solidFill>
                            <a:schemeClr val="bg1"/>
                          </a:solidFill>
                          <a:miter lim="800000"/>
                          <a:headEnd/>
                          <a:tailEnd/>
                        </a:ln>
                      </wps:spPr>
                      <wps:txbx>
                        <w:txbxContent>
                          <w:p w14:paraId="5A5ABD15" w14:textId="0A48926A" w:rsidR="00CC2423" w:rsidRDefault="00CC2423">
                            <w:r>
                              <w:t>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25pt;margin-top:36.85pt;width: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" strokecolor="white [3212]">
                <v:textbox style="mso-fit-shape-to-text:t">
                  <w:txbxContent>
                    <w:p w14:paraId="5A5ABD15" w14:textId="0A48926A" w:rsidR="00CC2423" w:rsidRDefault="00CC2423">
                      <w:r>
                        <w:t>____________________</w:t>
                      </w:r>
                    </w:p>
                  </w:txbxContent>
                </v:textbox>
              </v:shape>
            </w:pict>
          </mc:Fallback>
        </mc:AlternateContent>
      </w:r>
      <w:r w:rsidR="00C828C8">
        <w:t>I</w:t>
      </w:r>
      <w:r w:rsidR="00E319BF">
        <w:t>ssues on the use of read-across</w:t>
      </w:r>
      <w:r w:rsidR="00280952">
        <w:t>, including the identification of read-across methods that are appropriate for classification, and whether they may be used as a stand</w:t>
      </w:r>
      <w:r w:rsidR="00B4104F">
        <w:t>-</w:t>
      </w:r>
      <w:r w:rsidR="00280952">
        <w:t xml:space="preserve">alone classification method, or as part of a larger weight of evidence approach.  </w:t>
      </w:r>
      <w:r w:rsidR="00630329">
        <w:t xml:space="preserve"> </w:t>
      </w:r>
      <w:bookmarkStart w:id="0" w:name="_GoBack"/>
      <w:bookmarkEnd w:id="0"/>
      <w:r w:rsidR="005D2C29" w:rsidRPr="00CC2423">
        <w:rPr>
          <w:u w:val="single"/>
        </w:rPr>
        <w:tab/>
      </w:r>
      <w:r w:rsidR="005D2C29" w:rsidRPr="00CC2423">
        <w:rPr>
          <w:u w:val="single"/>
        </w:rPr>
        <w:tab/>
      </w:r>
      <w:r w:rsidR="005D2C29" w:rsidRPr="00CC2423">
        <w:rPr>
          <w:u w:val="single"/>
        </w:rPr>
        <w:tab/>
      </w:r>
    </w:p>
    <w:sectPr w:rsidR="005D2C29" w:rsidRPr="00CC2423"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584DC7" w15:done="0"/>
  <w15:commentEx w15:paraId="72AC98EA" w15:done="0"/>
  <w15:commentEx w15:paraId="7CD4E2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D22B7" w14:textId="77777777" w:rsidR="00C30273" w:rsidRDefault="00C30273"/>
  </w:endnote>
  <w:endnote w:type="continuationSeparator" w:id="0">
    <w:p w14:paraId="7CCC24A4" w14:textId="77777777" w:rsidR="00C30273" w:rsidRDefault="00C30273"/>
  </w:endnote>
  <w:endnote w:type="continuationNotice" w:id="1">
    <w:p w14:paraId="18492ECF" w14:textId="77777777" w:rsidR="00C30273" w:rsidRDefault="00C30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E9C7" w14:textId="77777777" w:rsidR="00337A8B" w:rsidRPr="0099001C" w:rsidRDefault="00337A8B"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C2423">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84889" w14:textId="77777777" w:rsidR="00337A8B" w:rsidRPr="0099001C" w:rsidRDefault="00337A8B"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C2423">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3780C" w14:textId="77777777" w:rsidR="00337A8B" w:rsidRPr="0099001C" w:rsidRDefault="00337A8B">
    <w:r>
      <w:rPr>
        <w:noProof/>
        <w:lang w:eastAsia="en-GB"/>
      </w:rPr>
      <w:drawing>
        <wp:anchor distT="0" distB="0" distL="114300" distR="114300" simplePos="0" relativeHeight="251657728" behindDoc="0" locked="1" layoutInCell="1" allowOverlap="1" wp14:anchorId="35873FD5" wp14:editId="20A88C0C">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BEEA2" w14:textId="77777777" w:rsidR="00C30273" w:rsidRPr="000B175B" w:rsidRDefault="00C30273" w:rsidP="000B175B">
      <w:pPr>
        <w:tabs>
          <w:tab w:val="right" w:pos="2155"/>
        </w:tabs>
        <w:spacing w:after="80"/>
        <w:ind w:left="680"/>
        <w:rPr>
          <w:u w:val="single"/>
        </w:rPr>
      </w:pPr>
      <w:r>
        <w:rPr>
          <w:u w:val="single"/>
        </w:rPr>
        <w:tab/>
      </w:r>
    </w:p>
  </w:footnote>
  <w:footnote w:type="continuationSeparator" w:id="0">
    <w:p w14:paraId="514B95D8" w14:textId="77777777" w:rsidR="00C30273" w:rsidRPr="00FC68B7" w:rsidRDefault="00C30273" w:rsidP="00FC68B7">
      <w:pPr>
        <w:tabs>
          <w:tab w:val="left" w:pos="2155"/>
        </w:tabs>
        <w:spacing w:after="80"/>
        <w:ind w:left="680"/>
        <w:rPr>
          <w:u w:val="single"/>
        </w:rPr>
      </w:pPr>
      <w:r>
        <w:rPr>
          <w:u w:val="single"/>
        </w:rPr>
        <w:tab/>
      </w:r>
    </w:p>
  </w:footnote>
  <w:footnote w:type="continuationNotice" w:id="1">
    <w:p w14:paraId="7B71716A" w14:textId="77777777" w:rsidR="00C30273" w:rsidRDefault="00C30273"/>
  </w:footnote>
  <w:footnote w:id="2">
    <w:p w14:paraId="78789DC3" w14:textId="583021A9" w:rsidR="000C2640" w:rsidRPr="00B4104F" w:rsidRDefault="000C2640" w:rsidP="00A80B14">
      <w:pPr>
        <w:pStyle w:val="FootnoteText"/>
        <w:ind w:right="1138" w:firstLine="0"/>
        <w:rPr>
          <w:lang w:val="en-US"/>
        </w:rPr>
      </w:pPr>
      <w:r>
        <w:rPr>
          <w:rStyle w:val="FootnoteReference"/>
        </w:rPr>
        <w:footnoteRef/>
      </w:r>
      <w:r>
        <w:t xml:space="preserve"> </w:t>
      </w:r>
      <w:r w:rsidRPr="000C2640">
        <w:t xml:space="preserve">ITS approaches integrate different types of data and information into a decision-making process. In addition to the information from individual assays, test batteries, and/or tiered test schemes, ITS may incorporate approaches such as weight-of-evidence and exposure/population data into a </w:t>
      </w:r>
      <w:r>
        <w:t>risk assessment for a substance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CEDC4" w14:textId="712D5ABD" w:rsidR="00337A8B" w:rsidRPr="0099001C" w:rsidRDefault="00337A8B" w:rsidP="00366CA7">
    <w:pPr>
      <w:pStyle w:val="Header"/>
    </w:pPr>
    <w:r w:rsidRPr="006E4850">
      <w:t>UN/SCEGHS/30/INF.</w:t>
    </w:r>
    <w:r w:rsidR="00A80B14">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3DA09" w14:textId="5CF0BE11" w:rsidR="00337A8B" w:rsidRPr="0099001C" w:rsidRDefault="00A80B14" w:rsidP="0099001C">
    <w:pPr>
      <w:pStyle w:val="Header"/>
      <w:jc w:val="right"/>
    </w:pPr>
    <w:r>
      <w:t>UN/SCEGHS/30/INF.19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DFE5BB4"/>
    <w:multiLevelType w:val="hybridMultilevel"/>
    <w:tmpl w:val="9BA45D62"/>
    <w:lvl w:ilvl="0" w:tplc="04090001">
      <w:start w:val="1"/>
      <w:numFmt w:val="bullet"/>
      <w:lvlText w:val=""/>
      <w:lvlJc w:val="left"/>
      <w:pPr>
        <w:ind w:left="1903" w:hanging="360"/>
      </w:pPr>
      <w:rPr>
        <w:rFonts w:ascii="Symbol" w:hAnsi="Symbol" w:hint="default"/>
      </w:rPr>
    </w:lvl>
    <w:lvl w:ilvl="1" w:tplc="04090003" w:tentative="1">
      <w:start w:val="1"/>
      <w:numFmt w:val="bullet"/>
      <w:lvlText w:val="o"/>
      <w:lvlJc w:val="left"/>
      <w:pPr>
        <w:ind w:left="2623" w:hanging="360"/>
      </w:pPr>
      <w:rPr>
        <w:rFonts w:ascii="Courier New" w:hAnsi="Courier New" w:cs="Courier New" w:hint="default"/>
      </w:rPr>
    </w:lvl>
    <w:lvl w:ilvl="2" w:tplc="04090005" w:tentative="1">
      <w:start w:val="1"/>
      <w:numFmt w:val="bullet"/>
      <w:lvlText w:val=""/>
      <w:lvlJc w:val="left"/>
      <w:pPr>
        <w:ind w:left="3343" w:hanging="360"/>
      </w:pPr>
      <w:rPr>
        <w:rFonts w:ascii="Wingdings" w:hAnsi="Wingdings" w:hint="default"/>
      </w:rPr>
    </w:lvl>
    <w:lvl w:ilvl="3" w:tplc="04090001" w:tentative="1">
      <w:start w:val="1"/>
      <w:numFmt w:val="bullet"/>
      <w:lvlText w:val=""/>
      <w:lvlJc w:val="left"/>
      <w:pPr>
        <w:ind w:left="4063" w:hanging="360"/>
      </w:pPr>
      <w:rPr>
        <w:rFonts w:ascii="Symbol" w:hAnsi="Symbol" w:hint="default"/>
      </w:rPr>
    </w:lvl>
    <w:lvl w:ilvl="4" w:tplc="04090003" w:tentative="1">
      <w:start w:val="1"/>
      <w:numFmt w:val="bullet"/>
      <w:lvlText w:val="o"/>
      <w:lvlJc w:val="left"/>
      <w:pPr>
        <w:ind w:left="4783" w:hanging="360"/>
      </w:pPr>
      <w:rPr>
        <w:rFonts w:ascii="Courier New" w:hAnsi="Courier New" w:cs="Courier New" w:hint="default"/>
      </w:rPr>
    </w:lvl>
    <w:lvl w:ilvl="5" w:tplc="04090005" w:tentative="1">
      <w:start w:val="1"/>
      <w:numFmt w:val="bullet"/>
      <w:lvlText w:val=""/>
      <w:lvlJc w:val="left"/>
      <w:pPr>
        <w:ind w:left="5503" w:hanging="360"/>
      </w:pPr>
      <w:rPr>
        <w:rFonts w:ascii="Wingdings" w:hAnsi="Wingdings" w:hint="default"/>
      </w:rPr>
    </w:lvl>
    <w:lvl w:ilvl="6" w:tplc="04090001" w:tentative="1">
      <w:start w:val="1"/>
      <w:numFmt w:val="bullet"/>
      <w:lvlText w:val=""/>
      <w:lvlJc w:val="left"/>
      <w:pPr>
        <w:ind w:left="6223" w:hanging="360"/>
      </w:pPr>
      <w:rPr>
        <w:rFonts w:ascii="Symbol" w:hAnsi="Symbol" w:hint="default"/>
      </w:rPr>
    </w:lvl>
    <w:lvl w:ilvl="7" w:tplc="04090003" w:tentative="1">
      <w:start w:val="1"/>
      <w:numFmt w:val="bullet"/>
      <w:lvlText w:val="o"/>
      <w:lvlJc w:val="left"/>
      <w:pPr>
        <w:ind w:left="6943" w:hanging="360"/>
      </w:pPr>
      <w:rPr>
        <w:rFonts w:ascii="Courier New" w:hAnsi="Courier New" w:cs="Courier New" w:hint="default"/>
      </w:rPr>
    </w:lvl>
    <w:lvl w:ilvl="8" w:tplc="04090005" w:tentative="1">
      <w:start w:val="1"/>
      <w:numFmt w:val="bullet"/>
      <w:lvlText w:val=""/>
      <w:lvlJc w:val="left"/>
      <w:pPr>
        <w:ind w:left="7663" w:hanging="360"/>
      </w:pPr>
      <w:rPr>
        <w:rFonts w:ascii="Wingdings" w:hAnsi="Wingdings" w:hint="default"/>
      </w:rPr>
    </w:lvl>
  </w:abstractNum>
  <w:abstractNum w:abstractNumId="2">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3"/>
  </w:num>
  <w:num w:numId="5">
    <w:abstractNumId w:val="3"/>
  </w:num>
  <w:num w:numId="6">
    <w:abstractNumId w:val="3"/>
  </w:num>
  <w:num w:numId="7">
    <w:abstractNumId w:val="3"/>
  </w:num>
  <w:num w:numId="8">
    <w:abstractNumId w:val="3"/>
  </w:num>
  <w:num w:numId="9">
    <w:abstractNumId w:val="1"/>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5A41"/>
    <w:rsid w:val="00033B3D"/>
    <w:rsid w:val="00050F6B"/>
    <w:rsid w:val="00072C8C"/>
    <w:rsid w:val="00081647"/>
    <w:rsid w:val="000931C0"/>
    <w:rsid w:val="00094874"/>
    <w:rsid w:val="000A6935"/>
    <w:rsid w:val="000B175B"/>
    <w:rsid w:val="000B3A0F"/>
    <w:rsid w:val="000C2640"/>
    <w:rsid w:val="000C6544"/>
    <w:rsid w:val="000C7537"/>
    <w:rsid w:val="000D10AA"/>
    <w:rsid w:val="000D6235"/>
    <w:rsid w:val="000E0415"/>
    <w:rsid w:val="000F6D56"/>
    <w:rsid w:val="001220B8"/>
    <w:rsid w:val="00156F3C"/>
    <w:rsid w:val="00162BF7"/>
    <w:rsid w:val="00163E71"/>
    <w:rsid w:val="00176C23"/>
    <w:rsid w:val="00190AEA"/>
    <w:rsid w:val="001B4B04"/>
    <w:rsid w:val="001C6663"/>
    <w:rsid w:val="001C7895"/>
    <w:rsid w:val="001D26DF"/>
    <w:rsid w:val="001E47FD"/>
    <w:rsid w:val="001F1E2B"/>
    <w:rsid w:val="0021096D"/>
    <w:rsid w:val="00211E0B"/>
    <w:rsid w:val="00215AC2"/>
    <w:rsid w:val="002405A7"/>
    <w:rsid w:val="0025322D"/>
    <w:rsid w:val="00254047"/>
    <w:rsid w:val="002564E9"/>
    <w:rsid w:val="00257E45"/>
    <w:rsid w:val="00262488"/>
    <w:rsid w:val="00280952"/>
    <w:rsid w:val="002B6A6A"/>
    <w:rsid w:val="002C0968"/>
    <w:rsid w:val="002D59D3"/>
    <w:rsid w:val="002F0E67"/>
    <w:rsid w:val="003107FA"/>
    <w:rsid w:val="003127A2"/>
    <w:rsid w:val="003229D8"/>
    <w:rsid w:val="0033745A"/>
    <w:rsid w:val="00337A8B"/>
    <w:rsid w:val="003642AF"/>
    <w:rsid w:val="00366CA7"/>
    <w:rsid w:val="0038181F"/>
    <w:rsid w:val="00382446"/>
    <w:rsid w:val="0039277A"/>
    <w:rsid w:val="00394F95"/>
    <w:rsid w:val="003972E0"/>
    <w:rsid w:val="003C2CC4"/>
    <w:rsid w:val="003C3936"/>
    <w:rsid w:val="003D4B23"/>
    <w:rsid w:val="003F1ED3"/>
    <w:rsid w:val="00417AC8"/>
    <w:rsid w:val="004325CB"/>
    <w:rsid w:val="00446DE4"/>
    <w:rsid w:val="00460DD9"/>
    <w:rsid w:val="00464832"/>
    <w:rsid w:val="00467F71"/>
    <w:rsid w:val="00472BBD"/>
    <w:rsid w:val="004A41CA"/>
    <w:rsid w:val="004C738E"/>
    <w:rsid w:val="004E1305"/>
    <w:rsid w:val="004E7ED6"/>
    <w:rsid w:val="00503228"/>
    <w:rsid w:val="00505384"/>
    <w:rsid w:val="00532EF8"/>
    <w:rsid w:val="005420F2"/>
    <w:rsid w:val="005B2C89"/>
    <w:rsid w:val="005B3DB3"/>
    <w:rsid w:val="005D2C29"/>
    <w:rsid w:val="005E22FE"/>
    <w:rsid w:val="00611AB3"/>
    <w:rsid w:val="00611FC4"/>
    <w:rsid w:val="006176FB"/>
    <w:rsid w:val="00627ED0"/>
    <w:rsid w:val="00630329"/>
    <w:rsid w:val="00640B26"/>
    <w:rsid w:val="00665595"/>
    <w:rsid w:val="00685EE2"/>
    <w:rsid w:val="00691F20"/>
    <w:rsid w:val="00693543"/>
    <w:rsid w:val="006A7392"/>
    <w:rsid w:val="006A7757"/>
    <w:rsid w:val="006E4850"/>
    <w:rsid w:val="006E564B"/>
    <w:rsid w:val="0071349F"/>
    <w:rsid w:val="00720DEB"/>
    <w:rsid w:val="0072632A"/>
    <w:rsid w:val="00733AAE"/>
    <w:rsid w:val="00781A60"/>
    <w:rsid w:val="007A0B22"/>
    <w:rsid w:val="007A3ED7"/>
    <w:rsid w:val="007B6BA5"/>
    <w:rsid w:val="007C3390"/>
    <w:rsid w:val="007C4F4B"/>
    <w:rsid w:val="007F0B83"/>
    <w:rsid w:val="007F48EF"/>
    <w:rsid w:val="007F4FCD"/>
    <w:rsid w:val="007F6611"/>
    <w:rsid w:val="0081732C"/>
    <w:rsid w:val="008175E9"/>
    <w:rsid w:val="008242D7"/>
    <w:rsid w:val="00827E05"/>
    <w:rsid w:val="008311A3"/>
    <w:rsid w:val="00836AF7"/>
    <w:rsid w:val="00857E50"/>
    <w:rsid w:val="00871FD5"/>
    <w:rsid w:val="00883434"/>
    <w:rsid w:val="008979B1"/>
    <w:rsid w:val="008A6B25"/>
    <w:rsid w:val="008A6C4F"/>
    <w:rsid w:val="008B5875"/>
    <w:rsid w:val="008B6E26"/>
    <w:rsid w:val="008E0E46"/>
    <w:rsid w:val="008E4C4C"/>
    <w:rsid w:val="00907AD2"/>
    <w:rsid w:val="00911047"/>
    <w:rsid w:val="00946433"/>
    <w:rsid w:val="00963CBA"/>
    <w:rsid w:val="009650E6"/>
    <w:rsid w:val="00974A8D"/>
    <w:rsid w:val="0099001C"/>
    <w:rsid w:val="00991261"/>
    <w:rsid w:val="00994529"/>
    <w:rsid w:val="00995243"/>
    <w:rsid w:val="009A2F85"/>
    <w:rsid w:val="009C396D"/>
    <w:rsid w:val="009F3A17"/>
    <w:rsid w:val="009F3D53"/>
    <w:rsid w:val="00A1427D"/>
    <w:rsid w:val="00A24448"/>
    <w:rsid w:val="00A55FB2"/>
    <w:rsid w:val="00A563A2"/>
    <w:rsid w:val="00A72F22"/>
    <w:rsid w:val="00A748A6"/>
    <w:rsid w:val="00A80459"/>
    <w:rsid w:val="00A805EB"/>
    <w:rsid w:val="00A80B14"/>
    <w:rsid w:val="00A879A4"/>
    <w:rsid w:val="00AA496B"/>
    <w:rsid w:val="00AE71F3"/>
    <w:rsid w:val="00B11E5C"/>
    <w:rsid w:val="00B145D4"/>
    <w:rsid w:val="00B30179"/>
    <w:rsid w:val="00B30E8F"/>
    <w:rsid w:val="00B33EC0"/>
    <w:rsid w:val="00B4104F"/>
    <w:rsid w:val="00B5052A"/>
    <w:rsid w:val="00B81E12"/>
    <w:rsid w:val="00B97D28"/>
    <w:rsid w:val="00BC74E9"/>
    <w:rsid w:val="00BD2146"/>
    <w:rsid w:val="00BD4818"/>
    <w:rsid w:val="00BE4F74"/>
    <w:rsid w:val="00BE618E"/>
    <w:rsid w:val="00C17699"/>
    <w:rsid w:val="00C1778D"/>
    <w:rsid w:val="00C30273"/>
    <w:rsid w:val="00C41A28"/>
    <w:rsid w:val="00C463DD"/>
    <w:rsid w:val="00C50039"/>
    <w:rsid w:val="00C50256"/>
    <w:rsid w:val="00C66C30"/>
    <w:rsid w:val="00C712B9"/>
    <w:rsid w:val="00C71E6C"/>
    <w:rsid w:val="00C745C3"/>
    <w:rsid w:val="00C828C8"/>
    <w:rsid w:val="00C945EB"/>
    <w:rsid w:val="00CC2423"/>
    <w:rsid w:val="00CE4A8F"/>
    <w:rsid w:val="00CF0645"/>
    <w:rsid w:val="00CF2155"/>
    <w:rsid w:val="00D055EB"/>
    <w:rsid w:val="00D2031B"/>
    <w:rsid w:val="00D22137"/>
    <w:rsid w:val="00D25FE2"/>
    <w:rsid w:val="00D26190"/>
    <w:rsid w:val="00D317BB"/>
    <w:rsid w:val="00D35D8F"/>
    <w:rsid w:val="00D43252"/>
    <w:rsid w:val="00D62F72"/>
    <w:rsid w:val="00D63881"/>
    <w:rsid w:val="00D67424"/>
    <w:rsid w:val="00D978C6"/>
    <w:rsid w:val="00DA240C"/>
    <w:rsid w:val="00DA67AD"/>
    <w:rsid w:val="00DB5D0F"/>
    <w:rsid w:val="00DC3242"/>
    <w:rsid w:val="00DD779B"/>
    <w:rsid w:val="00DE377B"/>
    <w:rsid w:val="00DE7F20"/>
    <w:rsid w:val="00DF12F7"/>
    <w:rsid w:val="00DF2C64"/>
    <w:rsid w:val="00DF7BFB"/>
    <w:rsid w:val="00E02C81"/>
    <w:rsid w:val="00E04A75"/>
    <w:rsid w:val="00E06EAB"/>
    <w:rsid w:val="00E130AB"/>
    <w:rsid w:val="00E319BF"/>
    <w:rsid w:val="00E31C87"/>
    <w:rsid w:val="00E70DF5"/>
    <w:rsid w:val="00E7260F"/>
    <w:rsid w:val="00E80F5F"/>
    <w:rsid w:val="00E83F50"/>
    <w:rsid w:val="00E87921"/>
    <w:rsid w:val="00E96630"/>
    <w:rsid w:val="00E97D2D"/>
    <w:rsid w:val="00EA264E"/>
    <w:rsid w:val="00EA31E1"/>
    <w:rsid w:val="00EA3A41"/>
    <w:rsid w:val="00EC09E3"/>
    <w:rsid w:val="00EC5FC2"/>
    <w:rsid w:val="00ED3D1C"/>
    <w:rsid w:val="00ED71D9"/>
    <w:rsid w:val="00ED7A2A"/>
    <w:rsid w:val="00EF1D7F"/>
    <w:rsid w:val="00EF4686"/>
    <w:rsid w:val="00F132BA"/>
    <w:rsid w:val="00F53EDA"/>
    <w:rsid w:val="00F7753D"/>
    <w:rsid w:val="00F85F34"/>
    <w:rsid w:val="00F87D18"/>
    <w:rsid w:val="00FA06F7"/>
    <w:rsid w:val="00FB171A"/>
    <w:rsid w:val="00FB5AC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78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styleId="CommentReference">
    <w:name w:val="annotation reference"/>
    <w:basedOn w:val="DefaultParagraphFont"/>
    <w:rsid w:val="00994529"/>
    <w:rPr>
      <w:sz w:val="16"/>
      <w:szCs w:val="16"/>
    </w:rPr>
  </w:style>
  <w:style w:type="paragraph" w:styleId="CommentText">
    <w:name w:val="annotation text"/>
    <w:basedOn w:val="Normal"/>
    <w:link w:val="CommentTextChar"/>
    <w:rsid w:val="00994529"/>
    <w:pPr>
      <w:spacing w:line="240" w:lineRule="auto"/>
    </w:pPr>
  </w:style>
  <w:style w:type="character" w:customStyle="1" w:styleId="CommentTextChar">
    <w:name w:val="Comment Text Char"/>
    <w:basedOn w:val="DefaultParagraphFont"/>
    <w:link w:val="CommentText"/>
    <w:rsid w:val="00994529"/>
    <w:rPr>
      <w:lang w:eastAsia="en-US"/>
    </w:rPr>
  </w:style>
  <w:style w:type="paragraph" w:styleId="CommentSubject">
    <w:name w:val="annotation subject"/>
    <w:basedOn w:val="CommentText"/>
    <w:next w:val="CommentText"/>
    <w:link w:val="CommentSubjectChar"/>
    <w:rsid w:val="00994529"/>
    <w:rPr>
      <w:b/>
      <w:bCs/>
    </w:rPr>
  </w:style>
  <w:style w:type="character" w:customStyle="1" w:styleId="CommentSubjectChar">
    <w:name w:val="Comment Subject Char"/>
    <w:basedOn w:val="CommentTextChar"/>
    <w:link w:val="CommentSubject"/>
    <w:rsid w:val="00994529"/>
    <w:rPr>
      <w:b/>
      <w:bCs/>
      <w:lang w:eastAsia="en-US"/>
    </w:rPr>
  </w:style>
  <w:style w:type="paragraph" w:styleId="BalloonText">
    <w:name w:val="Balloon Text"/>
    <w:basedOn w:val="Normal"/>
    <w:link w:val="BalloonTextChar"/>
    <w:rsid w:val="009945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45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styleId="CommentReference">
    <w:name w:val="annotation reference"/>
    <w:basedOn w:val="DefaultParagraphFont"/>
    <w:rsid w:val="00994529"/>
    <w:rPr>
      <w:sz w:val="16"/>
      <w:szCs w:val="16"/>
    </w:rPr>
  </w:style>
  <w:style w:type="paragraph" w:styleId="CommentText">
    <w:name w:val="annotation text"/>
    <w:basedOn w:val="Normal"/>
    <w:link w:val="CommentTextChar"/>
    <w:rsid w:val="00994529"/>
    <w:pPr>
      <w:spacing w:line="240" w:lineRule="auto"/>
    </w:pPr>
  </w:style>
  <w:style w:type="character" w:customStyle="1" w:styleId="CommentTextChar">
    <w:name w:val="Comment Text Char"/>
    <w:basedOn w:val="DefaultParagraphFont"/>
    <w:link w:val="CommentText"/>
    <w:rsid w:val="00994529"/>
    <w:rPr>
      <w:lang w:eastAsia="en-US"/>
    </w:rPr>
  </w:style>
  <w:style w:type="paragraph" w:styleId="CommentSubject">
    <w:name w:val="annotation subject"/>
    <w:basedOn w:val="CommentText"/>
    <w:next w:val="CommentText"/>
    <w:link w:val="CommentSubjectChar"/>
    <w:rsid w:val="00994529"/>
    <w:rPr>
      <w:b/>
      <w:bCs/>
    </w:rPr>
  </w:style>
  <w:style w:type="character" w:customStyle="1" w:styleId="CommentSubjectChar">
    <w:name w:val="Comment Subject Char"/>
    <w:basedOn w:val="CommentTextChar"/>
    <w:link w:val="CommentSubject"/>
    <w:rsid w:val="00994529"/>
    <w:rPr>
      <w:b/>
      <w:bCs/>
      <w:lang w:eastAsia="en-US"/>
    </w:rPr>
  </w:style>
  <w:style w:type="paragraph" w:styleId="BalloonText">
    <w:name w:val="Balloon Text"/>
    <w:basedOn w:val="Normal"/>
    <w:link w:val="BalloonTextChar"/>
    <w:rsid w:val="009945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45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2FBF-E43F-4540-B210-5504FF4D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55</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2015-12-02T08:44:00Z</cp:lastPrinted>
  <dcterms:created xsi:type="dcterms:W3CDTF">2015-12-02T07:59:00Z</dcterms:created>
  <dcterms:modified xsi:type="dcterms:W3CDTF">2015-12-03T14:37:00Z</dcterms:modified>
</cp:coreProperties>
</file>