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2309A7" w:rsidRDefault="00485748" w:rsidP="00485748">
            <w:pPr>
              <w:jc w:val="right"/>
            </w:pPr>
            <w:r w:rsidRPr="00485748">
              <w:rPr>
                <w:sz w:val="40"/>
              </w:rPr>
              <w:t>ST</w:t>
            </w:r>
            <w:r>
              <w:t>/SG/AC.10/C.4/2015/9</w:t>
            </w:r>
          </w:p>
        </w:tc>
      </w:tr>
      <w:tr w:rsidR="003107FA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85748" w:rsidP="00485748">
            <w:pPr>
              <w:spacing w:before="240" w:line="240" w:lineRule="exact"/>
            </w:pPr>
            <w:r>
              <w:t>Distr.: General</w:t>
            </w:r>
          </w:p>
          <w:p w:rsidR="00485748" w:rsidRDefault="00485748" w:rsidP="00485748">
            <w:pPr>
              <w:spacing w:line="240" w:lineRule="exact"/>
            </w:pPr>
            <w:r>
              <w:t>4 September 2015</w:t>
            </w:r>
          </w:p>
          <w:p w:rsidR="00485748" w:rsidRDefault="00485748" w:rsidP="00485748">
            <w:pPr>
              <w:spacing w:line="240" w:lineRule="exact"/>
            </w:pPr>
          </w:p>
          <w:p w:rsidR="00485748" w:rsidRDefault="00485748" w:rsidP="00485748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9F0F06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:rsidR="009F0F06" w:rsidRPr="009F0F06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:rsidR="003972E0" w:rsidRDefault="00485748" w:rsidP="009F0F06">
      <w:pPr>
        <w:spacing w:before="120"/>
        <w:rPr>
          <w:b/>
        </w:rPr>
      </w:pPr>
      <w:r>
        <w:rPr>
          <w:b/>
        </w:rPr>
        <w:t>Thirtieth</w:t>
      </w:r>
      <w:r w:rsidR="009F0F06">
        <w:rPr>
          <w:b/>
        </w:rPr>
        <w:t xml:space="preserve"> session</w:t>
      </w:r>
    </w:p>
    <w:p w:rsidR="009F0F06" w:rsidRDefault="00CF5DB3" w:rsidP="009F0F06">
      <w:r>
        <w:t xml:space="preserve">Geneva, </w:t>
      </w:r>
      <w:r w:rsidR="006461B1">
        <w:t xml:space="preserve">9 </w:t>
      </w:r>
      <w:r w:rsidR="004C4522">
        <w:t>–</w:t>
      </w:r>
      <w:r w:rsidR="00485748">
        <w:t>11 December 2015</w:t>
      </w:r>
    </w:p>
    <w:p w:rsidR="009F0F06" w:rsidRDefault="009F0F06" w:rsidP="009F0F06">
      <w:r>
        <w:t xml:space="preserve">Item </w:t>
      </w:r>
      <w:r w:rsidR="00485748">
        <w:t>4 (c)</w:t>
      </w:r>
      <w:r>
        <w:t xml:space="preserve"> of the provisional agenda</w:t>
      </w:r>
    </w:p>
    <w:p w:rsidR="00485748" w:rsidRDefault="00485748" w:rsidP="009F0F06">
      <w:pPr>
        <w:rPr>
          <w:b/>
        </w:rPr>
      </w:pPr>
      <w:r w:rsidRPr="00485748">
        <w:rPr>
          <w:b/>
        </w:rPr>
        <w:t>Hazard communication issues:</w:t>
      </w:r>
      <w:r>
        <w:rPr>
          <w:b/>
        </w:rPr>
        <w:t xml:space="preserve"> </w:t>
      </w:r>
    </w:p>
    <w:p w:rsidR="009F0F06" w:rsidRPr="00485748" w:rsidRDefault="00485748" w:rsidP="009F0F06">
      <w:pPr>
        <w:rPr>
          <w:b/>
        </w:rPr>
      </w:pPr>
      <w:r w:rsidRPr="00485748">
        <w:rPr>
          <w:b/>
        </w:rPr>
        <w:t>Improvement of annexes 1 to 3 and further rationalization of precautionary statements</w:t>
      </w:r>
    </w:p>
    <w:p w:rsidR="00654723" w:rsidRDefault="00654723" w:rsidP="00654723">
      <w:pPr>
        <w:pStyle w:val="HChG"/>
      </w:pPr>
      <w:r>
        <w:tab/>
      </w:r>
      <w:r>
        <w:tab/>
      </w:r>
      <w:r w:rsidRPr="007B00ED">
        <w:t xml:space="preserve">Further refinement of </w:t>
      </w:r>
      <w:r>
        <w:t>precautionary statement P502 for e</w:t>
      </w:r>
      <w:r w:rsidRPr="007B00ED">
        <w:t>xplosives</w:t>
      </w:r>
    </w:p>
    <w:p w:rsidR="00654723" w:rsidRDefault="00654723" w:rsidP="00654723">
      <w:pPr>
        <w:pStyle w:val="H1G"/>
      </w:pPr>
      <w:r>
        <w:tab/>
      </w:r>
      <w:r>
        <w:tab/>
        <w:t>Transmitted by the expert from Sweden</w:t>
      </w:r>
      <w:r>
        <w:rPr>
          <w:rStyle w:val="FootnoteReference"/>
        </w:rPr>
        <w:footnoteReference w:id="2"/>
      </w:r>
    </w:p>
    <w:p w:rsidR="00654723" w:rsidRPr="00B8103D" w:rsidRDefault="00654723" w:rsidP="00654723">
      <w:pPr>
        <w:pStyle w:val="SingleTxtG"/>
      </w:pPr>
      <w:r>
        <w:t xml:space="preserve">1. </w:t>
      </w:r>
      <w:r>
        <w:tab/>
        <w:t>At the 29</w:t>
      </w:r>
      <w:r w:rsidRPr="00001F01">
        <w:t>th session of the Sub-Committee, a proposal was put forward</w:t>
      </w:r>
      <w:r>
        <w:t xml:space="preserve"> by the expert from Sweden regarding the use of precautionary statement P502 for the hazard class </w:t>
      </w:r>
      <w:r w:rsidR="00FC4F22">
        <w:t>“E</w:t>
      </w:r>
      <w:r>
        <w:t>xplosives</w:t>
      </w:r>
      <w:r w:rsidR="00FC4F22">
        <w:t>”</w:t>
      </w:r>
      <w:r>
        <w:t xml:space="preserve"> (see document </w:t>
      </w:r>
      <w:r w:rsidRPr="00B8103D">
        <w:t>ST/SG/AC.10/C.4/2015/5</w:t>
      </w:r>
      <w:r>
        <w:t>).</w:t>
      </w:r>
    </w:p>
    <w:p w:rsidR="00654723" w:rsidRDefault="00654723" w:rsidP="00654723">
      <w:pPr>
        <w:pStyle w:val="SingleTxtG"/>
      </w:pPr>
      <w:r>
        <w:t xml:space="preserve">2. </w:t>
      </w:r>
      <w:r w:rsidR="00BA3FAD">
        <w:tab/>
      </w:r>
      <w:r>
        <w:t xml:space="preserve">As a result of </w:t>
      </w:r>
      <w:r w:rsidR="00BA3FAD">
        <w:t xml:space="preserve">the </w:t>
      </w:r>
      <w:r>
        <w:t xml:space="preserve">comments made by other experts, the proposal was redrafted in the margins of the session and a modified proposal was </w:t>
      </w:r>
      <w:r w:rsidR="00FC4F22">
        <w:t>circulated</w:t>
      </w:r>
      <w:r>
        <w:t xml:space="preserve"> as INF.20. Th</w:t>
      </w:r>
      <w:r w:rsidR="00BA3FAD">
        <w:t xml:space="preserve">e </w:t>
      </w:r>
      <w:r>
        <w:t xml:space="preserve">proposal was subsequently further amended during the session, and a somewhat altered wording was finally accepted and adopted by the Sub-Committee (see the annex </w:t>
      </w:r>
      <w:r w:rsidR="00BA3FAD">
        <w:t>to</w:t>
      </w:r>
      <w:r>
        <w:t xml:space="preserve"> the report </w:t>
      </w:r>
      <w:r w:rsidR="00BA3FAD">
        <w:t>of the Sub-Committee on its 29th session,</w:t>
      </w:r>
      <w:r>
        <w:t xml:space="preserve"> </w:t>
      </w:r>
      <w:r w:rsidRPr="00B8103D">
        <w:t>ST/SG/AC.10/C.4/58</w:t>
      </w:r>
      <w:r>
        <w:t>).</w:t>
      </w:r>
    </w:p>
    <w:p w:rsidR="00103024" w:rsidRDefault="00654723" w:rsidP="00654723">
      <w:pPr>
        <w:pStyle w:val="SingleTxtG"/>
      </w:pPr>
      <w:r>
        <w:t xml:space="preserve">3. </w:t>
      </w:r>
      <w:r w:rsidR="00BA3FAD">
        <w:tab/>
      </w:r>
      <w:r>
        <w:t>During the discussion, it was proposed to further clarify the c</w:t>
      </w:r>
      <w:r w:rsidR="00BA3FAD">
        <w:t>onditions for use for P502 for e</w:t>
      </w:r>
      <w:r>
        <w:t xml:space="preserve">xplosives by adding an instruction </w:t>
      </w:r>
      <w:r w:rsidR="00BA3FAD">
        <w:t xml:space="preserve">specifying </w:t>
      </w:r>
      <w:r>
        <w:t xml:space="preserve">that the word “disposal” should always be used when applying P502 to </w:t>
      </w:r>
      <w:r w:rsidR="00BA3FAD">
        <w:t>e</w:t>
      </w:r>
      <w:r>
        <w:t xml:space="preserve">xplosives. However, after lengthy discussions it was felt that it was better not to further change the proposal at that stage. The expert from Sweden now returns with a proposal for the further refinement of the </w:t>
      </w:r>
      <w:r w:rsidR="00495EEA">
        <w:t>conditions for use of P502 for e</w:t>
      </w:r>
      <w:r>
        <w:t>xplosives.</w:t>
      </w:r>
    </w:p>
    <w:p w:rsidR="006461B1" w:rsidRDefault="00654723" w:rsidP="00654723">
      <w:pPr>
        <w:pStyle w:val="SingleTxtG"/>
      </w:pPr>
      <w:r>
        <w:t xml:space="preserve">4. </w:t>
      </w:r>
      <w:r w:rsidR="00103024">
        <w:tab/>
        <w:t xml:space="preserve">Following the amendments adopted by the </w:t>
      </w:r>
      <w:r>
        <w:t xml:space="preserve">Sub-Committee at the 29th session, P502 </w:t>
      </w:r>
      <w:r w:rsidR="00103024">
        <w:t>reads as follows</w:t>
      </w:r>
      <w:r>
        <w:t>: “</w:t>
      </w:r>
      <w:r w:rsidRPr="003D759F">
        <w:t xml:space="preserve">Refer to manufacturer or supplier [/…] for information on [disposal,] </w:t>
      </w:r>
      <w:r w:rsidRPr="003D759F">
        <w:lastRenderedPageBreak/>
        <w:t>recovery or recycling</w:t>
      </w:r>
      <w:r>
        <w:t xml:space="preserve">”. The condition for use </w:t>
      </w:r>
      <w:r w:rsidR="00103024">
        <w:t>applicable to the hazard class “</w:t>
      </w:r>
      <w:r>
        <w:t>Hazardous to the ozone layer</w:t>
      </w:r>
      <w:r w:rsidR="00103024">
        <w:t>”</w:t>
      </w:r>
      <w:r>
        <w:t xml:space="preserve"> </w:t>
      </w:r>
      <w:r w:rsidR="00495EEA">
        <w:t>is</w:t>
      </w:r>
      <w:r w:rsidRPr="003D759F">
        <w:t xml:space="preserve"> </w:t>
      </w:r>
      <w:r>
        <w:t>“</w:t>
      </w:r>
      <w:r w:rsidRPr="003D759F">
        <w:t>Text in square brackets not to be used for hazardous to the ozone layer</w:t>
      </w:r>
      <w:r>
        <w:t xml:space="preserve">”. At first glance, the corresponding condition for use to be inserted for </w:t>
      </w:r>
      <w:r w:rsidR="00103024">
        <w:t>e</w:t>
      </w:r>
      <w:r>
        <w:t>xplosives would be</w:t>
      </w:r>
      <w:r w:rsidR="00103024">
        <w:t>:</w:t>
      </w:r>
      <w:r>
        <w:t xml:space="preserve"> </w:t>
      </w:r>
      <w:r w:rsidRPr="00463B1D">
        <w:rPr>
          <w:i/>
        </w:rPr>
        <w:t>“</w:t>
      </w:r>
      <w:r w:rsidR="00463B1D" w:rsidRPr="00463B1D">
        <w:rPr>
          <w:i/>
        </w:rPr>
        <w:t xml:space="preserve">– </w:t>
      </w:r>
      <w:r w:rsidRPr="00463B1D">
        <w:rPr>
          <w:i/>
        </w:rPr>
        <w:t>Text in square brackets to be used for explosives”</w:t>
      </w:r>
      <w:r>
        <w:t xml:space="preserve">, </w:t>
      </w:r>
      <w:r w:rsidR="00495EEA">
        <w:t xml:space="preserve">in accordance with the </w:t>
      </w:r>
      <w:r>
        <w:t xml:space="preserve">standard phrasing </w:t>
      </w:r>
      <w:r w:rsidR="00495EEA">
        <w:t xml:space="preserve">used </w:t>
      </w:r>
      <w:r>
        <w:t>in the GHS</w:t>
      </w:r>
      <w:r w:rsidR="00495EEA" w:rsidRPr="00495EEA">
        <w:t xml:space="preserve"> </w:t>
      </w:r>
      <w:r w:rsidR="00495EEA">
        <w:t>for these situations</w:t>
      </w:r>
      <w:r>
        <w:t xml:space="preserve">. This is </w:t>
      </w:r>
      <w:r w:rsidR="00495EEA">
        <w:t>o</w:t>
      </w:r>
      <w:r>
        <w:t>ption 1.</w:t>
      </w:r>
    </w:p>
    <w:p w:rsidR="00534B01" w:rsidRDefault="00654723" w:rsidP="00654723">
      <w:pPr>
        <w:pStyle w:val="SingleTxtG"/>
      </w:pPr>
      <w:r>
        <w:t xml:space="preserve">5. </w:t>
      </w:r>
      <w:r w:rsidR="00103024">
        <w:tab/>
      </w:r>
      <w:r>
        <w:t xml:space="preserve">However, </w:t>
      </w:r>
      <w:r w:rsidR="00387D5E">
        <w:t>indicating</w:t>
      </w:r>
      <w:r>
        <w:t xml:space="preserve"> that the text in squa</w:t>
      </w:r>
      <w:r w:rsidR="00103024">
        <w:t>re brackets should be used for e</w:t>
      </w:r>
      <w:r>
        <w:t xml:space="preserve">xplosives may lead to some confusion since </w:t>
      </w:r>
      <w:r w:rsidR="00387D5E">
        <w:t xml:space="preserve">both </w:t>
      </w:r>
      <w:r>
        <w:t>the slash and the three dots are within square brackets in the phrase</w:t>
      </w:r>
      <w:r w:rsidR="00387D5E" w:rsidRPr="00387D5E">
        <w:t xml:space="preserve"> </w:t>
      </w:r>
      <w:r w:rsidR="00387D5E">
        <w:t>as well</w:t>
      </w:r>
      <w:r>
        <w:t xml:space="preserve">. </w:t>
      </w:r>
      <w:r w:rsidR="00387D5E">
        <w:t>Therefore, a</w:t>
      </w:r>
      <w:r>
        <w:t xml:space="preserve"> user may be led to believe that </w:t>
      </w:r>
      <w:r w:rsidR="00534B01">
        <w:t>“</w:t>
      </w:r>
      <w:r w:rsidR="00387D5E">
        <w:t>/…</w:t>
      </w:r>
      <w:r w:rsidR="00534B01">
        <w:t>”</w:t>
      </w:r>
      <w:r>
        <w:t xml:space="preserve"> must </w:t>
      </w:r>
      <w:r w:rsidR="00534B01">
        <w:t xml:space="preserve">also </w:t>
      </w:r>
      <w:r>
        <w:t>appear in the statement, thus reading</w:t>
      </w:r>
      <w:r w:rsidR="00534B01">
        <w:t>:</w:t>
      </w:r>
      <w:r>
        <w:t xml:space="preserve"> “</w:t>
      </w:r>
      <w:r w:rsidRPr="00E11BC8">
        <w:t>Ref</w:t>
      </w:r>
      <w:r>
        <w:t>er to manufacturer or supplier/</w:t>
      </w:r>
      <w:r w:rsidR="00103024">
        <w:t>…</w:t>
      </w:r>
      <w:r>
        <w:t xml:space="preserve"> for information on disposal,</w:t>
      </w:r>
      <w:r w:rsidRPr="00E11BC8">
        <w:t xml:space="preserve"> recovery or recycling</w:t>
      </w:r>
      <w:r>
        <w:t xml:space="preserve">”. </w:t>
      </w:r>
      <w:r w:rsidR="00534B01">
        <w:t xml:space="preserve">To avoid any misinterpretation, the expert from Sweden </w:t>
      </w:r>
      <w:r w:rsidR="00463B1D">
        <w:t xml:space="preserve">additionally </w:t>
      </w:r>
      <w:r w:rsidR="00534B01">
        <w:t xml:space="preserve">suggests the following </w:t>
      </w:r>
      <w:r w:rsidR="00463B1D">
        <w:t xml:space="preserve">alternative </w:t>
      </w:r>
      <w:r w:rsidR="00534B01">
        <w:t xml:space="preserve">condition for use: </w:t>
      </w:r>
      <w:proofErr w:type="gramStart"/>
      <w:r w:rsidRPr="00463B1D">
        <w:rPr>
          <w:i/>
        </w:rPr>
        <w:t>“</w:t>
      </w:r>
      <w:r w:rsidR="00534B01" w:rsidRPr="00463B1D">
        <w:rPr>
          <w:i/>
        </w:rPr>
        <w:t xml:space="preserve"> </w:t>
      </w:r>
      <w:r w:rsidR="00463B1D" w:rsidRPr="00463B1D">
        <w:rPr>
          <w:i/>
        </w:rPr>
        <w:t>–</w:t>
      </w:r>
      <w:proofErr w:type="gramEnd"/>
      <w:r w:rsidR="00463B1D" w:rsidRPr="00463B1D">
        <w:rPr>
          <w:i/>
        </w:rPr>
        <w:t xml:space="preserve"> </w:t>
      </w:r>
      <w:r w:rsidR="00534B01" w:rsidRPr="00463B1D">
        <w:rPr>
          <w:i/>
        </w:rPr>
        <w:t>“</w:t>
      </w:r>
      <w:r w:rsidRPr="00463B1D">
        <w:rPr>
          <w:i/>
        </w:rPr>
        <w:t>disposal</w:t>
      </w:r>
      <w:r w:rsidR="00103024" w:rsidRPr="00463B1D">
        <w:rPr>
          <w:i/>
        </w:rPr>
        <w:t>”</w:t>
      </w:r>
      <w:r w:rsidRPr="00463B1D">
        <w:rPr>
          <w:i/>
        </w:rPr>
        <w:t xml:space="preserve"> to be used for explosives”</w:t>
      </w:r>
      <w:r>
        <w:t xml:space="preserve">. This is </w:t>
      </w:r>
      <w:r w:rsidR="00387D5E">
        <w:t>o</w:t>
      </w:r>
      <w:r>
        <w:t>ption 2.</w:t>
      </w:r>
    </w:p>
    <w:p w:rsidR="00654723" w:rsidRDefault="00654723" w:rsidP="00654723">
      <w:pPr>
        <w:pStyle w:val="SingleTxtG"/>
      </w:pPr>
      <w:r>
        <w:t xml:space="preserve">6. </w:t>
      </w:r>
      <w:r w:rsidR="00103024">
        <w:tab/>
      </w:r>
      <w:r w:rsidR="002A3DBB">
        <w:t xml:space="preserve">The </w:t>
      </w:r>
      <w:r>
        <w:t>expert from Sweden looks forward to the Sub-Committee’s view</w:t>
      </w:r>
      <w:r w:rsidR="00534B01">
        <w:t>s</w:t>
      </w:r>
      <w:r w:rsidR="00FC4F22" w:rsidRPr="00FC4F22">
        <w:t xml:space="preserve"> </w:t>
      </w:r>
      <w:r w:rsidR="00FC4F22">
        <w:t>on the proposed two options as shown below</w:t>
      </w:r>
      <w:r>
        <w:t>.</w:t>
      </w:r>
    </w:p>
    <w:p w:rsidR="002A3DBB" w:rsidRDefault="002A3DBB" w:rsidP="002A3DBB">
      <w:pPr>
        <w:pStyle w:val="HChG"/>
      </w:pPr>
      <w:r>
        <w:tab/>
      </w:r>
      <w:r>
        <w:tab/>
        <w:t>Proposal</w:t>
      </w:r>
    </w:p>
    <w:p w:rsidR="002A3DBB" w:rsidRDefault="002A3DBB" w:rsidP="002A3DBB">
      <w:pPr>
        <w:pStyle w:val="H1G"/>
      </w:pPr>
      <w:r>
        <w:tab/>
      </w:r>
      <w:r>
        <w:tab/>
      </w:r>
      <w:r w:rsidRPr="008D178A">
        <w:t>Option 1</w:t>
      </w:r>
    </w:p>
    <w:p w:rsidR="002A3DBB" w:rsidRPr="00920CE7" w:rsidRDefault="002A3DBB" w:rsidP="002A3DBB">
      <w:pPr>
        <w:pStyle w:val="SingleTxtG"/>
        <w:rPr>
          <w:b/>
          <w:i/>
        </w:rPr>
      </w:pPr>
      <w:r>
        <w:t>7.</w:t>
      </w:r>
      <w:r>
        <w:tab/>
      </w:r>
      <w:r w:rsidRPr="00090D3E">
        <w:t>Insert</w:t>
      </w:r>
      <w:r>
        <w:t xml:space="preserve"> </w:t>
      </w:r>
      <w:r w:rsidR="00920CE7">
        <w:t xml:space="preserve">the following condition for use </w:t>
      </w:r>
      <w:r w:rsidR="00E16B97">
        <w:t>“</w:t>
      </w:r>
      <w:r w:rsidR="00920CE7">
        <w:t>–</w:t>
      </w:r>
      <w:r w:rsidRPr="00E16B97">
        <w:rPr>
          <w:i/>
        </w:rPr>
        <w:t>Text in square brackets to be used for explosives</w:t>
      </w:r>
      <w:r w:rsidRPr="00090D3E">
        <w:rPr>
          <w:i/>
        </w:rPr>
        <w:t>”</w:t>
      </w:r>
      <w:r>
        <w:t xml:space="preserve"> for Explosives in Table A3.2.1 of Annex 3 Section 2 of the GHS, as amended </w:t>
      </w:r>
      <w:r w:rsidR="00E16B97">
        <w:t>at the</w:t>
      </w:r>
      <w:r>
        <w:t xml:space="preserve"> 29th session of the Sub-Committee (</w:t>
      </w:r>
      <w:r w:rsidR="00E16B97">
        <w:t xml:space="preserve">refer to </w:t>
      </w:r>
      <w:r w:rsidRPr="00B8103D">
        <w:t>ST/SG/AC.10/C.4/58</w:t>
      </w:r>
      <w:r w:rsidR="00E16B97">
        <w:t>, Annex</w:t>
      </w:r>
      <w:r>
        <w:t>).</w:t>
      </w:r>
      <w:r w:rsidR="00920CE7">
        <w:t xml:space="preserve"> </w:t>
      </w:r>
      <w:r w:rsidR="00920CE7" w:rsidRPr="00920CE7">
        <w:rPr>
          <w:i/>
        </w:rPr>
        <w:t>New inserted text is shown in bold, underlined: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52"/>
        <w:gridCol w:w="2514"/>
        <w:gridCol w:w="1626"/>
        <w:gridCol w:w="1626"/>
        <w:gridCol w:w="3021"/>
      </w:tblGrid>
      <w:tr w:rsidR="002A3DBB" w:rsidRPr="002A3DBB" w:rsidTr="002E209E">
        <w:tc>
          <w:tcPr>
            <w:tcW w:w="817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Code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(1)</w:t>
            </w:r>
          </w:p>
          <w:p w:rsidR="002A3DBB" w:rsidRPr="002A3DBB" w:rsidRDefault="002A3DBB" w:rsidP="009768B0">
            <w:pPr>
              <w:jc w:val="center"/>
            </w:pPr>
          </w:p>
        </w:tc>
        <w:tc>
          <w:tcPr>
            <w:tcW w:w="2410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Disposal precautionary statements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(2)</w:t>
            </w:r>
          </w:p>
        </w:tc>
        <w:tc>
          <w:tcPr>
            <w:tcW w:w="1559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>Hazard class</w:t>
            </w:r>
          </w:p>
          <w:p w:rsidR="002A3DBB" w:rsidRPr="002A3DBB" w:rsidRDefault="002A3DBB" w:rsidP="009768B0">
            <w:pPr>
              <w:jc w:val="center"/>
            </w:pPr>
            <w:r w:rsidRPr="002A3DBB">
              <w:rPr>
                <w:b/>
                <w:bCs/>
              </w:rPr>
              <w:t>(3)</w:t>
            </w:r>
          </w:p>
        </w:tc>
        <w:tc>
          <w:tcPr>
            <w:tcW w:w="1559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>Hazard category</w:t>
            </w:r>
          </w:p>
          <w:p w:rsidR="002A3DBB" w:rsidRPr="002A3DBB" w:rsidRDefault="002A3DBB" w:rsidP="009768B0">
            <w:pPr>
              <w:jc w:val="center"/>
            </w:pPr>
            <w:r w:rsidRPr="002A3DBB">
              <w:rPr>
                <w:b/>
                <w:bCs/>
              </w:rPr>
              <w:t>(4)</w:t>
            </w:r>
          </w:p>
        </w:tc>
        <w:tc>
          <w:tcPr>
            <w:tcW w:w="2897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Conditions for use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(5)</w:t>
            </w:r>
          </w:p>
          <w:p w:rsidR="002A3DBB" w:rsidRPr="002A3DBB" w:rsidRDefault="002A3DBB" w:rsidP="009768B0">
            <w:pPr>
              <w:jc w:val="center"/>
            </w:pPr>
          </w:p>
        </w:tc>
      </w:tr>
      <w:tr w:rsidR="002A3DBB" w:rsidRPr="002A3DBB" w:rsidTr="002E209E">
        <w:tc>
          <w:tcPr>
            <w:tcW w:w="817" w:type="dxa"/>
            <w:vMerge w:val="restart"/>
          </w:tcPr>
          <w:p w:rsidR="002A3DBB" w:rsidRPr="002A3DBB" w:rsidRDefault="002A3DBB" w:rsidP="002E209E">
            <w:pPr>
              <w:jc w:val="center"/>
            </w:pPr>
            <w:r w:rsidRPr="002A3DBB">
              <w:t>P502</w:t>
            </w:r>
          </w:p>
        </w:tc>
        <w:tc>
          <w:tcPr>
            <w:tcW w:w="2410" w:type="dxa"/>
            <w:vMerge w:val="restart"/>
          </w:tcPr>
          <w:p w:rsidR="002A3DBB" w:rsidRPr="002A3DBB" w:rsidRDefault="002A3DBB" w:rsidP="009768B0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bCs/>
                <w:sz w:val="20"/>
                <w:szCs w:val="20"/>
                <w:lang w:val="en-GB"/>
              </w:rPr>
              <w:t xml:space="preserve">Refer to manufacturer or supplier [/…] for information on [disposal,] recovery or recycling </w:t>
            </w:r>
          </w:p>
          <w:p w:rsidR="002A3DBB" w:rsidRPr="002A3DBB" w:rsidRDefault="002A3DBB" w:rsidP="009768B0"/>
        </w:tc>
        <w:tc>
          <w:tcPr>
            <w:tcW w:w="1559" w:type="dxa"/>
          </w:tcPr>
          <w:p w:rsidR="002A3DBB" w:rsidRPr="002A3DBB" w:rsidRDefault="002A3DBB" w:rsidP="009768B0">
            <w:pPr>
              <w:pStyle w:val="Default"/>
              <w:rPr>
                <w:sz w:val="20"/>
                <w:szCs w:val="20"/>
              </w:rPr>
            </w:pPr>
            <w:r w:rsidRPr="002A3DBB">
              <w:rPr>
                <w:sz w:val="20"/>
                <w:szCs w:val="20"/>
              </w:rPr>
              <w:t xml:space="preserve">Explosives (Chapter 2.1) </w:t>
            </w:r>
          </w:p>
          <w:p w:rsidR="002A3DBB" w:rsidRPr="002A3DBB" w:rsidRDefault="002A3DBB" w:rsidP="009768B0"/>
        </w:tc>
        <w:tc>
          <w:tcPr>
            <w:tcW w:w="1559" w:type="dxa"/>
          </w:tcPr>
          <w:p w:rsidR="002A3DBB" w:rsidRPr="002A3DBB" w:rsidRDefault="002A3DBB" w:rsidP="004C4522">
            <w:pPr>
              <w:pStyle w:val="Default"/>
              <w:jc w:val="center"/>
              <w:rPr>
                <w:sz w:val="20"/>
                <w:szCs w:val="20"/>
              </w:rPr>
            </w:pPr>
            <w:r w:rsidRPr="002A3DBB">
              <w:rPr>
                <w:sz w:val="20"/>
                <w:szCs w:val="20"/>
              </w:rPr>
              <w:t>Unstable explosives and Divisions 1.1, 1.2, 1.3, 1.4, 1.5</w:t>
            </w:r>
          </w:p>
          <w:p w:rsidR="002A3DBB" w:rsidRPr="002A3DBB" w:rsidRDefault="002A3DBB" w:rsidP="004C4522">
            <w:pPr>
              <w:jc w:val="center"/>
            </w:pPr>
          </w:p>
        </w:tc>
        <w:tc>
          <w:tcPr>
            <w:tcW w:w="2897" w:type="dxa"/>
          </w:tcPr>
          <w:p w:rsidR="002A3DBB" w:rsidRPr="002A3DBB" w:rsidRDefault="002A3DBB" w:rsidP="009768B0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sz w:val="20"/>
                <w:szCs w:val="20"/>
                <w:lang w:val="en-GB"/>
              </w:rPr>
              <w:t xml:space="preserve">… Manufacturer/supplier or the competent authority to specify appropriate source of information, in accordance with local/regional/national/ </w:t>
            </w:r>
          </w:p>
          <w:p w:rsidR="002A3DBB" w:rsidRPr="002A3DBB" w:rsidRDefault="002A3DBB" w:rsidP="009768B0">
            <w:r w:rsidRPr="002A3DBB">
              <w:t xml:space="preserve">international regulations as applicable </w:t>
            </w:r>
          </w:p>
          <w:p w:rsidR="002A3DBB" w:rsidRPr="002A3DBB" w:rsidRDefault="002A3DBB" w:rsidP="009768B0"/>
          <w:p w:rsidR="002A3DBB" w:rsidRDefault="002A3DBB" w:rsidP="009768B0">
            <w:pPr>
              <w:rPr>
                <w:b/>
                <w:i/>
                <w:u w:val="single"/>
              </w:rPr>
            </w:pPr>
            <w:r w:rsidRPr="00E16B97">
              <w:rPr>
                <w:b/>
                <w:i/>
                <w:u w:val="single"/>
              </w:rPr>
              <w:t>- Text in square brackets to be used for explosives</w:t>
            </w:r>
          </w:p>
          <w:p w:rsidR="00C954B3" w:rsidRPr="00E16B97" w:rsidRDefault="00C954B3" w:rsidP="009768B0">
            <w:pPr>
              <w:rPr>
                <w:b/>
                <w:i/>
                <w:u w:val="single"/>
              </w:rPr>
            </w:pPr>
          </w:p>
        </w:tc>
      </w:tr>
      <w:tr w:rsidR="002A3DBB" w:rsidRPr="002A3DBB" w:rsidTr="002E209E">
        <w:tc>
          <w:tcPr>
            <w:tcW w:w="817" w:type="dxa"/>
            <w:vMerge/>
          </w:tcPr>
          <w:p w:rsidR="002A3DBB" w:rsidRPr="002A3DBB" w:rsidRDefault="002A3DBB" w:rsidP="009768B0"/>
        </w:tc>
        <w:tc>
          <w:tcPr>
            <w:tcW w:w="2410" w:type="dxa"/>
            <w:vMerge/>
          </w:tcPr>
          <w:p w:rsidR="002A3DBB" w:rsidRPr="002A3DBB" w:rsidRDefault="002A3DBB" w:rsidP="009768B0"/>
        </w:tc>
        <w:tc>
          <w:tcPr>
            <w:tcW w:w="1559" w:type="dxa"/>
          </w:tcPr>
          <w:p w:rsidR="002A3DBB" w:rsidRPr="002A3DBB" w:rsidRDefault="002A3DBB" w:rsidP="009768B0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sz w:val="20"/>
                <w:szCs w:val="20"/>
                <w:lang w:val="en-GB"/>
              </w:rPr>
              <w:t xml:space="preserve">Hazardous to the ozone layer (Chapter 4.2) </w:t>
            </w:r>
          </w:p>
          <w:p w:rsidR="002A3DBB" w:rsidRPr="002A3DBB" w:rsidRDefault="002A3DBB" w:rsidP="009768B0"/>
        </w:tc>
        <w:tc>
          <w:tcPr>
            <w:tcW w:w="1559" w:type="dxa"/>
          </w:tcPr>
          <w:p w:rsidR="002A3DBB" w:rsidRPr="002A3DBB" w:rsidRDefault="002A3DBB" w:rsidP="004C4522">
            <w:pPr>
              <w:pStyle w:val="Default"/>
              <w:jc w:val="center"/>
              <w:rPr>
                <w:sz w:val="20"/>
                <w:szCs w:val="20"/>
              </w:rPr>
            </w:pPr>
            <w:r w:rsidRPr="002A3DBB">
              <w:rPr>
                <w:sz w:val="20"/>
                <w:szCs w:val="20"/>
              </w:rPr>
              <w:t>1</w:t>
            </w:r>
          </w:p>
          <w:p w:rsidR="002A3DBB" w:rsidRPr="002A3DBB" w:rsidRDefault="002A3DBB" w:rsidP="004C4522">
            <w:pPr>
              <w:jc w:val="center"/>
            </w:pPr>
          </w:p>
        </w:tc>
        <w:tc>
          <w:tcPr>
            <w:tcW w:w="2897" w:type="dxa"/>
          </w:tcPr>
          <w:p w:rsidR="002A3DBB" w:rsidRPr="002A3DBB" w:rsidRDefault="002A3DBB" w:rsidP="009768B0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i/>
                <w:iCs/>
                <w:sz w:val="20"/>
                <w:szCs w:val="20"/>
                <w:lang w:val="en-GB"/>
              </w:rPr>
              <w:t xml:space="preserve">- Text in square brackets not to be used for hazardous to the ozone layer </w:t>
            </w:r>
          </w:p>
          <w:p w:rsidR="002A3DBB" w:rsidRPr="002A3DBB" w:rsidRDefault="002A3DBB" w:rsidP="009768B0"/>
        </w:tc>
      </w:tr>
    </w:tbl>
    <w:p w:rsidR="006461B1" w:rsidRDefault="006461B1" w:rsidP="006461B1">
      <w:pPr>
        <w:pStyle w:val="SingleTxtG"/>
        <w:keepNext/>
        <w:keepLines/>
        <w:spacing w:before="120"/>
        <w:rPr>
          <w:b/>
          <w:sz w:val="24"/>
        </w:rPr>
      </w:pPr>
    </w:p>
    <w:p w:rsidR="006461B1" w:rsidRDefault="006461B1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A3DBB" w:rsidRDefault="002A3DBB" w:rsidP="006461B1">
      <w:pPr>
        <w:pStyle w:val="SingleTxtG"/>
        <w:keepNext/>
        <w:keepLines/>
        <w:spacing w:before="120"/>
        <w:rPr>
          <w:b/>
          <w:sz w:val="24"/>
        </w:rPr>
      </w:pPr>
      <w:bookmarkStart w:id="0" w:name="_GoBack"/>
      <w:bookmarkEnd w:id="0"/>
      <w:r w:rsidRPr="002A3DBB">
        <w:rPr>
          <w:b/>
          <w:sz w:val="24"/>
        </w:rPr>
        <w:lastRenderedPageBreak/>
        <w:t>Option 2</w:t>
      </w:r>
    </w:p>
    <w:p w:rsidR="00920CE7" w:rsidRPr="00920CE7" w:rsidRDefault="002A3DBB" w:rsidP="00920CE7">
      <w:pPr>
        <w:pStyle w:val="SingleTxtG"/>
        <w:keepNext/>
        <w:keepLines/>
        <w:rPr>
          <w:b/>
          <w:i/>
        </w:rPr>
      </w:pPr>
      <w:r>
        <w:t>8.</w:t>
      </w:r>
      <w:r>
        <w:tab/>
      </w:r>
      <w:r w:rsidRPr="00090D3E">
        <w:t>Insert</w:t>
      </w:r>
      <w:r>
        <w:t xml:space="preserve"> </w:t>
      </w:r>
      <w:r w:rsidR="00920CE7">
        <w:t>the following condition for use “</w:t>
      </w:r>
      <w:r w:rsidR="00920CE7">
        <w:rPr>
          <w:i/>
        </w:rPr>
        <w:t>–</w:t>
      </w:r>
      <w:r w:rsidR="00920CE7" w:rsidRPr="00920CE7">
        <w:rPr>
          <w:i/>
        </w:rPr>
        <w:t>“</w:t>
      </w:r>
      <w:r w:rsidRPr="00920CE7">
        <w:rPr>
          <w:i/>
        </w:rPr>
        <w:t>disposal</w:t>
      </w:r>
      <w:r w:rsidR="00920CE7" w:rsidRPr="00920CE7">
        <w:rPr>
          <w:i/>
        </w:rPr>
        <w:t>”</w:t>
      </w:r>
      <w:r w:rsidRPr="00920CE7">
        <w:rPr>
          <w:i/>
        </w:rPr>
        <w:t xml:space="preserve"> to be used for explosives</w:t>
      </w:r>
      <w:r w:rsidRPr="00090D3E">
        <w:rPr>
          <w:i/>
        </w:rPr>
        <w:t>”</w:t>
      </w:r>
      <w:r>
        <w:t xml:space="preserve"> for Explosives in Table A3.2.1 of Annex 3 Section 2 of the GHS, </w:t>
      </w:r>
      <w:r w:rsidR="00920CE7">
        <w:t xml:space="preserve">as amended at the 29th session of the Sub-Committee (refer to </w:t>
      </w:r>
      <w:r w:rsidR="00920CE7" w:rsidRPr="00B8103D">
        <w:t>ST/SG/AC.10/C.4/58</w:t>
      </w:r>
      <w:r w:rsidR="00920CE7">
        <w:t xml:space="preserve">, Annex). </w:t>
      </w:r>
      <w:r w:rsidR="00920CE7" w:rsidRPr="00920CE7">
        <w:rPr>
          <w:i/>
        </w:rPr>
        <w:t>New inserted text is shown in bold, underlined: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52"/>
        <w:gridCol w:w="2514"/>
        <w:gridCol w:w="1626"/>
        <w:gridCol w:w="1626"/>
        <w:gridCol w:w="3021"/>
      </w:tblGrid>
      <w:tr w:rsidR="002A3DBB" w:rsidRPr="002A3DBB" w:rsidTr="00CF3E7C">
        <w:tc>
          <w:tcPr>
            <w:tcW w:w="817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Code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(1)</w:t>
            </w:r>
          </w:p>
          <w:p w:rsidR="002A3DBB" w:rsidRPr="002A3DBB" w:rsidRDefault="002A3DBB" w:rsidP="009768B0">
            <w:pPr>
              <w:jc w:val="center"/>
            </w:pPr>
          </w:p>
        </w:tc>
        <w:tc>
          <w:tcPr>
            <w:tcW w:w="2410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Disposal precautionary statements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(2)</w:t>
            </w:r>
          </w:p>
        </w:tc>
        <w:tc>
          <w:tcPr>
            <w:tcW w:w="1559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>Hazard class</w:t>
            </w:r>
          </w:p>
          <w:p w:rsidR="002A3DBB" w:rsidRPr="002A3DBB" w:rsidRDefault="002A3DBB" w:rsidP="009768B0">
            <w:pPr>
              <w:jc w:val="center"/>
            </w:pPr>
            <w:r w:rsidRPr="002A3DBB">
              <w:rPr>
                <w:b/>
                <w:bCs/>
              </w:rPr>
              <w:t>(3)</w:t>
            </w:r>
          </w:p>
        </w:tc>
        <w:tc>
          <w:tcPr>
            <w:tcW w:w="1559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>Hazard category</w:t>
            </w:r>
          </w:p>
          <w:p w:rsidR="002A3DBB" w:rsidRPr="002A3DBB" w:rsidRDefault="002A3DBB" w:rsidP="009768B0">
            <w:pPr>
              <w:jc w:val="center"/>
            </w:pPr>
            <w:r w:rsidRPr="002A3DBB">
              <w:rPr>
                <w:b/>
                <w:bCs/>
              </w:rPr>
              <w:t>(4)</w:t>
            </w:r>
          </w:p>
        </w:tc>
        <w:tc>
          <w:tcPr>
            <w:tcW w:w="2897" w:type="dxa"/>
          </w:tcPr>
          <w:p w:rsidR="002A3DBB" w:rsidRPr="002A3DBB" w:rsidRDefault="002A3DBB" w:rsidP="009768B0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Conditions for use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(5)</w:t>
            </w:r>
          </w:p>
          <w:p w:rsidR="002A3DBB" w:rsidRPr="002A3DBB" w:rsidRDefault="002A3DBB" w:rsidP="009768B0">
            <w:pPr>
              <w:jc w:val="center"/>
            </w:pPr>
          </w:p>
        </w:tc>
      </w:tr>
      <w:tr w:rsidR="002A3DBB" w:rsidRPr="002A3DBB" w:rsidTr="00CF3E7C">
        <w:tc>
          <w:tcPr>
            <w:tcW w:w="817" w:type="dxa"/>
            <w:vMerge w:val="restart"/>
          </w:tcPr>
          <w:p w:rsidR="002A3DBB" w:rsidRPr="002A3DBB" w:rsidRDefault="002A3DBB" w:rsidP="002E209E">
            <w:pPr>
              <w:jc w:val="center"/>
            </w:pPr>
            <w:r w:rsidRPr="002A3DBB">
              <w:t>P502</w:t>
            </w:r>
          </w:p>
        </w:tc>
        <w:tc>
          <w:tcPr>
            <w:tcW w:w="2410" w:type="dxa"/>
            <w:vMerge w:val="restart"/>
          </w:tcPr>
          <w:p w:rsidR="002A3DBB" w:rsidRPr="002A3DBB" w:rsidRDefault="002A3DBB" w:rsidP="009768B0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bCs/>
                <w:sz w:val="20"/>
                <w:szCs w:val="20"/>
                <w:lang w:val="en-GB"/>
              </w:rPr>
              <w:t xml:space="preserve">Refer to manufacturer or supplier [/…] for information on [disposal,] recovery or recycling </w:t>
            </w:r>
          </w:p>
          <w:p w:rsidR="002A3DBB" w:rsidRPr="002A3DBB" w:rsidRDefault="002A3DBB" w:rsidP="009768B0"/>
        </w:tc>
        <w:tc>
          <w:tcPr>
            <w:tcW w:w="1559" w:type="dxa"/>
          </w:tcPr>
          <w:p w:rsidR="002A3DBB" w:rsidRPr="002A3DBB" w:rsidRDefault="002A3DBB" w:rsidP="009768B0">
            <w:pPr>
              <w:pStyle w:val="Default"/>
              <w:rPr>
                <w:sz w:val="20"/>
                <w:szCs w:val="20"/>
              </w:rPr>
            </w:pPr>
            <w:r w:rsidRPr="002A3DBB">
              <w:rPr>
                <w:sz w:val="20"/>
                <w:szCs w:val="20"/>
              </w:rPr>
              <w:t xml:space="preserve">Explosives (Chapter 2.1) </w:t>
            </w:r>
          </w:p>
          <w:p w:rsidR="002A3DBB" w:rsidRPr="002A3DBB" w:rsidRDefault="002A3DBB" w:rsidP="009768B0"/>
        </w:tc>
        <w:tc>
          <w:tcPr>
            <w:tcW w:w="1559" w:type="dxa"/>
          </w:tcPr>
          <w:p w:rsidR="002A3DBB" w:rsidRPr="002A3DBB" w:rsidRDefault="002A3DBB" w:rsidP="004C4522">
            <w:pPr>
              <w:pStyle w:val="Default"/>
              <w:jc w:val="center"/>
              <w:rPr>
                <w:sz w:val="20"/>
                <w:szCs w:val="20"/>
              </w:rPr>
            </w:pPr>
            <w:r w:rsidRPr="002A3DBB">
              <w:rPr>
                <w:sz w:val="20"/>
                <w:szCs w:val="20"/>
              </w:rPr>
              <w:t>Unstable explosives and Divisions 1.1, 1.2, 1.3, 1.4, 1.5</w:t>
            </w:r>
          </w:p>
          <w:p w:rsidR="002A3DBB" w:rsidRPr="002A3DBB" w:rsidRDefault="002A3DBB" w:rsidP="004C4522">
            <w:pPr>
              <w:jc w:val="center"/>
            </w:pPr>
          </w:p>
        </w:tc>
        <w:tc>
          <w:tcPr>
            <w:tcW w:w="2897" w:type="dxa"/>
          </w:tcPr>
          <w:p w:rsidR="002A3DBB" w:rsidRPr="002A3DBB" w:rsidRDefault="002A3DBB" w:rsidP="00CF3E7C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sz w:val="20"/>
                <w:szCs w:val="20"/>
                <w:lang w:val="en-GB"/>
              </w:rPr>
              <w:t xml:space="preserve">… Manufacturer/supplier or the competent authority to specify appropriate source of information, in accordance with local/regional/national/ </w:t>
            </w:r>
          </w:p>
          <w:p w:rsidR="00CF3E7C" w:rsidRDefault="002A3DBB" w:rsidP="00CF3E7C">
            <w:r w:rsidRPr="002A3DBB">
              <w:t xml:space="preserve">international regulations as applicable </w:t>
            </w:r>
          </w:p>
          <w:p w:rsidR="00C954B3" w:rsidRDefault="00C954B3" w:rsidP="00CF3E7C"/>
          <w:p w:rsidR="002A3DBB" w:rsidRDefault="00CF3E7C" w:rsidP="00CF3E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–</w:t>
            </w:r>
            <w:r w:rsidR="002A3DBB" w:rsidRPr="002A3DBB">
              <w:rPr>
                <w:b/>
                <w:i/>
                <w:u w:val="single"/>
              </w:rPr>
              <w:t xml:space="preserve"> </w:t>
            </w:r>
            <w:r w:rsidR="00E16B97">
              <w:rPr>
                <w:b/>
                <w:i/>
                <w:u w:val="single"/>
              </w:rPr>
              <w:t>“</w:t>
            </w:r>
            <w:r w:rsidR="002A3DBB" w:rsidRPr="002A3DBB">
              <w:rPr>
                <w:b/>
                <w:i/>
                <w:u w:val="single"/>
              </w:rPr>
              <w:t>disposal</w:t>
            </w:r>
            <w:r w:rsidR="00E16B97">
              <w:rPr>
                <w:b/>
                <w:i/>
                <w:u w:val="single"/>
              </w:rPr>
              <w:t xml:space="preserve">” </w:t>
            </w:r>
            <w:r w:rsidR="002A3DBB" w:rsidRPr="002A3DBB">
              <w:rPr>
                <w:b/>
                <w:i/>
                <w:u w:val="single"/>
              </w:rPr>
              <w:t xml:space="preserve"> to be used for explosives</w:t>
            </w:r>
          </w:p>
          <w:p w:rsidR="00C954B3" w:rsidRPr="002A3DBB" w:rsidRDefault="00C954B3" w:rsidP="00CF3E7C">
            <w:pPr>
              <w:rPr>
                <w:b/>
                <w:i/>
                <w:u w:val="single"/>
              </w:rPr>
            </w:pPr>
          </w:p>
        </w:tc>
      </w:tr>
      <w:tr w:rsidR="002A3DBB" w:rsidRPr="002A3DBB" w:rsidTr="00CF3E7C">
        <w:tc>
          <w:tcPr>
            <w:tcW w:w="817" w:type="dxa"/>
            <w:vMerge/>
          </w:tcPr>
          <w:p w:rsidR="002A3DBB" w:rsidRPr="002A3DBB" w:rsidRDefault="002A3DBB" w:rsidP="009768B0"/>
        </w:tc>
        <w:tc>
          <w:tcPr>
            <w:tcW w:w="2410" w:type="dxa"/>
            <w:vMerge/>
          </w:tcPr>
          <w:p w:rsidR="002A3DBB" w:rsidRPr="002A3DBB" w:rsidRDefault="002A3DBB" w:rsidP="009768B0"/>
        </w:tc>
        <w:tc>
          <w:tcPr>
            <w:tcW w:w="1559" w:type="dxa"/>
          </w:tcPr>
          <w:p w:rsidR="002A3DBB" w:rsidRPr="002A3DBB" w:rsidRDefault="002A3DBB" w:rsidP="009768B0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sz w:val="20"/>
                <w:szCs w:val="20"/>
                <w:lang w:val="en-GB"/>
              </w:rPr>
              <w:t xml:space="preserve">Hazardous to the ozone layer (Chapter 4.2) </w:t>
            </w:r>
          </w:p>
          <w:p w:rsidR="002A3DBB" w:rsidRPr="002A3DBB" w:rsidRDefault="002A3DBB" w:rsidP="009768B0"/>
        </w:tc>
        <w:tc>
          <w:tcPr>
            <w:tcW w:w="1559" w:type="dxa"/>
          </w:tcPr>
          <w:p w:rsidR="002A3DBB" w:rsidRPr="002A3DBB" w:rsidRDefault="002A3DBB" w:rsidP="004C4522">
            <w:pPr>
              <w:pStyle w:val="Default"/>
              <w:jc w:val="center"/>
              <w:rPr>
                <w:sz w:val="20"/>
                <w:szCs w:val="20"/>
              </w:rPr>
            </w:pPr>
            <w:r w:rsidRPr="002A3DBB">
              <w:rPr>
                <w:sz w:val="20"/>
                <w:szCs w:val="20"/>
              </w:rPr>
              <w:t>1</w:t>
            </w:r>
          </w:p>
          <w:p w:rsidR="002A3DBB" w:rsidRPr="002A3DBB" w:rsidRDefault="002A3DBB" w:rsidP="004C4522">
            <w:pPr>
              <w:jc w:val="center"/>
            </w:pPr>
          </w:p>
        </w:tc>
        <w:tc>
          <w:tcPr>
            <w:tcW w:w="2897" w:type="dxa"/>
          </w:tcPr>
          <w:p w:rsidR="002A3DBB" w:rsidRPr="002A3DBB" w:rsidRDefault="00CF3E7C" w:rsidP="00CF3E7C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– </w:t>
            </w:r>
            <w:r w:rsidR="002A3DBB" w:rsidRPr="002A3DBB">
              <w:rPr>
                <w:i/>
                <w:iCs/>
                <w:sz w:val="20"/>
                <w:szCs w:val="20"/>
                <w:lang w:val="en-GB"/>
              </w:rPr>
              <w:t xml:space="preserve">Text in square brackets not to be used for hazardous to the ozone layer </w:t>
            </w:r>
          </w:p>
          <w:p w:rsidR="002A3DBB" w:rsidRPr="002A3DBB" w:rsidRDefault="002A3DBB" w:rsidP="00CF3E7C"/>
        </w:tc>
      </w:tr>
    </w:tbl>
    <w:p w:rsidR="002A3DBB" w:rsidRPr="00001F01" w:rsidRDefault="002A3DBB" w:rsidP="002A3DBB"/>
    <w:p w:rsidR="00485748" w:rsidRPr="002A3DBB" w:rsidRDefault="002A3DBB" w:rsidP="002A3DB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5748" w:rsidRPr="00485748" w:rsidRDefault="00485748" w:rsidP="00485748">
      <w:pPr>
        <w:suppressAutoHyphens w:val="0"/>
        <w:spacing w:line="240" w:lineRule="auto"/>
      </w:pPr>
    </w:p>
    <w:sectPr w:rsidR="00485748" w:rsidRPr="00485748" w:rsidSect="0048574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48" w:rsidRDefault="00485748"/>
  </w:endnote>
  <w:endnote w:type="continuationSeparator" w:id="0">
    <w:p w:rsidR="00485748" w:rsidRDefault="00485748"/>
  </w:endnote>
  <w:endnote w:type="continuationNotice" w:id="1">
    <w:p w:rsidR="00485748" w:rsidRDefault="00485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48" w:rsidRPr="00485748" w:rsidRDefault="00485748" w:rsidP="00485748">
    <w:pPr>
      <w:pStyle w:val="Footer"/>
      <w:tabs>
        <w:tab w:val="right" w:pos="9638"/>
      </w:tabs>
      <w:rPr>
        <w:sz w:val="18"/>
      </w:rPr>
    </w:pPr>
    <w:r w:rsidRPr="00485748">
      <w:rPr>
        <w:b/>
        <w:sz w:val="18"/>
      </w:rPr>
      <w:fldChar w:fldCharType="begin"/>
    </w:r>
    <w:r w:rsidRPr="00485748">
      <w:rPr>
        <w:b/>
        <w:sz w:val="18"/>
      </w:rPr>
      <w:instrText xml:space="preserve"> PAGE  \* MERGEFORMAT </w:instrText>
    </w:r>
    <w:r w:rsidRPr="00485748">
      <w:rPr>
        <w:b/>
        <w:sz w:val="18"/>
      </w:rPr>
      <w:fldChar w:fldCharType="separate"/>
    </w:r>
    <w:r w:rsidR="00FB1E8E">
      <w:rPr>
        <w:b/>
        <w:noProof/>
        <w:sz w:val="18"/>
      </w:rPr>
      <w:t>2</w:t>
    </w:r>
    <w:r w:rsidRPr="0048574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48" w:rsidRPr="00485748" w:rsidRDefault="00485748" w:rsidP="00485748">
    <w:pPr>
      <w:pStyle w:val="Footer"/>
      <w:tabs>
        <w:tab w:val="right" w:pos="9638"/>
      </w:tabs>
      <w:rPr>
        <w:b/>
        <w:sz w:val="18"/>
      </w:rPr>
    </w:pPr>
    <w:r>
      <w:tab/>
    </w:r>
    <w:r w:rsidRPr="00485748">
      <w:rPr>
        <w:b/>
        <w:sz w:val="18"/>
      </w:rPr>
      <w:fldChar w:fldCharType="begin"/>
    </w:r>
    <w:r w:rsidRPr="00485748">
      <w:rPr>
        <w:b/>
        <w:sz w:val="18"/>
      </w:rPr>
      <w:instrText xml:space="preserve"> PAGE  \* MERGEFORMAT </w:instrText>
    </w:r>
    <w:r w:rsidRPr="00485748">
      <w:rPr>
        <w:b/>
        <w:sz w:val="18"/>
      </w:rPr>
      <w:fldChar w:fldCharType="separate"/>
    </w:r>
    <w:r w:rsidR="00FB1E8E">
      <w:rPr>
        <w:b/>
        <w:noProof/>
        <w:sz w:val="18"/>
      </w:rPr>
      <w:t>3</w:t>
    </w:r>
    <w:r w:rsidRPr="004857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B3" w:rsidRPr="00485748" w:rsidRDefault="00057FD8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C7907E4" wp14:editId="5A308ED7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748">
      <w:rPr>
        <w:sz w:val="20"/>
      </w:rPr>
      <w:t>GE.</w:t>
    </w:r>
    <w:r w:rsidR="006461B1">
      <w:rPr>
        <w:sz w:val="20"/>
      </w:rPr>
      <w:t>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48" w:rsidRPr="000B175B" w:rsidRDefault="004857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5748" w:rsidRPr="00FC68B7" w:rsidRDefault="004857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85748" w:rsidRDefault="00485748"/>
  </w:footnote>
  <w:footnote w:id="2">
    <w:p w:rsidR="00654723" w:rsidRPr="00654723" w:rsidRDefault="00654723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In accordance with the programme of work of the Sub-Committee for 2015–2016 approved by the Committee at its seventh session (see ST/SG/AC.10/C.3/92, paragraph 95 and ST/SG/AC.10/42, para.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48" w:rsidRPr="00485748" w:rsidRDefault="00485748">
    <w:pPr>
      <w:pStyle w:val="Header"/>
    </w:pPr>
    <w:r>
      <w:t>ST/SG/AC.10/C.4/2015/9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48" w:rsidRPr="00485748" w:rsidRDefault="00485748" w:rsidP="00485748">
    <w:pPr>
      <w:pStyle w:val="Header"/>
      <w:jc w:val="right"/>
    </w:pPr>
    <w:r>
      <w:t>ST/SG/AC.10/C.4/2015/9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48"/>
    <w:rsid w:val="00050F6B"/>
    <w:rsid w:val="00057FD8"/>
    <w:rsid w:val="00072C8C"/>
    <w:rsid w:val="00091419"/>
    <w:rsid w:val="000931C0"/>
    <w:rsid w:val="000B175B"/>
    <w:rsid w:val="000B3A0F"/>
    <w:rsid w:val="000E0415"/>
    <w:rsid w:val="00103024"/>
    <w:rsid w:val="0011582C"/>
    <w:rsid w:val="00117787"/>
    <w:rsid w:val="00131D42"/>
    <w:rsid w:val="001633FB"/>
    <w:rsid w:val="001B4B04"/>
    <w:rsid w:val="001C6663"/>
    <w:rsid w:val="001C7895"/>
    <w:rsid w:val="001D26DF"/>
    <w:rsid w:val="001D2FDC"/>
    <w:rsid w:val="00211E0B"/>
    <w:rsid w:val="002309A7"/>
    <w:rsid w:val="00237785"/>
    <w:rsid w:val="00241466"/>
    <w:rsid w:val="002725CA"/>
    <w:rsid w:val="00280EB7"/>
    <w:rsid w:val="002A3DBB"/>
    <w:rsid w:val="002B1CDA"/>
    <w:rsid w:val="002E209E"/>
    <w:rsid w:val="003107FA"/>
    <w:rsid w:val="003229D8"/>
    <w:rsid w:val="00387D5E"/>
    <w:rsid w:val="0039277A"/>
    <w:rsid w:val="003972E0"/>
    <w:rsid w:val="003C2CC4"/>
    <w:rsid w:val="003D4B23"/>
    <w:rsid w:val="004325CB"/>
    <w:rsid w:val="00437F3F"/>
    <w:rsid w:val="00446DE4"/>
    <w:rsid w:val="00463B1D"/>
    <w:rsid w:val="00485748"/>
    <w:rsid w:val="00495EEA"/>
    <w:rsid w:val="004B2C9D"/>
    <w:rsid w:val="004C4522"/>
    <w:rsid w:val="00527910"/>
    <w:rsid w:val="00534B01"/>
    <w:rsid w:val="005420F2"/>
    <w:rsid w:val="00590144"/>
    <w:rsid w:val="005B3DB3"/>
    <w:rsid w:val="00611FC4"/>
    <w:rsid w:val="006176FB"/>
    <w:rsid w:val="0063419C"/>
    <w:rsid w:val="00640B26"/>
    <w:rsid w:val="006461B1"/>
    <w:rsid w:val="00654723"/>
    <w:rsid w:val="006A7392"/>
    <w:rsid w:val="006C0D34"/>
    <w:rsid w:val="006E564B"/>
    <w:rsid w:val="0072632A"/>
    <w:rsid w:val="00790791"/>
    <w:rsid w:val="007B6BA5"/>
    <w:rsid w:val="007C3390"/>
    <w:rsid w:val="007C4F4B"/>
    <w:rsid w:val="007F6611"/>
    <w:rsid w:val="008175E9"/>
    <w:rsid w:val="008242D7"/>
    <w:rsid w:val="00871FD5"/>
    <w:rsid w:val="008979B1"/>
    <w:rsid w:val="008A6B25"/>
    <w:rsid w:val="008A6C4F"/>
    <w:rsid w:val="008E0E46"/>
    <w:rsid w:val="00920CE7"/>
    <w:rsid w:val="00945A5D"/>
    <w:rsid w:val="00963CBA"/>
    <w:rsid w:val="0099124E"/>
    <w:rsid w:val="00991261"/>
    <w:rsid w:val="0099386C"/>
    <w:rsid w:val="009F0F06"/>
    <w:rsid w:val="009F42E4"/>
    <w:rsid w:val="00A1427D"/>
    <w:rsid w:val="00A56BA9"/>
    <w:rsid w:val="00A72F22"/>
    <w:rsid w:val="00A748A6"/>
    <w:rsid w:val="00A75EC9"/>
    <w:rsid w:val="00A81FD3"/>
    <w:rsid w:val="00A879A4"/>
    <w:rsid w:val="00B30179"/>
    <w:rsid w:val="00B3317B"/>
    <w:rsid w:val="00B81E12"/>
    <w:rsid w:val="00B93068"/>
    <w:rsid w:val="00BA3FAD"/>
    <w:rsid w:val="00BC74E9"/>
    <w:rsid w:val="00BE618E"/>
    <w:rsid w:val="00C463DD"/>
    <w:rsid w:val="00C62F76"/>
    <w:rsid w:val="00C745C3"/>
    <w:rsid w:val="00C954B3"/>
    <w:rsid w:val="00CE4A8F"/>
    <w:rsid w:val="00CF3E7C"/>
    <w:rsid w:val="00CF5DB3"/>
    <w:rsid w:val="00D2031B"/>
    <w:rsid w:val="00D25FE2"/>
    <w:rsid w:val="00D43252"/>
    <w:rsid w:val="00D753D8"/>
    <w:rsid w:val="00D96CC5"/>
    <w:rsid w:val="00D978C6"/>
    <w:rsid w:val="00DA67AD"/>
    <w:rsid w:val="00E130AB"/>
    <w:rsid w:val="00E16B97"/>
    <w:rsid w:val="00E5644E"/>
    <w:rsid w:val="00E7260F"/>
    <w:rsid w:val="00E8535A"/>
    <w:rsid w:val="00E96630"/>
    <w:rsid w:val="00EA772F"/>
    <w:rsid w:val="00EB6832"/>
    <w:rsid w:val="00ED7A2A"/>
    <w:rsid w:val="00EF1D7F"/>
    <w:rsid w:val="00F40E75"/>
    <w:rsid w:val="00F54674"/>
    <w:rsid w:val="00FB1E8E"/>
    <w:rsid w:val="00FC4F22"/>
    <w:rsid w:val="00FC68B7"/>
    <w:rsid w:val="00FD6B2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485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7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A3D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485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7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A3D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C5F1-AB38-46E5-8BF9-7A558C8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AC10_C4_E.dotm</Template>
  <TotalTime>56</TotalTime>
  <Pages>3</Pages>
  <Words>766</Words>
  <Characters>4139</Characters>
  <Application>Microsoft Office Word</Application>
  <DocSecurity>0</DocSecurity>
  <Lines>163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9</cp:revision>
  <cp:lastPrinted>2015-09-04T09:49:00Z</cp:lastPrinted>
  <dcterms:created xsi:type="dcterms:W3CDTF">2015-09-04T07:50:00Z</dcterms:created>
  <dcterms:modified xsi:type="dcterms:W3CDTF">2015-09-04T09:49:00Z</dcterms:modified>
</cp:coreProperties>
</file>