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rsidTr="00FE646C">
        <w:trPr>
          <w:trHeight w:val="851"/>
        </w:trPr>
        <w:tc>
          <w:tcPr>
            <w:tcW w:w="1259" w:type="dxa"/>
            <w:tcBorders>
              <w:top w:val="nil"/>
              <w:left w:val="nil"/>
              <w:bottom w:val="single" w:sz="4" w:space="0" w:color="auto"/>
              <w:right w:val="nil"/>
            </w:tcBorders>
          </w:tcPr>
          <w:p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rsidR="0048539B" w:rsidRPr="006500BA" w:rsidRDefault="0048539B" w:rsidP="000846F3">
            <w:pPr>
              <w:jc w:val="right"/>
            </w:pPr>
            <w:r w:rsidRPr="00FE646C">
              <w:rPr>
                <w:sz w:val="40"/>
              </w:rPr>
              <w:t>ST</w:t>
            </w:r>
            <w:r>
              <w:t>/SG/AC.10/C.3/201</w:t>
            </w:r>
            <w:r w:rsidR="00BF6291">
              <w:t>5</w:t>
            </w:r>
            <w:r>
              <w:t>/</w:t>
            </w:r>
            <w:r w:rsidR="000846F3">
              <w:t>40</w:t>
            </w:r>
          </w:p>
        </w:tc>
      </w:tr>
      <w:tr w:rsidR="0048539B" w:rsidRPr="006500BA" w:rsidTr="00FE646C">
        <w:trPr>
          <w:trHeight w:val="2835"/>
        </w:trPr>
        <w:tc>
          <w:tcPr>
            <w:tcW w:w="1259" w:type="dxa"/>
            <w:tcBorders>
              <w:top w:val="single" w:sz="4" w:space="0" w:color="auto"/>
              <w:left w:val="nil"/>
              <w:bottom w:val="single" w:sz="12" w:space="0" w:color="auto"/>
              <w:right w:val="nil"/>
            </w:tcBorders>
          </w:tcPr>
          <w:p w:rsidR="0048539B" w:rsidRPr="006500BA" w:rsidRDefault="000B48F8" w:rsidP="00FE646C">
            <w:pPr>
              <w:spacing w:before="120"/>
              <w:jc w:val="center"/>
            </w:pPr>
            <w:r w:rsidRPr="006500BA">
              <w:rPr>
                <w:noProof/>
                <w:lang w:eastAsia="en-GB"/>
              </w:rPr>
              <w:drawing>
                <wp:inline distT="0" distB="0" distL="0" distR="0">
                  <wp:extent cx="714375" cy="590550"/>
                  <wp:effectExtent l="0" t="0" r="9525" b="0"/>
                  <wp:docPr id="5"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rsidR="0048539B" w:rsidRDefault="00E4094C" w:rsidP="00E4094C">
            <w:pPr>
              <w:spacing w:before="240" w:line="240" w:lineRule="exact"/>
            </w:pPr>
            <w:r>
              <w:t>Distr.: General</w:t>
            </w:r>
            <w:r w:rsidR="00934214">
              <w:br/>
            </w:r>
            <w:r w:rsidR="00296A96">
              <w:t>4</w:t>
            </w:r>
            <w:r w:rsidR="00BB7BA1">
              <w:t xml:space="preserve"> September </w:t>
            </w:r>
            <w:r w:rsidR="00083A13">
              <w:t>201</w:t>
            </w:r>
            <w:r w:rsidR="00BF6291">
              <w:t>5</w:t>
            </w:r>
          </w:p>
          <w:p w:rsidR="0048539B" w:rsidRDefault="0048539B" w:rsidP="00FE646C">
            <w:pPr>
              <w:spacing w:line="240" w:lineRule="exact"/>
            </w:pPr>
          </w:p>
          <w:p w:rsidR="0048539B" w:rsidRPr="006500BA" w:rsidRDefault="0048539B" w:rsidP="00FE646C">
            <w:pPr>
              <w:spacing w:line="240" w:lineRule="exact"/>
            </w:pPr>
            <w:r>
              <w:t>Original: English</w:t>
            </w:r>
          </w:p>
        </w:tc>
      </w:tr>
    </w:tbl>
    <w:p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rsidR="0048539B" w:rsidRPr="006500BA" w:rsidRDefault="00F708A8" w:rsidP="0048539B">
      <w:pPr>
        <w:spacing w:before="100"/>
        <w:rPr>
          <w:b/>
        </w:rPr>
      </w:pPr>
      <w:r>
        <w:rPr>
          <w:b/>
        </w:rPr>
        <w:t>Fort</w:t>
      </w:r>
      <w:r w:rsidR="00083A13">
        <w:rPr>
          <w:b/>
        </w:rPr>
        <w:t>y-</w:t>
      </w:r>
      <w:r w:rsidR="00427EC1">
        <w:rPr>
          <w:b/>
        </w:rPr>
        <w:t>eight</w:t>
      </w:r>
      <w:r w:rsidR="000846F3">
        <w:rPr>
          <w:b/>
        </w:rPr>
        <w:t>h</w:t>
      </w:r>
      <w:r w:rsidR="0048539B">
        <w:rPr>
          <w:b/>
        </w:rPr>
        <w:t xml:space="preserve"> </w:t>
      </w:r>
      <w:r w:rsidR="0048539B" w:rsidRPr="006500BA">
        <w:rPr>
          <w:b/>
        </w:rPr>
        <w:t>session</w:t>
      </w:r>
    </w:p>
    <w:p w:rsidR="0048539B" w:rsidRPr="006500BA" w:rsidRDefault="0048539B" w:rsidP="0048539B">
      <w:r w:rsidRPr="006500BA">
        <w:t xml:space="preserve">Geneva, </w:t>
      </w:r>
      <w:r w:rsidR="003A0867">
        <w:t>30 November</w:t>
      </w:r>
      <w:r w:rsidR="00F708A8">
        <w:t xml:space="preserve"> – </w:t>
      </w:r>
      <w:r w:rsidR="003A0867">
        <w:t>9 December</w:t>
      </w:r>
      <w:r w:rsidR="00AE3D03">
        <w:t xml:space="preserve"> 201</w:t>
      </w:r>
      <w:r w:rsidR="00BF6291">
        <w:t>5</w:t>
      </w:r>
    </w:p>
    <w:p w:rsidR="00C84FF4" w:rsidRDefault="00C84FF4" w:rsidP="00083A13">
      <w:pPr>
        <w:rPr>
          <w:b/>
          <w:lang w:val="en-US"/>
        </w:rPr>
      </w:pPr>
      <w:r w:rsidRPr="00372BDC">
        <w:t xml:space="preserve">Item </w:t>
      </w:r>
      <w:r w:rsidR="00615ADE">
        <w:t>2 (</w:t>
      </w:r>
      <w:r w:rsidR="003A0867">
        <w:t>b</w:t>
      </w:r>
      <w:r w:rsidR="00615ADE">
        <w:t>)</w:t>
      </w:r>
      <w:r w:rsidRPr="00372BDC">
        <w:t xml:space="preserve"> of the provisional agenda</w:t>
      </w:r>
      <w:r w:rsidRPr="00CF6553">
        <w:rPr>
          <w:b/>
          <w:lang w:val="en-US"/>
        </w:rPr>
        <w:t xml:space="preserve"> </w:t>
      </w:r>
    </w:p>
    <w:p w:rsidR="00083A13" w:rsidRDefault="00615ADE" w:rsidP="00083A13">
      <w:pPr>
        <w:rPr>
          <w:b/>
        </w:rPr>
      </w:pPr>
      <w:r w:rsidRPr="00615ADE">
        <w:rPr>
          <w:b/>
        </w:rPr>
        <w:t>E</w:t>
      </w:r>
      <w:r w:rsidR="003A0867">
        <w:rPr>
          <w:b/>
        </w:rPr>
        <w:t xml:space="preserve">xplosives and related matters: </w:t>
      </w:r>
      <w:r w:rsidRPr="00615ADE">
        <w:rPr>
          <w:b/>
        </w:rPr>
        <w:t>review of test</w:t>
      </w:r>
      <w:r w:rsidR="003A0867">
        <w:rPr>
          <w:b/>
        </w:rPr>
        <w:t xml:space="preserve"> series 6</w:t>
      </w:r>
    </w:p>
    <w:p w:rsidR="00615ADE" w:rsidRDefault="00615ADE" w:rsidP="00BB7BA1">
      <w:pPr>
        <w:pStyle w:val="HChG"/>
        <w:rPr>
          <w:bCs/>
          <w:lang w:eastAsia="fr-FR"/>
        </w:rPr>
      </w:pPr>
      <w:r>
        <w:tab/>
      </w:r>
      <w:r>
        <w:tab/>
      </w:r>
      <w:r w:rsidR="003A0867">
        <w:t xml:space="preserve">Additional examination criteria for </w:t>
      </w:r>
      <w:r w:rsidR="003A0867" w:rsidRPr="00BB7BA1">
        <w:t>Division</w:t>
      </w:r>
      <w:r w:rsidR="003A0867">
        <w:t xml:space="preserve"> 1.4</w:t>
      </w:r>
    </w:p>
    <w:p w:rsidR="00615ADE" w:rsidRPr="00BB7BA1" w:rsidRDefault="00615ADE" w:rsidP="00BB7BA1">
      <w:pPr>
        <w:pStyle w:val="H1G"/>
      </w:pPr>
      <w:r>
        <w:rPr>
          <w:lang w:eastAsia="fr-FR"/>
        </w:rPr>
        <w:tab/>
      </w:r>
      <w:r>
        <w:rPr>
          <w:lang w:eastAsia="fr-FR"/>
        </w:rPr>
        <w:tab/>
        <w:t xml:space="preserve">Transmitted by </w:t>
      </w:r>
      <w:r>
        <w:rPr>
          <w:lang w:eastAsia="ja-JP"/>
        </w:rPr>
        <w:t xml:space="preserve">the expert </w:t>
      </w:r>
      <w:r>
        <w:rPr>
          <w:lang w:eastAsia="fr-FR"/>
        </w:rPr>
        <w:t xml:space="preserve">from </w:t>
      </w:r>
      <w:r w:rsidR="003A0867">
        <w:rPr>
          <w:lang w:eastAsia="fr-FR"/>
        </w:rPr>
        <w:t>Canada</w:t>
      </w:r>
      <w:r w:rsidR="00F11196">
        <w:rPr>
          <w:rStyle w:val="FootnoteReference"/>
          <w:lang w:eastAsia="fr-FR"/>
        </w:rPr>
        <w:footnoteReference w:id="2"/>
      </w:r>
    </w:p>
    <w:p w:rsidR="00615ADE" w:rsidRPr="00BB7BA1" w:rsidRDefault="00615ADE" w:rsidP="00BB7BA1">
      <w:pPr>
        <w:pStyle w:val="HChG"/>
      </w:pPr>
      <w:r>
        <w:tab/>
      </w:r>
      <w:r>
        <w:tab/>
      </w:r>
      <w:r w:rsidRPr="00615ADE">
        <w:t>Introduction</w:t>
      </w:r>
    </w:p>
    <w:p w:rsidR="001336B2" w:rsidRDefault="001336B2" w:rsidP="001336B2">
      <w:pPr>
        <w:pStyle w:val="SingleTxtG"/>
      </w:pPr>
      <w:r>
        <w:t>1.</w:t>
      </w:r>
      <w:r>
        <w:tab/>
      </w:r>
      <w:r w:rsidR="00EE6DBA">
        <w:t xml:space="preserve">At the </w:t>
      </w:r>
      <w:r w:rsidR="00BB7BA1">
        <w:t>thirty-seventh</w:t>
      </w:r>
      <w:r w:rsidR="00EE6DBA">
        <w:t xml:space="preserve"> session of the Sub-Committee, Canada provided an analysis of the current procedure to assign to Division 1.4 in </w:t>
      </w:r>
      <w:r w:rsidR="00BB7BA1">
        <w:t xml:space="preserve">informal document </w:t>
      </w:r>
      <w:r w:rsidR="00EE6DBA">
        <w:t>INF.40</w:t>
      </w:r>
      <w:r w:rsidR="00BB7BA1">
        <w:t xml:space="preserve"> (37</w:t>
      </w:r>
      <w:r w:rsidR="00BB7BA1" w:rsidRPr="00BB7BA1">
        <w:rPr>
          <w:vertAlign w:val="superscript"/>
        </w:rPr>
        <w:t>th</w:t>
      </w:r>
      <w:r w:rsidR="00BB7BA1">
        <w:t xml:space="preserve"> session)</w:t>
      </w:r>
      <w:r w:rsidR="00EE6DBA">
        <w:t xml:space="preserve">. </w:t>
      </w:r>
      <w:r w:rsidR="001506C9">
        <w:t>The analysis included examples of articles that contain significant quantities of explosives that may, at present be assigned to Division 1.4 (other than S)</w:t>
      </w:r>
      <w:r w:rsidR="007675D8">
        <w:t xml:space="preserve"> based on Test Series 6</w:t>
      </w:r>
      <w:r w:rsidR="00BB7BA1">
        <w:t xml:space="preserve"> </w:t>
      </w:r>
      <w:r w:rsidR="007675D8">
        <w:t>(a) – 6</w:t>
      </w:r>
      <w:r w:rsidR="00BB7BA1">
        <w:t xml:space="preserve"> </w:t>
      </w:r>
      <w:r w:rsidR="007675D8">
        <w:t xml:space="preserve">(c), present greater than “minor hazards” if they were to initiate. </w:t>
      </w:r>
      <w:r w:rsidR="001506C9">
        <w:t xml:space="preserve">As summarized in </w:t>
      </w:r>
      <w:r w:rsidR="00BB7BA1">
        <w:t>informal document</w:t>
      </w:r>
      <w:r w:rsidR="009E6819">
        <w:t xml:space="preserve"> </w:t>
      </w:r>
      <w:bookmarkStart w:id="0" w:name="_GoBack"/>
      <w:bookmarkEnd w:id="0"/>
      <w:r w:rsidR="001506C9">
        <w:t>INF.73</w:t>
      </w:r>
      <w:r w:rsidR="00BB7BA1">
        <w:t xml:space="preserve"> (37</w:t>
      </w:r>
      <w:r w:rsidR="00BB7BA1" w:rsidRPr="00BB7BA1">
        <w:rPr>
          <w:vertAlign w:val="superscript"/>
        </w:rPr>
        <w:t>th</w:t>
      </w:r>
      <w:r w:rsidR="00BB7BA1">
        <w:t xml:space="preserve"> session)</w:t>
      </w:r>
      <w:r w:rsidR="001506C9">
        <w:t xml:space="preserve">, the Working Group on Explosives agreed that additional examination criteria for Division 1.4 may be necessary and encouraged the development of a proposal. </w:t>
      </w:r>
    </w:p>
    <w:p w:rsidR="00FA5F28" w:rsidRDefault="001336B2" w:rsidP="001336B2">
      <w:pPr>
        <w:pStyle w:val="SingleTxtG"/>
      </w:pPr>
      <w:r>
        <w:t>2.</w:t>
      </w:r>
      <w:r>
        <w:tab/>
        <w:t xml:space="preserve">The </w:t>
      </w:r>
      <w:r w:rsidR="007675D8">
        <w:t>expert from Canada proposes to amend Test Series 6(d)</w:t>
      </w:r>
      <w:r w:rsidR="006D0F13">
        <w:t xml:space="preserve"> with the addition of examination criteria</w:t>
      </w:r>
      <w:r w:rsidR="007675D8">
        <w:t xml:space="preserve"> </w:t>
      </w:r>
      <w:r w:rsidR="006D0F13">
        <w:t>to ensure that items that have not been assigned to Divisions 1.1, 1.2 and 1.3 do not default to</w:t>
      </w:r>
      <w:r w:rsidR="007675D8">
        <w:t xml:space="preserve"> Division 1.4</w:t>
      </w:r>
      <w:r w:rsidR="006D0F13">
        <w:t xml:space="preserve"> in addition to its original purpose of ensuring that products are appropriately assigned to Compatibility Group S</w:t>
      </w:r>
      <w:r w:rsidR="007675D8">
        <w:t xml:space="preserve">. </w:t>
      </w:r>
    </w:p>
    <w:p w:rsidR="00A8121B" w:rsidRDefault="00A8121B" w:rsidP="001336B2">
      <w:pPr>
        <w:pStyle w:val="SingleTxtG"/>
      </w:pPr>
      <w:r>
        <w:t>3.</w:t>
      </w:r>
      <w:r>
        <w:tab/>
        <w:t>The Test Series 6</w:t>
      </w:r>
      <w:r w:rsidR="00BB7BA1">
        <w:t xml:space="preserve"> </w:t>
      </w:r>
      <w:r>
        <w:t>(d) apparatus and procedure would require amendments to determine a blast overpressure.</w:t>
      </w:r>
    </w:p>
    <w:p w:rsidR="00FA5F28" w:rsidRDefault="00793289" w:rsidP="001336B2">
      <w:pPr>
        <w:pStyle w:val="SingleTxtG"/>
      </w:pPr>
      <w:r>
        <w:t>4</w:t>
      </w:r>
      <w:r w:rsidR="001336B2">
        <w:t>.</w:t>
      </w:r>
      <w:r w:rsidR="001336B2">
        <w:tab/>
      </w:r>
      <w:r w:rsidR="00FA5F28" w:rsidRPr="00FA5F28">
        <w:t>The additional examination criteria that are being proposed</w:t>
      </w:r>
      <w:r w:rsidR="00FA5F28">
        <w:t xml:space="preserve"> are consistent with</w:t>
      </w:r>
      <w:r w:rsidR="00A8121B">
        <w:t xml:space="preserve"> some of</w:t>
      </w:r>
      <w:r w:rsidR="00FA5F28">
        <w:t xml:space="preserve"> the criteria from Test Series 6</w:t>
      </w:r>
      <w:r w:rsidR="00BB7BA1">
        <w:t xml:space="preserve"> </w:t>
      </w:r>
      <w:r w:rsidR="00FA5F28">
        <w:t xml:space="preserve">(c) for assigning a product to Division 1.4 and to a compatibility group other than Compatibility Group S. </w:t>
      </w:r>
    </w:p>
    <w:p w:rsidR="001336B2" w:rsidRDefault="00793289" w:rsidP="001336B2">
      <w:pPr>
        <w:pStyle w:val="SingleTxtG"/>
      </w:pPr>
      <w:r>
        <w:lastRenderedPageBreak/>
        <w:t>5</w:t>
      </w:r>
      <w:r w:rsidR="001336B2">
        <w:t>.</w:t>
      </w:r>
      <w:r w:rsidR="001336B2">
        <w:tab/>
      </w:r>
      <w:r w:rsidR="00FA5F28">
        <w:t>Similarly to</w:t>
      </w:r>
      <w:r w:rsidR="007B6F24">
        <w:t xml:space="preserve"> the current</w:t>
      </w:r>
      <w:r w:rsidR="00FA5F28">
        <w:t xml:space="preserve"> </w:t>
      </w:r>
      <w:r w:rsidR="007B6F24">
        <w:t>Tests Series 6</w:t>
      </w:r>
      <w:r w:rsidR="00BB7BA1">
        <w:t xml:space="preserve"> </w:t>
      </w:r>
      <w:r w:rsidR="007B6F24">
        <w:t xml:space="preserve">(d), it is being proposed to limit the proposed additional examination criteria to a defined list of entries that are of concern. </w:t>
      </w:r>
    </w:p>
    <w:p w:rsidR="001336B2" w:rsidRDefault="001336B2" w:rsidP="001336B2">
      <w:pPr>
        <w:pStyle w:val="HChG"/>
      </w:pPr>
      <w:r>
        <w:tab/>
      </w:r>
      <w:r>
        <w:tab/>
        <w:t>Proposal</w:t>
      </w:r>
    </w:p>
    <w:p w:rsidR="006D0F13" w:rsidRDefault="006D0F13" w:rsidP="001336B2">
      <w:pPr>
        <w:pStyle w:val="SingleTxtG"/>
      </w:pPr>
      <w:r>
        <w:t>6.</w:t>
      </w:r>
      <w:r>
        <w:tab/>
      </w:r>
      <w:r w:rsidR="00C82A0D">
        <w:t xml:space="preserve">Amend Section 16.7 </w:t>
      </w:r>
      <w:r w:rsidR="009E0818" w:rsidRPr="00E0127A">
        <w:t>(as laid down in ST/SG/AC.10/11/Rev.5 as amended by ST/SG/AC.10/42/Add.2)</w:t>
      </w:r>
      <w:r w:rsidR="009E0818">
        <w:t xml:space="preserve"> </w:t>
      </w:r>
      <w:r w:rsidR="00C82A0D">
        <w:t>as follows:</w:t>
      </w:r>
    </w:p>
    <w:p w:rsidR="00827B4D" w:rsidRPr="00C32D9E" w:rsidRDefault="00827B4D" w:rsidP="00C32D9E">
      <w:pPr>
        <w:pStyle w:val="SingleTxtG"/>
        <w:ind w:firstLine="567"/>
        <w:rPr>
          <w:rFonts w:eastAsia="Calibri"/>
          <w:b/>
          <w:lang w:val="en-CA"/>
        </w:rPr>
      </w:pPr>
      <w:r w:rsidRPr="00C32D9E">
        <w:rPr>
          <w:rFonts w:eastAsia="Calibri"/>
          <w:b/>
          <w:lang w:val="en-CA"/>
        </w:rPr>
        <w:t xml:space="preserve">16.7 </w:t>
      </w:r>
      <w:r w:rsidR="00C32D9E">
        <w:rPr>
          <w:rFonts w:eastAsia="Calibri"/>
          <w:b/>
          <w:lang w:val="en-CA"/>
        </w:rPr>
        <w:tab/>
      </w:r>
      <w:r w:rsidRPr="00C32D9E">
        <w:rPr>
          <w:rFonts w:eastAsia="Calibri"/>
          <w:b/>
          <w:lang w:val="en-CA"/>
        </w:rPr>
        <w:t>Series 6 type (d) test prescription</w:t>
      </w:r>
    </w:p>
    <w:p w:rsidR="00827B4D" w:rsidRPr="00C32D9E" w:rsidRDefault="00827B4D" w:rsidP="00C32D9E">
      <w:pPr>
        <w:pStyle w:val="SingleTxtG"/>
        <w:ind w:firstLine="567"/>
        <w:rPr>
          <w:rFonts w:eastAsia="Calibri"/>
          <w:b/>
          <w:lang w:val="en-CA"/>
        </w:rPr>
      </w:pPr>
      <w:r w:rsidRPr="00C32D9E">
        <w:rPr>
          <w:rFonts w:eastAsia="Calibri"/>
          <w:b/>
          <w:lang w:val="en-CA"/>
        </w:rPr>
        <w:t>16.7.1</w:t>
      </w:r>
      <w:r w:rsidR="00C32D9E">
        <w:rPr>
          <w:rFonts w:eastAsia="Calibri"/>
          <w:b/>
          <w:lang w:val="en-CA"/>
        </w:rPr>
        <w:tab/>
      </w:r>
      <w:r w:rsidRPr="00C32D9E">
        <w:rPr>
          <w:rFonts w:eastAsia="Calibri"/>
          <w:b/>
          <w:lang w:val="en-CA"/>
        </w:rPr>
        <w:t>Test</w:t>
      </w:r>
      <w:r w:rsidR="00C32D9E" w:rsidRPr="00C32D9E">
        <w:rPr>
          <w:rFonts w:eastAsia="Calibri"/>
          <w:b/>
          <w:lang w:val="en-CA"/>
        </w:rPr>
        <w:t xml:space="preserve"> 6 (d): Unconfined package test</w:t>
      </w:r>
    </w:p>
    <w:p w:rsidR="00C82A0D" w:rsidRPr="00C82A0D" w:rsidRDefault="00C82A0D" w:rsidP="00C32D9E">
      <w:pPr>
        <w:pStyle w:val="SingleTxtG"/>
        <w:tabs>
          <w:tab w:val="left" w:pos="2552"/>
        </w:tabs>
        <w:ind w:firstLine="567"/>
      </w:pPr>
      <w:r>
        <w:t>16.7.1.1</w:t>
      </w:r>
      <w:r>
        <w:tab/>
      </w:r>
      <w:r w:rsidR="003F0EE3">
        <w:tab/>
      </w:r>
      <w:r w:rsidRPr="00C32D9E">
        <w:t>Introduction</w:t>
      </w:r>
    </w:p>
    <w:p w:rsidR="006D0F13" w:rsidRPr="00C82A0D" w:rsidRDefault="00075B27" w:rsidP="003F0EE3">
      <w:pPr>
        <w:pStyle w:val="SingleTxtG"/>
        <w:ind w:left="2835"/>
        <w:rPr>
          <w:i/>
        </w:rPr>
      </w:pPr>
      <w:r>
        <w:t xml:space="preserve">This is a test on a single package to determine </w:t>
      </w:r>
      <w:r w:rsidRPr="00774AE4">
        <w:rPr>
          <w:color w:val="4F81BD"/>
          <w:u w:val="single"/>
        </w:rPr>
        <w:t>if it presents a significant hazard during transport and</w:t>
      </w:r>
      <w:r>
        <w:t xml:space="preserve"> if there are hazardous effects outside the package arising from accidental ignition or initiation of the contents. </w:t>
      </w:r>
    </w:p>
    <w:p w:rsidR="00C92CE1" w:rsidRPr="00C32D9E" w:rsidRDefault="00C92CE1" w:rsidP="00C32D9E">
      <w:pPr>
        <w:pStyle w:val="SingleTxtG"/>
        <w:tabs>
          <w:tab w:val="left" w:pos="2552"/>
        </w:tabs>
        <w:ind w:firstLine="567"/>
      </w:pPr>
      <w:r w:rsidRPr="00C32D9E">
        <w:t>16.7.1.2</w:t>
      </w:r>
      <w:r w:rsidRPr="00C32D9E">
        <w:tab/>
      </w:r>
      <w:r w:rsidR="003F0EE3">
        <w:tab/>
      </w:r>
      <w:r w:rsidRPr="00C32D9E">
        <w:t>Apparatus and materials</w:t>
      </w:r>
    </w:p>
    <w:p w:rsidR="00C92CE1" w:rsidRDefault="00C92CE1" w:rsidP="00C32D9E">
      <w:pPr>
        <w:pStyle w:val="SingleTxtG"/>
        <w:tabs>
          <w:tab w:val="left" w:pos="2552"/>
        </w:tabs>
      </w:pPr>
      <w:r>
        <w:tab/>
      </w:r>
      <w:r w:rsidR="003F0EE3">
        <w:tab/>
      </w:r>
      <w:r>
        <w:t>The following items are required:</w:t>
      </w:r>
    </w:p>
    <w:p w:rsidR="00C92CE1" w:rsidRPr="009E0818" w:rsidRDefault="00C92CE1" w:rsidP="003F0EE3">
      <w:pPr>
        <w:pStyle w:val="SingleTxtG"/>
        <w:numPr>
          <w:ilvl w:val="0"/>
          <w:numId w:val="26"/>
        </w:numPr>
        <w:ind w:hanging="363"/>
        <w:rPr>
          <w:i/>
        </w:rPr>
      </w:pPr>
      <w:r>
        <w:t xml:space="preserve">A detonator to initiate the </w:t>
      </w:r>
      <w:r w:rsidR="009E0818" w:rsidRPr="00E0127A">
        <w:t>substance or</w:t>
      </w:r>
      <w:r w:rsidR="009E0818">
        <w:t xml:space="preserve"> article</w:t>
      </w:r>
      <w:r>
        <w:t xml:space="preserve"> or</w:t>
      </w:r>
      <w:r w:rsidR="009E0818">
        <w:t xml:space="preserve"> a</w:t>
      </w:r>
      <w:r>
        <w:t xml:space="preserve">n igniter just sufficient to ensure ignition of the </w:t>
      </w:r>
      <w:r w:rsidR="009E0818" w:rsidRPr="00E0127A">
        <w:t>substance or</w:t>
      </w:r>
      <w:r w:rsidR="009E0818">
        <w:t xml:space="preserve"> </w:t>
      </w:r>
      <w:r>
        <w:t>article</w:t>
      </w:r>
      <w:r w:rsidR="009E0818">
        <w:t xml:space="preserve"> </w:t>
      </w:r>
      <w:r w:rsidR="009E0818" w:rsidRPr="00E0127A">
        <w:t>(see 16.7.1.3.2)</w:t>
      </w:r>
      <w:r>
        <w:t xml:space="preserve">; </w:t>
      </w:r>
      <w:r w:rsidRPr="009E0818">
        <w:rPr>
          <w:strike/>
          <w:color w:val="FF0000"/>
        </w:rPr>
        <w:t>and</w:t>
      </w:r>
    </w:p>
    <w:p w:rsidR="00C92CE1" w:rsidRPr="00C92CE1" w:rsidRDefault="00C92CE1" w:rsidP="003F0EE3">
      <w:pPr>
        <w:pStyle w:val="SingleTxtG"/>
        <w:numPr>
          <w:ilvl w:val="0"/>
          <w:numId w:val="26"/>
        </w:numPr>
        <w:ind w:hanging="363"/>
        <w:rPr>
          <w:i/>
        </w:rPr>
      </w:pPr>
      <w:r>
        <w:t xml:space="preserve">A sheet of 3 mm thick mild steel to act as a witness plate; </w:t>
      </w:r>
      <w:r w:rsidRPr="00774AE4">
        <w:rPr>
          <w:color w:val="4F81BD"/>
          <w:u w:val="single"/>
        </w:rPr>
        <w:t>and</w:t>
      </w:r>
    </w:p>
    <w:p w:rsidR="00C92CE1" w:rsidRPr="00774AE4" w:rsidRDefault="00075B27" w:rsidP="00E50710">
      <w:pPr>
        <w:pStyle w:val="SingleTxtG"/>
        <w:numPr>
          <w:ilvl w:val="0"/>
          <w:numId w:val="26"/>
        </w:numPr>
        <w:ind w:left="2884" w:hanging="49"/>
        <w:rPr>
          <w:i/>
          <w:color w:val="4F81BD"/>
          <w:u w:val="single"/>
        </w:rPr>
      </w:pPr>
      <w:r w:rsidRPr="00774AE4">
        <w:rPr>
          <w:color w:val="4F81BD"/>
          <w:u w:val="single"/>
        </w:rPr>
        <w:t>A blast pressure probe or sensor with appropriate signal conditioning and recording equipment. Video equipment may be used.</w:t>
      </w:r>
    </w:p>
    <w:p w:rsidR="00827B4D" w:rsidRPr="00501D34" w:rsidRDefault="00827B4D" w:rsidP="00501D34">
      <w:pPr>
        <w:pStyle w:val="SingleTxtG"/>
        <w:tabs>
          <w:tab w:val="left" w:pos="2552"/>
        </w:tabs>
        <w:ind w:firstLine="574"/>
        <w:rPr>
          <w:rFonts w:eastAsia="Calibri"/>
          <w:iCs/>
          <w:lang w:val="en-CA"/>
        </w:rPr>
      </w:pPr>
      <w:r w:rsidRPr="00501D34">
        <w:rPr>
          <w:rFonts w:eastAsia="Calibri"/>
          <w:lang w:val="en-CA"/>
        </w:rPr>
        <w:t xml:space="preserve">16.7.1.3 </w:t>
      </w:r>
      <w:r w:rsidRPr="00501D34">
        <w:rPr>
          <w:rFonts w:eastAsia="Calibri"/>
          <w:lang w:val="en-CA"/>
        </w:rPr>
        <w:tab/>
      </w:r>
      <w:r w:rsidR="00B11F48">
        <w:rPr>
          <w:rFonts w:eastAsia="Calibri"/>
          <w:lang w:val="en-CA"/>
        </w:rPr>
        <w:tab/>
      </w:r>
      <w:r w:rsidRPr="00501D34">
        <w:rPr>
          <w:rFonts w:eastAsia="Calibri"/>
          <w:iCs/>
          <w:lang w:val="en-CA"/>
        </w:rPr>
        <w:t>Procedure</w:t>
      </w:r>
    </w:p>
    <w:p w:rsidR="00827B4D" w:rsidRPr="00827B4D" w:rsidRDefault="00827B4D" w:rsidP="00501D34">
      <w:pPr>
        <w:pStyle w:val="SingleTxtG"/>
        <w:tabs>
          <w:tab w:val="left" w:pos="2552"/>
        </w:tabs>
        <w:ind w:left="1701" w:firstLine="21"/>
        <w:rPr>
          <w:rFonts w:eastAsia="Calibri"/>
          <w:lang w:val="en-CA"/>
        </w:rPr>
      </w:pPr>
      <w:r w:rsidRPr="00827B4D">
        <w:rPr>
          <w:rFonts w:eastAsia="Calibri"/>
          <w:lang w:val="en-CA"/>
        </w:rPr>
        <w:t>16.7.1.3.1</w:t>
      </w:r>
      <w:r>
        <w:rPr>
          <w:rFonts w:eastAsia="Calibri"/>
          <w:lang w:val="en-CA"/>
        </w:rPr>
        <w:tab/>
      </w:r>
      <w:r w:rsidR="00B11F48">
        <w:rPr>
          <w:rFonts w:eastAsia="Calibri"/>
          <w:lang w:val="en-CA"/>
        </w:rPr>
        <w:tab/>
      </w:r>
      <w:r w:rsidRPr="00827B4D">
        <w:rPr>
          <w:rFonts w:eastAsia="Calibri"/>
          <w:lang w:val="en-CA"/>
        </w:rPr>
        <w:t>The test is applied to packages of explosive articles in the condition and form in which they are offered for transport. Where explosive articles are to be carried without packaging, the tests should be applied to the non-packaged articles. The decision to use either an initiating stimulus or an igniting stimulus is based on the following considerations.</w:t>
      </w:r>
    </w:p>
    <w:p w:rsidR="00827B4D" w:rsidRPr="00827B4D" w:rsidRDefault="00827B4D" w:rsidP="00501D34">
      <w:pPr>
        <w:pStyle w:val="SingleTxtG"/>
        <w:tabs>
          <w:tab w:val="left" w:pos="2552"/>
        </w:tabs>
        <w:ind w:firstLine="567"/>
        <w:rPr>
          <w:rFonts w:eastAsia="Calibri"/>
          <w:lang w:val="en-CA"/>
        </w:rPr>
      </w:pPr>
      <w:r w:rsidRPr="00827B4D">
        <w:rPr>
          <w:rFonts w:eastAsia="Calibri"/>
          <w:lang w:val="en-CA"/>
        </w:rPr>
        <w:t xml:space="preserve">16.7.1.3.2 </w:t>
      </w:r>
      <w:r w:rsidR="00F0282F">
        <w:rPr>
          <w:rFonts w:eastAsia="Calibri"/>
          <w:lang w:val="en-CA"/>
        </w:rPr>
        <w:tab/>
      </w:r>
      <w:r>
        <w:rPr>
          <w:rFonts w:eastAsia="Calibri"/>
          <w:lang w:val="en-CA"/>
        </w:rPr>
        <w:tab/>
      </w:r>
      <w:proofErr w:type="gramStart"/>
      <w:r w:rsidRPr="00827B4D">
        <w:rPr>
          <w:rFonts w:eastAsia="Calibri"/>
          <w:lang w:val="en-CA"/>
        </w:rPr>
        <w:t>For</w:t>
      </w:r>
      <w:proofErr w:type="gramEnd"/>
      <w:r w:rsidRPr="00827B4D">
        <w:rPr>
          <w:rFonts w:eastAsia="Calibri"/>
          <w:lang w:val="en-CA"/>
        </w:rPr>
        <w:t xml:space="preserve"> packaged articles:</w:t>
      </w:r>
    </w:p>
    <w:p w:rsidR="00827B4D" w:rsidRPr="00827B4D" w:rsidRDefault="00827B4D" w:rsidP="00E76DCB">
      <w:pPr>
        <w:pStyle w:val="SingleTxtG"/>
        <w:ind w:left="3402" w:hanging="567"/>
        <w:rPr>
          <w:rFonts w:eastAsia="Calibri"/>
          <w:lang w:val="en-CA"/>
        </w:rPr>
      </w:pPr>
      <w:r w:rsidRPr="00827B4D">
        <w:rPr>
          <w:rFonts w:eastAsia="Calibri"/>
          <w:lang w:val="en-CA"/>
        </w:rPr>
        <w:t xml:space="preserve">(a) </w:t>
      </w:r>
      <w:r w:rsidR="00501D34">
        <w:rPr>
          <w:rFonts w:eastAsia="Calibri"/>
          <w:lang w:val="en-CA"/>
        </w:rPr>
        <w:tab/>
      </w:r>
      <w:r w:rsidRPr="00827B4D">
        <w:rPr>
          <w:rFonts w:eastAsia="Calibri"/>
          <w:lang w:val="en-CA"/>
        </w:rPr>
        <w:t xml:space="preserve">Articles provided with their own means of initiation or </w:t>
      </w:r>
      <w:r w:rsidR="00E76DCB">
        <w:rPr>
          <w:rFonts w:eastAsia="Calibri"/>
          <w:lang w:val="en-CA"/>
        </w:rPr>
        <w:tab/>
      </w:r>
      <w:r w:rsidR="00E76DCB">
        <w:rPr>
          <w:rFonts w:eastAsia="Calibri"/>
          <w:lang w:val="en-CA"/>
        </w:rPr>
        <w:tab/>
      </w:r>
      <w:r w:rsidRPr="00827B4D">
        <w:rPr>
          <w:rFonts w:eastAsia="Calibri"/>
          <w:lang w:val="en-CA"/>
        </w:rPr>
        <w:t>ignition:</w:t>
      </w:r>
    </w:p>
    <w:p w:rsidR="00827B4D" w:rsidRPr="00827B4D" w:rsidRDefault="008E02F2" w:rsidP="008E02F2">
      <w:pPr>
        <w:pStyle w:val="SingleTxtG"/>
        <w:ind w:left="3402" w:hanging="567"/>
        <w:rPr>
          <w:rFonts w:eastAsia="Calibri"/>
          <w:lang w:val="en-CA"/>
        </w:rPr>
      </w:pPr>
      <w:r>
        <w:rPr>
          <w:rFonts w:eastAsia="Calibri"/>
          <w:lang w:val="en-CA"/>
        </w:rPr>
        <w:tab/>
      </w:r>
      <w:r>
        <w:rPr>
          <w:rFonts w:eastAsia="Calibri"/>
          <w:lang w:val="en-CA"/>
        </w:rPr>
        <w:tab/>
      </w:r>
      <w:r w:rsidR="00827B4D" w:rsidRPr="00827B4D">
        <w:rPr>
          <w:rFonts w:eastAsia="Calibri"/>
          <w:lang w:val="en-CA"/>
        </w:rPr>
        <w:t>The functioning of an article near the centre of the package is stimulated by the article’s own means of initiation of ignition. Where this is impracticable, the article’s own means of initiation or ignition is replaced by another form of stimulus having the required effect;</w:t>
      </w:r>
    </w:p>
    <w:p w:rsidR="00827B4D" w:rsidRPr="00827B4D" w:rsidRDefault="00F0282F" w:rsidP="008E02F2">
      <w:pPr>
        <w:pStyle w:val="SingleTxtG"/>
        <w:tabs>
          <w:tab w:val="left" w:pos="2835"/>
        </w:tabs>
        <w:ind w:left="3402" w:hanging="850"/>
        <w:rPr>
          <w:rFonts w:eastAsia="Calibri"/>
          <w:lang w:val="en-CA"/>
        </w:rPr>
      </w:pPr>
      <w:r>
        <w:rPr>
          <w:rFonts w:eastAsia="Calibri"/>
          <w:lang w:val="en-CA"/>
        </w:rPr>
        <w:tab/>
      </w:r>
      <w:r w:rsidR="00501D34">
        <w:rPr>
          <w:rFonts w:eastAsia="Calibri"/>
          <w:lang w:val="en-CA"/>
        </w:rPr>
        <w:t>(b)</w:t>
      </w:r>
      <w:r w:rsidR="00501D34">
        <w:rPr>
          <w:rFonts w:eastAsia="Calibri"/>
          <w:lang w:val="en-CA"/>
        </w:rPr>
        <w:tab/>
      </w:r>
      <w:r w:rsidR="00827B4D" w:rsidRPr="00827B4D">
        <w:rPr>
          <w:rFonts w:eastAsia="Calibri"/>
          <w:lang w:val="en-CA"/>
        </w:rPr>
        <w:t>Articles not provided with their own means of initiation or ignition:</w:t>
      </w:r>
    </w:p>
    <w:p w:rsidR="00827B4D" w:rsidRPr="00827B4D" w:rsidRDefault="00501D34" w:rsidP="00F0282F">
      <w:pPr>
        <w:pStyle w:val="SingleTxtG"/>
        <w:tabs>
          <w:tab w:val="left" w:pos="3686"/>
        </w:tabs>
        <w:ind w:left="3402"/>
        <w:rPr>
          <w:rFonts w:eastAsia="Calibri"/>
          <w:lang w:val="en-CA"/>
        </w:rPr>
      </w:pPr>
      <w:proofErr w:type="spellStart"/>
      <w:r>
        <w:rPr>
          <w:rFonts w:eastAsia="Calibri"/>
          <w:lang w:val="en-CA"/>
        </w:rPr>
        <w:t>i</w:t>
      </w:r>
      <w:proofErr w:type="spellEnd"/>
      <w:r>
        <w:rPr>
          <w:rFonts w:eastAsia="Calibri"/>
          <w:lang w:val="en-CA"/>
        </w:rPr>
        <w:t>.</w:t>
      </w:r>
      <w:r w:rsidR="00827B4D" w:rsidRPr="00827B4D">
        <w:rPr>
          <w:rFonts w:eastAsia="Calibri"/>
          <w:lang w:val="en-CA"/>
        </w:rPr>
        <w:t xml:space="preserve"> </w:t>
      </w:r>
      <w:r>
        <w:rPr>
          <w:rFonts w:eastAsia="Calibri"/>
          <w:lang w:val="en-CA"/>
        </w:rPr>
        <w:tab/>
        <w:t>A</w:t>
      </w:r>
      <w:r w:rsidR="00827B4D" w:rsidRPr="00827B4D">
        <w:rPr>
          <w:rFonts w:eastAsia="Calibri"/>
          <w:lang w:val="en-CA"/>
        </w:rPr>
        <w:t>n article near the centre of the package is caused to function in the designed mode; or</w:t>
      </w:r>
    </w:p>
    <w:p w:rsidR="00827B4D" w:rsidRPr="00827B4D" w:rsidRDefault="00827B4D" w:rsidP="00B11F48">
      <w:pPr>
        <w:pStyle w:val="SingleTxtG"/>
        <w:tabs>
          <w:tab w:val="left" w:pos="3402"/>
          <w:tab w:val="left" w:pos="3686"/>
        </w:tabs>
        <w:ind w:left="3402"/>
        <w:rPr>
          <w:rFonts w:eastAsia="Calibri"/>
          <w:lang w:val="en-CA"/>
        </w:rPr>
      </w:pPr>
      <w:r w:rsidRPr="00827B4D">
        <w:rPr>
          <w:rFonts w:eastAsia="Calibri"/>
          <w:lang w:val="en-CA"/>
        </w:rPr>
        <w:t>ii</w:t>
      </w:r>
      <w:r w:rsidR="00501D34">
        <w:rPr>
          <w:rFonts w:eastAsia="Calibri"/>
          <w:lang w:val="en-CA"/>
        </w:rPr>
        <w:t>.</w:t>
      </w:r>
      <w:r w:rsidR="00501D34">
        <w:rPr>
          <w:rFonts w:eastAsia="Calibri"/>
          <w:lang w:val="en-CA"/>
        </w:rPr>
        <w:tab/>
        <w:t>A</w:t>
      </w:r>
      <w:r w:rsidRPr="00827B4D">
        <w:rPr>
          <w:rFonts w:eastAsia="Calibri"/>
          <w:lang w:val="en-CA"/>
        </w:rPr>
        <w:t>n article near the centre of the package is replaced by another article which can be caused to function with the same effect.</w:t>
      </w:r>
    </w:p>
    <w:p w:rsidR="00827B4D" w:rsidRPr="00827B4D" w:rsidRDefault="00827B4D" w:rsidP="00F0282F">
      <w:pPr>
        <w:pStyle w:val="SingleTxtG"/>
        <w:tabs>
          <w:tab w:val="left" w:pos="2552"/>
        </w:tabs>
        <w:ind w:left="1701" w:firstLine="35"/>
        <w:rPr>
          <w:rFonts w:eastAsia="Calibri"/>
          <w:lang w:val="en-CA"/>
        </w:rPr>
      </w:pPr>
      <w:r w:rsidRPr="00827B4D">
        <w:rPr>
          <w:rFonts w:eastAsia="Calibri"/>
          <w:lang w:val="en-CA"/>
        </w:rPr>
        <w:lastRenderedPageBreak/>
        <w:t xml:space="preserve">16.7.1.3.3 </w:t>
      </w:r>
      <w:r w:rsidR="00F0282F">
        <w:rPr>
          <w:rFonts w:eastAsia="Calibri"/>
          <w:lang w:val="en-CA"/>
        </w:rPr>
        <w:tab/>
      </w:r>
      <w:r w:rsidRPr="00827B4D">
        <w:rPr>
          <w:rFonts w:eastAsia="Calibri"/>
          <w:lang w:val="en-CA"/>
        </w:rPr>
        <w:t>The package is placed on a steel witness plate on the ground without confinement.</w:t>
      </w:r>
    </w:p>
    <w:p w:rsidR="00827B4D" w:rsidRPr="00827B4D" w:rsidRDefault="00827B4D" w:rsidP="00516952">
      <w:pPr>
        <w:pStyle w:val="SingleTxtG"/>
        <w:ind w:left="1701"/>
        <w:rPr>
          <w:rFonts w:eastAsia="Calibri"/>
          <w:lang w:val="en-CA"/>
        </w:rPr>
      </w:pPr>
      <w:r w:rsidRPr="00827B4D">
        <w:rPr>
          <w:rFonts w:eastAsia="Calibri"/>
          <w:lang w:val="en-CA"/>
        </w:rPr>
        <w:t xml:space="preserve">16.7.1.3.4 </w:t>
      </w:r>
      <w:r>
        <w:rPr>
          <w:rFonts w:eastAsia="Calibri"/>
          <w:lang w:val="en-CA"/>
        </w:rPr>
        <w:tab/>
      </w:r>
      <w:r w:rsidRPr="00827B4D">
        <w:rPr>
          <w:rFonts w:eastAsia="Calibri"/>
          <w:lang w:val="en-CA"/>
        </w:rPr>
        <w:t xml:space="preserve">The donor article should be initiated and observations made on the following: denting or perforation of the witness plate beneath the package, a flash or flame capable of igniting an adjacent material, disruption of the package causing projection of the explosives contents; or full perforation of the packaging by a projection. </w:t>
      </w:r>
      <w:r w:rsidRPr="00774AE4">
        <w:rPr>
          <w:rFonts w:eastAsia="Calibri"/>
          <w:color w:val="4F81BD"/>
          <w:u w:val="single"/>
          <w:lang w:val="en-CA"/>
        </w:rPr>
        <w:t>The blast pressure should be recorded.</w:t>
      </w:r>
      <w:r w:rsidRPr="00827B4D">
        <w:rPr>
          <w:rFonts w:eastAsia="Calibri"/>
          <w:lang w:val="en-CA"/>
        </w:rPr>
        <w:t xml:space="preserve"> </w:t>
      </w:r>
      <w:r w:rsidRPr="00827B4D">
        <w:rPr>
          <w:rFonts w:eastAsia="Calibri"/>
          <w:b/>
          <w:bCs/>
          <w:lang w:val="en-CA"/>
        </w:rPr>
        <w:t xml:space="preserve">A safe waiting period, prescribed by the test agency, should be observed after initiation. </w:t>
      </w:r>
      <w:r w:rsidRPr="00827B4D">
        <w:rPr>
          <w:rFonts w:eastAsia="Calibri"/>
          <w:lang w:val="en-CA"/>
        </w:rPr>
        <w:t>The test should be performed three times, in different orientations, unless a decisive result is observed earlier. If the results of the recommended number of tests do not enable unambiguous interpretation of the results, the number of tests should be increased.</w:t>
      </w:r>
    </w:p>
    <w:p w:rsidR="0048605D" w:rsidRDefault="0048605D" w:rsidP="00F0282F">
      <w:pPr>
        <w:pStyle w:val="SingleTxtG"/>
        <w:ind w:firstLine="567"/>
      </w:pPr>
      <w:r>
        <w:t>16.7.1.4</w:t>
      </w:r>
      <w:r>
        <w:tab/>
      </w:r>
      <w:r w:rsidRPr="0048605D">
        <w:rPr>
          <w:i/>
        </w:rPr>
        <w:t>Test criteria and method of assessing the results</w:t>
      </w:r>
    </w:p>
    <w:p w:rsidR="00EC3C48" w:rsidRPr="00774AE4" w:rsidRDefault="0048605D" w:rsidP="001336B2">
      <w:pPr>
        <w:pStyle w:val="SingleTxtG"/>
        <w:ind w:left="1701"/>
        <w:rPr>
          <w:color w:val="4F81BD"/>
          <w:u w:val="single"/>
        </w:rPr>
      </w:pPr>
      <w:r w:rsidRPr="00774AE4">
        <w:rPr>
          <w:color w:val="4F81BD"/>
          <w:u w:val="single"/>
        </w:rPr>
        <w:t>16.7.1.4.1</w:t>
      </w:r>
      <w:r w:rsidRPr="00774AE4">
        <w:rPr>
          <w:color w:val="4F81BD"/>
          <w:u w:val="single"/>
        </w:rPr>
        <w:tab/>
        <w:t xml:space="preserve">The following criteria are used to answer </w:t>
      </w:r>
      <w:r w:rsidR="00EC3C48" w:rsidRPr="00774AE4">
        <w:rPr>
          <w:color w:val="4F81BD"/>
          <w:u w:val="single"/>
        </w:rPr>
        <w:t xml:space="preserve">the questions in Figure 10.3 (box </w:t>
      </w:r>
      <w:r w:rsidR="00F203AC" w:rsidRPr="00774AE4">
        <w:rPr>
          <w:color w:val="4F81BD"/>
          <w:u w:val="single"/>
        </w:rPr>
        <w:t>33</w:t>
      </w:r>
      <w:r w:rsidR="00EC3C48" w:rsidRPr="00774AE4">
        <w:rPr>
          <w:color w:val="4F81BD"/>
          <w:u w:val="single"/>
        </w:rPr>
        <w:t>) in order to classify the product.</w:t>
      </w:r>
    </w:p>
    <w:p w:rsidR="001C2917" w:rsidRPr="00774AE4" w:rsidRDefault="00EC3C48" w:rsidP="001336B2">
      <w:pPr>
        <w:pStyle w:val="SingleTxtG"/>
        <w:ind w:left="1701"/>
        <w:rPr>
          <w:color w:val="4F81BD"/>
          <w:u w:val="single"/>
        </w:rPr>
      </w:pPr>
      <w:r w:rsidRPr="00774AE4">
        <w:rPr>
          <w:color w:val="4F81BD"/>
          <w:u w:val="single"/>
        </w:rPr>
        <w:t>16.7.1.4.2</w:t>
      </w:r>
      <w:r w:rsidRPr="00774AE4">
        <w:rPr>
          <w:color w:val="4F81BD"/>
          <w:u w:val="single"/>
        </w:rPr>
        <w:tab/>
        <w:t xml:space="preserve">If </w:t>
      </w:r>
      <w:r w:rsidR="005311FB" w:rsidRPr="00774AE4">
        <w:rPr>
          <w:color w:val="4F81BD"/>
          <w:u w:val="single"/>
        </w:rPr>
        <w:t xml:space="preserve">a mass explosion does not occur but </w:t>
      </w:r>
      <w:r w:rsidRPr="00774AE4">
        <w:rPr>
          <w:color w:val="4F81BD"/>
          <w:u w:val="single"/>
        </w:rPr>
        <w:t xml:space="preserve">the </w:t>
      </w:r>
      <w:r w:rsidR="001C2917" w:rsidRPr="00774AE4">
        <w:rPr>
          <w:color w:val="4F81BD"/>
          <w:u w:val="single"/>
        </w:rPr>
        <w:t>following occurs:</w:t>
      </w:r>
    </w:p>
    <w:p w:rsidR="00323636" w:rsidRPr="00774AE4" w:rsidRDefault="004949E3" w:rsidP="005652E4">
      <w:pPr>
        <w:pStyle w:val="SingleTxtG"/>
        <w:ind w:left="2832" w:firstLine="3"/>
        <w:rPr>
          <w:color w:val="4F81BD"/>
          <w:u w:val="single"/>
        </w:rPr>
      </w:pPr>
      <w:r>
        <w:rPr>
          <w:color w:val="4F81BD"/>
          <w:u w:val="single"/>
        </w:rPr>
        <w:t>(a)</w:t>
      </w:r>
      <w:r>
        <w:rPr>
          <w:color w:val="4F81BD"/>
          <w:u w:val="single"/>
        </w:rPr>
        <w:tab/>
        <w:t>A</w:t>
      </w:r>
      <w:r w:rsidR="001C2917" w:rsidRPr="00774AE4">
        <w:rPr>
          <w:color w:val="4F81BD"/>
          <w:u w:val="single"/>
        </w:rPr>
        <w:t xml:space="preserve"> </w:t>
      </w:r>
      <w:r w:rsidR="00323636" w:rsidRPr="00774AE4">
        <w:rPr>
          <w:color w:val="4F81BD"/>
          <w:u w:val="single"/>
        </w:rPr>
        <w:t xml:space="preserve">peak </w:t>
      </w:r>
      <w:r w:rsidR="005652E4" w:rsidRPr="00774AE4">
        <w:rPr>
          <w:color w:val="4F81BD"/>
          <w:u w:val="single"/>
        </w:rPr>
        <w:t xml:space="preserve">incident </w:t>
      </w:r>
      <w:r w:rsidR="001C2917" w:rsidRPr="00774AE4">
        <w:rPr>
          <w:color w:val="4F81BD"/>
          <w:u w:val="single"/>
        </w:rPr>
        <w:t>blast pressure of more than</w:t>
      </w:r>
      <w:r w:rsidR="005311FB" w:rsidRPr="00774AE4">
        <w:rPr>
          <w:color w:val="4F81BD"/>
          <w:u w:val="single"/>
        </w:rPr>
        <w:t xml:space="preserve"> </w:t>
      </w:r>
      <w:r w:rsidR="00793289" w:rsidRPr="00774AE4">
        <w:rPr>
          <w:color w:val="4F81BD"/>
          <w:u w:val="single"/>
        </w:rPr>
        <w:t>35</w:t>
      </w:r>
      <w:r w:rsidR="005311FB" w:rsidRPr="00774AE4">
        <w:rPr>
          <w:color w:val="4F81BD"/>
          <w:u w:val="single"/>
        </w:rPr>
        <w:t xml:space="preserve"> </w:t>
      </w:r>
      <w:proofErr w:type="spellStart"/>
      <w:r w:rsidR="005311FB" w:rsidRPr="00774AE4">
        <w:rPr>
          <w:color w:val="4F81BD"/>
          <w:u w:val="single"/>
        </w:rPr>
        <w:t>kPa</w:t>
      </w:r>
      <w:proofErr w:type="spellEnd"/>
      <w:r w:rsidR="00323636" w:rsidRPr="00774AE4">
        <w:rPr>
          <w:color w:val="4F81BD"/>
          <w:u w:val="single"/>
        </w:rPr>
        <w:t xml:space="preserve"> </w:t>
      </w:r>
      <w:r w:rsidR="005311FB" w:rsidRPr="00774AE4">
        <w:rPr>
          <w:color w:val="4F81BD"/>
          <w:u w:val="single"/>
        </w:rPr>
        <w:t xml:space="preserve">at a distance of </w:t>
      </w:r>
      <w:r w:rsidR="00793289" w:rsidRPr="00774AE4">
        <w:rPr>
          <w:color w:val="4F81BD"/>
          <w:u w:val="single"/>
        </w:rPr>
        <w:t>2</w:t>
      </w:r>
      <w:r w:rsidR="005652E4" w:rsidRPr="00774AE4">
        <w:rPr>
          <w:color w:val="4F81BD"/>
          <w:u w:val="single"/>
        </w:rPr>
        <w:t>.5 m (radial distance from the centre of explosion</w:t>
      </w:r>
      <w:r w:rsidR="003D7040" w:rsidRPr="00774AE4">
        <w:rPr>
          <w:color w:val="4F81BD"/>
          <w:u w:val="single"/>
        </w:rPr>
        <w:t>)</w:t>
      </w:r>
    </w:p>
    <w:p w:rsidR="00B62B55" w:rsidRPr="00774AE4" w:rsidRDefault="004949E3" w:rsidP="004949E3">
      <w:pPr>
        <w:pStyle w:val="SingleTxtG"/>
        <w:ind w:left="2265" w:firstLine="567"/>
        <w:rPr>
          <w:color w:val="4F81BD"/>
          <w:u w:val="single"/>
        </w:rPr>
      </w:pPr>
      <w:r>
        <w:rPr>
          <w:color w:val="4F81BD"/>
          <w:u w:val="single"/>
        </w:rPr>
        <w:t>T</w:t>
      </w:r>
      <w:r w:rsidR="00B62B55" w:rsidRPr="00774AE4">
        <w:rPr>
          <w:color w:val="4F81BD"/>
          <w:u w:val="single"/>
        </w:rPr>
        <w:t>hen the product is assigned to Division 1.1.</w:t>
      </w:r>
    </w:p>
    <w:p w:rsidR="00D91497" w:rsidRPr="00774AE4" w:rsidRDefault="00B62B55" w:rsidP="005D661A">
      <w:pPr>
        <w:pStyle w:val="SingleTxtG"/>
        <w:ind w:left="1701" w:hanging="567"/>
        <w:rPr>
          <w:color w:val="4F81BD"/>
          <w:u w:val="single"/>
        </w:rPr>
      </w:pPr>
      <w:r w:rsidRPr="004949E3">
        <w:rPr>
          <w:color w:val="4F81BD"/>
        </w:rPr>
        <w:tab/>
      </w:r>
      <w:proofErr w:type="gramStart"/>
      <w:r w:rsidR="001C2917" w:rsidRPr="00774AE4">
        <w:rPr>
          <w:color w:val="4F81BD"/>
          <w:u w:val="single"/>
        </w:rPr>
        <w:t>l</w:t>
      </w:r>
      <w:r w:rsidRPr="00774AE4">
        <w:rPr>
          <w:color w:val="4F81BD"/>
          <w:u w:val="single"/>
        </w:rPr>
        <w:t>6.7.1.4.</w:t>
      </w:r>
      <w:r w:rsidR="005D661A" w:rsidRPr="00774AE4">
        <w:rPr>
          <w:color w:val="4F81BD"/>
          <w:u w:val="single"/>
        </w:rPr>
        <w:t>3</w:t>
      </w:r>
      <w:proofErr w:type="gramEnd"/>
      <w:r w:rsidRPr="00774AE4">
        <w:rPr>
          <w:color w:val="4F81BD"/>
          <w:u w:val="single"/>
        </w:rPr>
        <w:tab/>
        <w:t xml:space="preserve">If none of the events occur which would require the product to be assigned to Division </w:t>
      </w:r>
      <w:r w:rsidR="00D91497" w:rsidRPr="00774AE4">
        <w:rPr>
          <w:color w:val="4F81BD"/>
          <w:u w:val="single"/>
        </w:rPr>
        <w:t>1.1 or 1.2 but anyone of the following events occurs:</w:t>
      </w:r>
    </w:p>
    <w:p w:rsidR="00D91497" w:rsidRPr="00774AE4" w:rsidRDefault="0006387A" w:rsidP="00D91497">
      <w:pPr>
        <w:pStyle w:val="SingleTxtG"/>
        <w:numPr>
          <w:ilvl w:val="0"/>
          <w:numId w:val="24"/>
        </w:numPr>
        <w:rPr>
          <w:color w:val="4F81BD"/>
          <w:u w:val="single"/>
        </w:rPr>
      </w:pPr>
      <w:r>
        <w:rPr>
          <w:color w:val="4F81BD"/>
          <w:u w:val="single"/>
        </w:rPr>
        <w:t>A</w:t>
      </w:r>
      <w:r w:rsidR="00D91497" w:rsidRPr="00774AE4">
        <w:rPr>
          <w:color w:val="4F81BD"/>
          <w:u w:val="single"/>
        </w:rPr>
        <w:t xml:space="preserve"> fireball or jet of flame which e</w:t>
      </w:r>
      <w:r w:rsidR="005652E4" w:rsidRPr="00774AE4">
        <w:rPr>
          <w:color w:val="4F81BD"/>
          <w:u w:val="single"/>
        </w:rPr>
        <w:t xml:space="preserve">xtends beyond 4 m from the edge </w:t>
      </w:r>
      <w:r w:rsidR="00D91497" w:rsidRPr="00774AE4">
        <w:rPr>
          <w:color w:val="4F81BD"/>
          <w:u w:val="single"/>
        </w:rPr>
        <w:t>of the package or unpackaged article;</w:t>
      </w:r>
    </w:p>
    <w:p w:rsidR="005311FB" w:rsidRPr="00774AE4" w:rsidRDefault="0006387A" w:rsidP="0006387A">
      <w:pPr>
        <w:pStyle w:val="SingleTxtG"/>
        <w:numPr>
          <w:ilvl w:val="0"/>
          <w:numId w:val="24"/>
        </w:numPr>
        <w:rPr>
          <w:color w:val="4F81BD"/>
          <w:u w:val="single"/>
        </w:rPr>
      </w:pPr>
      <w:r>
        <w:rPr>
          <w:color w:val="4F81BD"/>
          <w:u w:val="single"/>
        </w:rPr>
        <w:t xml:space="preserve">A </w:t>
      </w:r>
      <w:r w:rsidR="001C2917" w:rsidRPr="00774AE4">
        <w:rPr>
          <w:color w:val="4F81BD"/>
          <w:u w:val="single"/>
        </w:rPr>
        <w:t>fiery projection emanating from the product is thrown more than 15 m from the edge of</w:t>
      </w:r>
      <w:r w:rsidR="005311FB" w:rsidRPr="00774AE4">
        <w:rPr>
          <w:color w:val="4F81BD"/>
          <w:u w:val="single"/>
        </w:rPr>
        <w:t xml:space="preserve"> the packages or unpackaged articles</w:t>
      </w:r>
    </w:p>
    <w:p w:rsidR="0048605D" w:rsidRPr="00774AE4" w:rsidRDefault="00D91497" w:rsidP="00D91497">
      <w:pPr>
        <w:pStyle w:val="SingleTxtG"/>
        <w:rPr>
          <w:color w:val="4F81BD"/>
          <w:u w:val="single"/>
        </w:rPr>
      </w:pPr>
      <w:r w:rsidRPr="008E02F2">
        <w:rPr>
          <w:color w:val="4F81BD"/>
        </w:rPr>
        <w:tab/>
      </w:r>
      <w:r w:rsidR="008E02F2">
        <w:rPr>
          <w:color w:val="4F81BD"/>
        </w:rPr>
        <w:tab/>
      </w:r>
      <w:r w:rsidR="008E02F2">
        <w:rPr>
          <w:color w:val="4F81BD"/>
        </w:rPr>
        <w:tab/>
      </w:r>
      <w:r w:rsidR="0006387A">
        <w:rPr>
          <w:color w:val="4F81BD"/>
          <w:u w:val="single"/>
        </w:rPr>
        <w:t>T</w:t>
      </w:r>
      <w:r w:rsidRPr="00774AE4">
        <w:rPr>
          <w:color w:val="4F81BD"/>
          <w:u w:val="single"/>
        </w:rPr>
        <w:t>hen the product is assigned to Division 1.3.</w:t>
      </w:r>
    </w:p>
    <w:p w:rsidR="00A8121B" w:rsidRPr="00A8121B" w:rsidRDefault="00C92CE1" w:rsidP="00834ACC">
      <w:pPr>
        <w:pStyle w:val="SingleTxtG"/>
        <w:ind w:left="1701"/>
        <w:rPr>
          <w:lang w:val="en-CA" w:eastAsia="en-CA"/>
        </w:rPr>
      </w:pPr>
      <w:r w:rsidRPr="00774AE4">
        <w:rPr>
          <w:strike/>
        </w:rPr>
        <w:t>16.7.1.4</w:t>
      </w:r>
      <w:r w:rsidRPr="00774AE4">
        <w:t xml:space="preserve"> </w:t>
      </w:r>
      <w:r w:rsidR="00D91497" w:rsidRPr="00834ACC">
        <w:rPr>
          <w:u w:val="single"/>
        </w:rPr>
        <w:t>16.7.1.4.</w:t>
      </w:r>
      <w:r w:rsidR="005D661A" w:rsidRPr="00834ACC">
        <w:rPr>
          <w:u w:val="single"/>
        </w:rPr>
        <w:t>4</w:t>
      </w:r>
      <w:r w:rsidR="00D91497" w:rsidRPr="00834ACC">
        <w:rPr>
          <w:u w:val="single"/>
        </w:rPr>
        <w:tab/>
      </w:r>
      <w:proofErr w:type="gramStart"/>
      <w:r w:rsidR="00BD3F6C" w:rsidRPr="00834ACC">
        <w:rPr>
          <w:u w:val="single"/>
        </w:rPr>
        <w:t>If</w:t>
      </w:r>
      <w:proofErr w:type="gramEnd"/>
      <w:r w:rsidR="00BD3F6C" w:rsidRPr="00834ACC">
        <w:rPr>
          <w:u w:val="single"/>
        </w:rPr>
        <w:t xml:space="preserve"> none of the events occur which would require the product to be assigned to Division 1.1, 1.2 or 1.3, then the product is assigned to Division 1.4.</w:t>
      </w:r>
      <w:r w:rsidR="00BD3F6C">
        <w:t xml:space="preserve"> </w:t>
      </w:r>
      <w:r w:rsidR="00A8121B" w:rsidRPr="00A8121B">
        <w:rPr>
          <w:lang w:val="en-CA" w:eastAsia="en-CA"/>
        </w:rPr>
        <w:t>Inclusion in Compatibility Group S requires that any hazardous effects arising from</w:t>
      </w:r>
      <w:r w:rsidR="00A8121B">
        <w:rPr>
          <w:lang w:val="en-CA" w:eastAsia="en-CA"/>
        </w:rPr>
        <w:t xml:space="preserve"> </w:t>
      </w:r>
      <w:r w:rsidR="00A8121B" w:rsidRPr="00A8121B">
        <w:rPr>
          <w:lang w:val="en-CA" w:eastAsia="en-CA"/>
        </w:rPr>
        <w:t>functioning of the articles in this test are confined within the package. Evidence of a hazardous effect outside</w:t>
      </w:r>
      <w:r w:rsidR="00A8121B">
        <w:rPr>
          <w:lang w:val="en-CA" w:eastAsia="en-CA"/>
        </w:rPr>
        <w:t xml:space="preserve"> </w:t>
      </w:r>
      <w:r w:rsidR="00A8121B" w:rsidRPr="00A8121B">
        <w:rPr>
          <w:lang w:val="en-CA" w:eastAsia="en-CA"/>
        </w:rPr>
        <w:t>the package includes:</w:t>
      </w:r>
    </w:p>
    <w:p w:rsidR="00A8121B" w:rsidRPr="00A8121B" w:rsidRDefault="00A8121B" w:rsidP="00834ACC">
      <w:pPr>
        <w:pStyle w:val="SingleTxtG"/>
        <w:tabs>
          <w:tab w:val="left" w:pos="3261"/>
        </w:tabs>
        <w:ind w:firstLine="1708"/>
        <w:rPr>
          <w:lang w:val="en-CA" w:eastAsia="en-CA"/>
        </w:rPr>
      </w:pPr>
      <w:r w:rsidRPr="00A8121B">
        <w:rPr>
          <w:lang w:val="en-CA" w:eastAsia="en-CA"/>
        </w:rPr>
        <w:t xml:space="preserve">(a) </w:t>
      </w:r>
      <w:r w:rsidR="0006387A">
        <w:rPr>
          <w:lang w:val="en-CA" w:eastAsia="en-CA"/>
        </w:rPr>
        <w:tab/>
      </w:r>
      <w:r w:rsidRPr="00A8121B">
        <w:rPr>
          <w:lang w:val="en-CA" w:eastAsia="en-CA"/>
        </w:rPr>
        <w:t>Denting or perforation of the witness plate beneath the package;</w:t>
      </w:r>
    </w:p>
    <w:p w:rsidR="00A8121B" w:rsidRPr="00A8121B" w:rsidRDefault="00A8121B" w:rsidP="00834ACC">
      <w:pPr>
        <w:pStyle w:val="SingleTxtG"/>
        <w:ind w:left="3261" w:hanging="419"/>
        <w:rPr>
          <w:lang w:val="en-CA" w:eastAsia="en-CA"/>
        </w:rPr>
      </w:pPr>
      <w:r w:rsidRPr="00A8121B">
        <w:rPr>
          <w:lang w:val="en-CA" w:eastAsia="en-CA"/>
        </w:rPr>
        <w:t xml:space="preserve">(b) </w:t>
      </w:r>
      <w:r w:rsidR="00834ACC">
        <w:rPr>
          <w:lang w:val="en-CA" w:eastAsia="en-CA"/>
        </w:rPr>
        <w:tab/>
      </w:r>
      <w:r w:rsidRPr="00A8121B">
        <w:rPr>
          <w:lang w:val="en-CA" w:eastAsia="en-CA"/>
        </w:rPr>
        <w:t xml:space="preserve">A flash or flame </w:t>
      </w:r>
      <w:r w:rsidR="009E0818" w:rsidRPr="00E0127A">
        <w:rPr>
          <w:lang w:val="en-CA" w:eastAsia="en-CA"/>
        </w:rPr>
        <w:t>that ignites</w:t>
      </w:r>
      <w:r w:rsidRPr="00A8121B">
        <w:rPr>
          <w:lang w:val="en-CA" w:eastAsia="en-CA"/>
        </w:rPr>
        <w:t xml:space="preserve"> an adjacent material such as a sheet of 80 ± 3 g/m²</w:t>
      </w:r>
      <w:r w:rsidR="005652E4">
        <w:rPr>
          <w:lang w:val="en-CA" w:eastAsia="en-CA"/>
        </w:rPr>
        <w:t xml:space="preserve"> </w:t>
      </w:r>
      <w:r w:rsidRPr="00A8121B">
        <w:rPr>
          <w:lang w:val="en-CA" w:eastAsia="en-CA"/>
        </w:rPr>
        <w:t>paper at a distance of 25 cm from the package;</w:t>
      </w:r>
    </w:p>
    <w:p w:rsidR="00A8121B" w:rsidRPr="00A8121B" w:rsidRDefault="00834ACC" w:rsidP="00834ACC">
      <w:pPr>
        <w:pStyle w:val="SingleTxtG"/>
        <w:ind w:left="3261" w:hanging="419"/>
        <w:rPr>
          <w:lang w:val="en-CA" w:eastAsia="en-CA"/>
        </w:rPr>
      </w:pPr>
      <w:r>
        <w:rPr>
          <w:lang w:val="en-CA" w:eastAsia="en-CA"/>
        </w:rPr>
        <w:t>(c)</w:t>
      </w:r>
      <w:r>
        <w:rPr>
          <w:lang w:val="en-CA" w:eastAsia="en-CA"/>
        </w:rPr>
        <w:tab/>
      </w:r>
      <w:r w:rsidR="00A8121B" w:rsidRPr="00A8121B">
        <w:rPr>
          <w:lang w:val="en-CA" w:eastAsia="en-CA"/>
        </w:rPr>
        <w:t>Disruption of the package causing projection of the explosives contents; or</w:t>
      </w:r>
    </w:p>
    <w:p w:rsidR="00A8121B" w:rsidRPr="00A8121B" w:rsidRDefault="00A8121B" w:rsidP="00834ACC">
      <w:pPr>
        <w:pStyle w:val="SingleTxtG"/>
        <w:tabs>
          <w:tab w:val="left" w:pos="3261"/>
        </w:tabs>
        <w:ind w:left="3261" w:hanging="419"/>
        <w:rPr>
          <w:lang w:val="en-CA" w:eastAsia="en-CA"/>
        </w:rPr>
      </w:pPr>
      <w:r w:rsidRPr="00A8121B">
        <w:rPr>
          <w:lang w:val="en-CA" w:eastAsia="en-CA"/>
        </w:rPr>
        <w:t xml:space="preserve">(d) </w:t>
      </w:r>
      <w:r w:rsidR="00834ACC">
        <w:rPr>
          <w:lang w:val="en-CA" w:eastAsia="en-CA"/>
        </w:rPr>
        <w:tab/>
      </w:r>
      <w:r w:rsidRPr="00A8121B">
        <w:rPr>
          <w:lang w:val="en-CA" w:eastAsia="en-CA"/>
        </w:rPr>
        <w:t>A projection which passes completely through the packaging (a projection or fragment</w:t>
      </w:r>
      <w:r w:rsidR="005652E4">
        <w:rPr>
          <w:lang w:val="en-CA" w:eastAsia="en-CA"/>
        </w:rPr>
        <w:t xml:space="preserve"> </w:t>
      </w:r>
      <w:r w:rsidRPr="00A8121B">
        <w:rPr>
          <w:lang w:val="en-CA" w:eastAsia="en-CA"/>
        </w:rPr>
        <w:t xml:space="preserve">retained or stuck in the wall of the packaging is considered as </w:t>
      </w:r>
      <w:r w:rsidR="00046DC0" w:rsidRPr="00A8121B">
        <w:rPr>
          <w:lang w:val="en-CA" w:eastAsia="en-CA"/>
        </w:rPr>
        <w:t>non-hazardous</w:t>
      </w:r>
      <w:r w:rsidRPr="00A8121B">
        <w:rPr>
          <w:lang w:val="en-CA" w:eastAsia="en-CA"/>
        </w:rPr>
        <w:t>).</w:t>
      </w:r>
    </w:p>
    <w:p w:rsidR="00D91497" w:rsidRDefault="00A8121B" w:rsidP="00834ACC">
      <w:pPr>
        <w:pStyle w:val="SingleTxtG"/>
        <w:ind w:left="1701"/>
        <w:rPr>
          <w:lang w:val="en-CA" w:eastAsia="en-CA"/>
        </w:rPr>
      </w:pPr>
      <w:r w:rsidRPr="00A8121B">
        <w:rPr>
          <w:lang w:val="en-CA" w:eastAsia="en-CA"/>
        </w:rPr>
        <w:t>The competent authority may wish to take into acc</w:t>
      </w:r>
      <w:r w:rsidR="005652E4">
        <w:rPr>
          <w:lang w:val="en-CA" w:eastAsia="en-CA"/>
        </w:rPr>
        <w:t xml:space="preserve">ount the expected effect of the </w:t>
      </w:r>
      <w:r w:rsidRPr="00A8121B">
        <w:rPr>
          <w:lang w:val="en-CA" w:eastAsia="en-CA"/>
        </w:rPr>
        <w:t>initiator</w:t>
      </w:r>
      <w:r w:rsidR="005652E4">
        <w:rPr>
          <w:lang w:val="en-CA" w:eastAsia="en-CA"/>
        </w:rPr>
        <w:t xml:space="preserve"> </w:t>
      </w:r>
      <w:r w:rsidRPr="00A8121B">
        <w:rPr>
          <w:lang w:val="en-CA" w:eastAsia="en-CA"/>
        </w:rPr>
        <w:t>when assessing the results of the test, if these are expected to be significant when compared to the articles</w:t>
      </w:r>
      <w:r>
        <w:rPr>
          <w:lang w:val="en-CA" w:eastAsia="en-CA"/>
        </w:rPr>
        <w:t xml:space="preserve"> </w:t>
      </w:r>
      <w:r w:rsidRPr="00A8121B">
        <w:rPr>
          <w:lang w:val="en-CA" w:eastAsia="en-CA"/>
        </w:rPr>
        <w:t>being tested. If there are hazardous effects outside the package, then the product is excluded from</w:t>
      </w:r>
      <w:r>
        <w:rPr>
          <w:lang w:val="en-CA" w:eastAsia="en-CA"/>
        </w:rPr>
        <w:t xml:space="preserve"> </w:t>
      </w:r>
      <w:r w:rsidRPr="00A8121B">
        <w:rPr>
          <w:lang w:val="en-CA" w:eastAsia="en-CA"/>
        </w:rPr>
        <w:t>Compatibility Group S.</w:t>
      </w:r>
    </w:p>
    <w:p w:rsidR="003456AD" w:rsidRDefault="003456AD" w:rsidP="00834ACC">
      <w:pPr>
        <w:pStyle w:val="SingleTxtG"/>
        <w:rPr>
          <w:lang w:val="en-CA" w:eastAsia="en-CA"/>
        </w:rPr>
      </w:pPr>
      <w:r>
        <w:rPr>
          <w:lang w:val="en-CA" w:eastAsia="en-CA"/>
        </w:rPr>
        <w:br w:type="page"/>
      </w:r>
    </w:p>
    <w:p w:rsidR="00254938" w:rsidRDefault="005652E4" w:rsidP="00834ACC">
      <w:pPr>
        <w:pStyle w:val="SingleTxtG"/>
        <w:rPr>
          <w:lang w:val="en-CA" w:eastAsia="en-CA"/>
        </w:rPr>
      </w:pPr>
      <w:r>
        <w:rPr>
          <w:lang w:val="en-CA" w:eastAsia="en-CA"/>
        </w:rPr>
        <w:lastRenderedPageBreak/>
        <w:t>7</w:t>
      </w:r>
      <w:r w:rsidR="00582EEE">
        <w:rPr>
          <w:lang w:val="en-CA" w:eastAsia="en-CA"/>
        </w:rPr>
        <w:t>.</w:t>
      </w:r>
      <w:r w:rsidR="00582EEE">
        <w:rPr>
          <w:lang w:val="en-CA" w:eastAsia="en-CA"/>
        </w:rPr>
        <w:tab/>
      </w:r>
      <w:r w:rsidR="00254938">
        <w:rPr>
          <w:lang w:val="en-CA" w:eastAsia="en-CA"/>
        </w:rPr>
        <w:t>To ensure that the revised Test Series 6(d) is applied to UN entries of concern, the expert from Canada recommends that the following entries be subject to SP 347:</w:t>
      </w:r>
    </w:p>
    <w:p w:rsidR="00587909" w:rsidRDefault="00587909" w:rsidP="00587909">
      <w:pPr>
        <w:numPr>
          <w:ilvl w:val="0"/>
          <w:numId w:val="25"/>
        </w:numPr>
        <w:suppressAutoHyphens w:val="0"/>
        <w:autoSpaceDE w:val="0"/>
        <w:autoSpaceDN w:val="0"/>
        <w:adjustRightInd w:val="0"/>
        <w:spacing w:line="240" w:lineRule="auto"/>
        <w:rPr>
          <w:lang w:val="fr-CA" w:eastAsia="en-CA"/>
        </w:rPr>
      </w:pPr>
      <w:r w:rsidRPr="00587909">
        <w:rPr>
          <w:lang w:val="fr-CA" w:eastAsia="en-CA"/>
        </w:rPr>
        <w:t>UN 0276 – CARTRIDGES, POWER DEVICE (1.4C)</w:t>
      </w:r>
    </w:p>
    <w:p w:rsidR="00660E37" w:rsidRDefault="00660E37" w:rsidP="00587909">
      <w:pPr>
        <w:numPr>
          <w:ilvl w:val="0"/>
          <w:numId w:val="25"/>
        </w:numPr>
        <w:suppressAutoHyphens w:val="0"/>
        <w:autoSpaceDE w:val="0"/>
        <w:autoSpaceDN w:val="0"/>
        <w:adjustRightInd w:val="0"/>
        <w:spacing w:line="240" w:lineRule="auto"/>
        <w:rPr>
          <w:lang w:val="fr-CA" w:eastAsia="en-CA"/>
        </w:rPr>
      </w:pPr>
      <w:r>
        <w:rPr>
          <w:lang w:val="fr-CA" w:eastAsia="en-CA"/>
        </w:rPr>
        <w:t>UN 0350 – ARTICLES, EXPLOSIVES, N.O.S. (1.4B)</w:t>
      </w:r>
    </w:p>
    <w:p w:rsidR="00660E37" w:rsidRDefault="00660E37" w:rsidP="00660E37">
      <w:pPr>
        <w:numPr>
          <w:ilvl w:val="0"/>
          <w:numId w:val="25"/>
        </w:numPr>
        <w:suppressAutoHyphens w:val="0"/>
        <w:autoSpaceDE w:val="0"/>
        <w:autoSpaceDN w:val="0"/>
        <w:adjustRightInd w:val="0"/>
        <w:spacing w:line="240" w:lineRule="auto"/>
        <w:rPr>
          <w:lang w:val="fr-CA" w:eastAsia="en-CA"/>
        </w:rPr>
      </w:pPr>
      <w:r>
        <w:rPr>
          <w:lang w:val="fr-CA" w:eastAsia="en-CA"/>
        </w:rPr>
        <w:t xml:space="preserve">UN 0351 - </w:t>
      </w:r>
      <w:r w:rsidRPr="00660E37">
        <w:rPr>
          <w:lang w:val="fr-CA" w:eastAsia="en-CA"/>
        </w:rPr>
        <w:t>ARTICLES, EXPLOSIVES, N.O.S. (1.4</w:t>
      </w:r>
      <w:r>
        <w:rPr>
          <w:lang w:val="fr-CA" w:eastAsia="en-CA"/>
        </w:rPr>
        <w:t>C</w:t>
      </w:r>
      <w:r w:rsidRPr="00660E37">
        <w:rPr>
          <w:lang w:val="fr-CA" w:eastAsia="en-CA"/>
        </w:rPr>
        <w:t>)</w:t>
      </w:r>
    </w:p>
    <w:p w:rsidR="00660E37" w:rsidRDefault="00660E37" w:rsidP="00660E37">
      <w:pPr>
        <w:numPr>
          <w:ilvl w:val="0"/>
          <w:numId w:val="25"/>
        </w:numPr>
        <w:suppressAutoHyphens w:val="0"/>
        <w:autoSpaceDE w:val="0"/>
        <w:autoSpaceDN w:val="0"/>
        <w:adjustRightInd w:val="0"/>
        <w:spacing w:line="240" w:lineRule="auto"/>
        <w:rPr>
          <w:lang w:val="fr-CA" w:eastAsia="en-CA"/>
        </w:rPr>
      </w:pPr>
      <w:r>
        <w:rPr>
          <w:lang w:val="fr-CA" w:eastAsia="en-CA"/>
        </w:rPr>
        <w:t xml:space="preserve">UN 0352 - </w:t>
      </w:r>
      <w:r w:rsidRPr="00660E37">
        <w:rPr>
          <w:lang w:val="fr-CA" w:eastAsia="en-CA"/>
        </w:rPr>
        <w:t>ARTICLES, EXPLOSIVES, N.O.S. (1.4</w:t>
      </w:r>
      <w:r>
        <w:rPr>
          <w:lang w:val="fr-CA" w:eastAsia="en-CA"/>
        </w:rPr>
        <w:t>D</w:t>
      </w:r>
      <w:r w:rsidRPr="00660E37">
        <w:rPr>
          <w:lang w:val="fr-CA" w:eastAsia="en-CA"/>
        </w:rPr>
        <w:t>)</w:t>
      </w:r>
    </w:p>
    <w:p w:rsidR="00254938" w:rsidRDefault="00254938" w:rsidP="00254938">
      <w:pPr>
        <w:numPr>
          <w:ilvl w:val="0"/>
          <w:numId w:val="25"/>
        </w:numPr>
        <w:suppressAutoHyphens w:val="0"/>
        <w:autoSpaceDE w:val="0"/>
        <w:autoSpaceDN w:val="0"/>
        <w:adjustRightInd w:val="0"/>
        <w:spacing w:line="240" w:lineRule="auto"/>
        <w:rPr>
          <w:lang w:val="en-CA" w:eastAsia="en-CA"/>
        </w:rPr>
      </w:pPr>
      <w:r>
        <w:rPr>
          <w:lang w:val="en-CA" w:eastAsia="en-CA"/>
        </w:rPr>
        <w:t>UN 0444 – CHARGES, EXPLOSIVE, COMMERCIAL without detonator (1.4D)</w:t>
      </w:r>
    </w:p>
    <w:p w:rsidR="00660E37" w:rsidRDefault="00660E37" w:rsidP="00660E37">
      <w:pPr>
        <w:numPr>
          <w:ilvl w:val="0"/>
          <w:numId w:val="25"/>
        </w:numPr>
        <w:suppressAutoHyphens w:val="0"/>
        <w:autoSpaceDE w:val="0"/>
        <w:autoSpaceDN w:val="0"/>
        <w:adjustRightInd w:val="0"/>
        <w:spacing w:line="240" w:lineRule="auto"/>
        <w:rPr>
          <w:lang w:val="fr-CA" w:eastAsia="en-CA"/>
        </w:rPr>
      </w:pPr>
      <w:r w:rsidRPr="00660E37">
        <w:rPr>
          <w:lang w:val="fr-CA" w:eastAsia="en-CA"/>
        </w:rPr>
        <w:t>UN 0472 - ARTICLES, EXPLOSIVES, N.O.S. (1.4</w:t>
      </w:r>
      <w:r>
        <w:rPr>
          <w:lang w:val="fr-CA" w:eastAsia="en-CA"/>
        </w:rPr>
        <w:t>F</w:t>
      </w:r>
      <w:r w:rsidRPr="00660E37">
        <w:rPr>
          <w:lang w:val="fr-CA" w:eastAsia="en-CA"/>
        </w:rPr>
        <w:t>)</w:t>
      </w:r>
    </w:p>
    <w:p w:rsidR="00660E37" w:rsidRDefault="00660E37" w:rsidP="00660E37">
      <w:pPr>
        <w:numPr>
          <w:ilvl w:val="0"/>
          <w:numId w:val="25"/>
        </w:numPr>
        <w:suppressAutoHyphens w:val="0"/>
        <w:autoSpaceDE w:val="0"/>
        <w:autoSpaceDN w:val="0"/>
        <w:adjustRightInd w:val="0"/>
        <w:spacing w:line="240" w:lineRule="auto"/>
        <w:rPr>
          <w:lang w:val="fr-CA" w:eastAsia="en-CA"/>
        </w:rPr>
      </w:pPr>
      <w:r>
        <w:rPr>
          <w:lang w:val="fr-CA" w:eastAsia="en-CA"/>
        </w:rPr>
        <w:t>UN 0479 – SUBSTANCES, EXPLOSIVE, N.O.S. (1.4C)</w:t>
      </w:r>
    </w:p>
    <w:p w:rsidR="00254938" w:rsidRPr="00834ACC" w:rsidRDefault="00660E37" w:rsidP="00582EEE">
      <w:pPr>
        <w:numPr>
          <w:ilvl w:val="0"/>
          <w:numId w:val="25"/>
        </w:numPr>
        <w:suppressAutoHyphens w:val="0"/>
        <w:autoSpaceDE w:val="0"/>
        <w:autoSpaceDN w:val="0"/>
        <w:adjustRightInd w:val="0"/>
        <w:spacing w:line="240" w:lineRule="auto"/>
        <w:rPr>
          <w:lang w:val="fr-CA" w:eastAsia="en-CA"/>
        </w:rPr>
      </w:pPr>
      <w:r>
        <w:rPr>
          <w:lang w:val="fr-CA" w:eastAsia="en-CA"/>
        </w:rPr>
        <w:t>UN 0480 - SUBSTANCES, EXPLOSIVE, N.O.S. (1.4D)</w:t>
      </w:r>
    </w:p>
    <w:p w:rsidR="00615ADE" w:rsidRPr="00660E37" w:rsidRDefault="001901EB" w:rsidP="001901EB">
      <w:pPr>
        <w:suppressAutoHyphens w:val="0"/>
        <w:autoSpaceDE w:val="0"/>
        <w:autoSpaceDN w:val="0"/>
        <w:adjustRightInd w:val="0"/>
        <w:spacing w:line="240" w:lineRule="auto"/>
        <w:jc w:val="center"/>
        <w:rPr>
          <w:b/>
          <w:lang w:val="fr-CA"/>
        </w:rPr>
      </w:pPr>
      <w:r>
        <w:rPr>
          <w:lang w:val="fr-CA"/>
        </w:rPr>
        <w:t>______________</w:t>
      </w:r>
    </w:p>
    <w:sectPr w:rsidR="00615ADE" w:rsidRPr="00660E37" w:rsidSect="00E05E6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897" w:rsidRDefault="00962897"/>
  </w:endnote>
  <w:endnote w:type="continuationSeparator" w:id="0">
    <w:p w:rsidR="00962897" w:rsidRDefault="00962897"/>
  </w:endnote>
  <w:endnote w:type="continuationNotice" w:id="1">
    <w:p w:rsidR="00962897" w:rsidRDefault="00962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roid Sans">
    <w:altName w:val="Times New Roman"/>
    <w:charset w:val="01"/>
    <w:family w:val="auto"/>
    <w:pitch w:val="variable"/>
  </w:font>
  <w:font w:name="FreeSans">
    <w:altName w:val="Times New Roman"/>
    <w:charset w:val="01"/>
    <w:family w:val="auto"/>
    <w:pitch w:val="variable"/>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4" w:rsidRPr="0099001C" w:rsidRDefault="000B48F8" w:rsidP="0099001C">
    <w:pPr>
      <w:pStyle w:val="Footer"/>
      <w:tabs>
        <w:tab w:val="right" w:pos="9638"/>
      </w:tabs>
      <w:rPr>
        <w:sz w:val="18"/>
      </w:rPr>
    </w:pPr>
    <w:r>
      <w:rPr>
        <w:noProof/>
        <w:sz w:val="18"/>
        <w:lang w:eastAsia="en-GB"/>
      </w:rPr>
      <mc:AlternateContent>
        <mc:Choice Requires="wps">
          <w:drawing>
            <wp:anchor distT="0" distB="0" distL="114300" distR="114300" simplePos="0" relativeHeight="251658240" behindDoc="0" locked="1" layoutInCell="1" allowOverlap="1">
              <wp:simplePos x="0" y="0"/>
              <wp:positionH relativeFrom="column">
                <wp:posOffset>8509000</wp:posOffset>
              </wp:positionH>
              <wp:positionV relativeFrom="paragraph">
                <wp:posOffset>-5629275</wp:posOffset>
              </wp:positionV>
              <wp:extent cx="381000" cy="1257300"/>
              <wp:effectExtent l="3175"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594" w:rsidRPr="00512AD1" w:rsidRDefault="00BF0594" w:rsidP="00D44EAE">
                          <w:pPr>
                            <w:pStyle w:val="Header"/>
                            <w:pBdr>
                              <w:bottom w:val="single" w:sz="4" w:space="31" w:color="auto"/>
                            </w:pBdr>
                            <w:rPr>
                              <w:lang w:val="fr-CH"/>
                            </w:rPr>
                          </w:pPr>
                          <w:r>
                            <w:rPr>
                              <w:lang w:val="fr-CH"/>
                            </w:rPr>
                            <w:t>UN/SCETDG/37/INF.7</w:t>
                          </w:r>
                        </w:p>
                        <w:p w:rsidR="00BF0594" w:rsidRDefault="00BF0594" w:rsidP="00D44EAE"/>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0" o:spid="_x0000_s1026" type="#_x0000_t202" style="position:absolute;margin-left:670pt;margin-top:-443.25pt;width:30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" stroked="f">
              <v:textbox style="layout-flow:vertical">
                <w:txbxContent>
                  <w:p w:rsidR="00BF0594" w:rsidRPr="00512AD1" w:rsidRDefault="00BF0594" w:rsidP="00D44EAE">
                    <w:pPr>
                      <w:pStyle w:val="En-tte"/>
                      <w:pBdr>
                        <w:bottom w:val="single" w:sz="4" w:space="31" w:color="auto"/>
                      </w:pBdr>
                      <w:rPr>
                        <w:lang w:val="fr-CH"/>
                      </w:rPr>
                    </w:pPr>
                    <w:r>
                      <w:rPr>
                        <w:lang w:val="fr-CH"/>
                      </w:rPr>
                      <w:t>UN/SCETDG/37/INF.7</w:t>
                    </w:r>
                  </w:p>
                  <w:p w:rsidR="00BF0594" w:rsidRDefault="00BF0594" w:rsidP="00D44EAE"/>
                </w:txbxContent>
              </v:textbox>
              <w10:anchorlock/>
            </v:shape>
          </w:pict>
        </mc:Fallback>
      </mc:AlternateContent>
    </w:r>
    <w:r w:rsidR="00BF0594">
      <w:rPr>
        <w:rStyle w:val="PageNumber"/>
      </w:rPr>
      <w:fldChar w:fldCharType="begin"/>
    </w:r>
    <w:r w:rsidR="00BF0594">
      <w:rPr>
        <w:rStyle w:val="PageNumber"/>
      </w:rPr>
      <w:instrText xml:space="preserve"> PAGE </w:instrText>
    </w:r>
    <w:r w:rsidR="00BF0594">
      <w:rPr>
        <w:rStyle w:val="PageNumber"/>
      </w:rPr>
      <w:fldChar w:fldCharType="separate"/>
    </w:r>
    <w:r w:rsidR="009E6819">
      <w:rPr>
        <w:rStyle w:val="PageNumber"/>
        <w:noProof/>
      </w:rPr>
      <w:t>4</w:t>
    </w:r>
    <w:r w:rsidR="00BF059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4" w:rsidRPr="0099001C" w:rsidRDefault="00BF0594" w:rsidP="001E4813">
    <w:pPr>
      <w:pStyle w:val="Footer"/>
      <w:tabs>
        <w:tab w:val="right" w:pos="12600"/>
      </w:tabs>
      <w:jc w:val="right"/>
      <w:rPr>
        <w:b/>
        <w:sz w:val="18"/>
      </w:rPr>
    </w:pPr>
    <w:r>
      <w:rPr>
        <w:rStyle w:val="PageNumber"/>
      </w:rPr>
      <w:fldChar w:fldCharType="begin"/>
    </w:r>
    <w:r>
      <w:rPr>
        <w:rStyle w:val="PageNumber"/>
      </w:rPr>
      <w:instrText xml:space="preserve"> PAGE </w:instrText>
    </w:r>
    <w:r>
      <w:rPr>
        <w:rStyle w:val="PageNumber"/>
      </w:rPr>
      <w:fldChar w:fldCharType="separate"/>
    </w:r>
    <w:r w:rsidR="009E6819">
      <w:rPr>
        <w:rStyle w:val="PageNumber"/>
        <w:noProof/>
      </w:rPr>
      <w:t>3</w:t>
    </w:r>
    <w:r>
      <w:rPr>
        <w:rStyle w:val="PageNumber"/>
      </w:rPr>
      <w:fldChar w:fldCharType="end"/>
    </w:r>
    <w:r w:rsidR="000B48F8">
      <w:rPr>
        <w:noProof/>
        <w:lang w:eastAsia="en-GB"/>
      </w:rPr>
      <mc:AlternateContent>
        <mc:Choice Requires="wps">
          <w:drawing>
            <wp:anchor distT="0" distB="0" distL="114300" distR="114300" simplePos="0" relativeHeight="251657216" behindDoc="0" locked="1" layoutInCell="1" allowOverlap="1">
              <wp:simplePos x="0" y="0"/>
              <wp:positionH relativeFrom="column">
                <wp:posOffset>8509000</wp:posOffset>
              </wp:positionH>
              <wp:positionV relativeFrom="paragraph">
                <wp:posOffset>-1171575</wp:posOffset>
              </wp:positionV>
              <wp:extent cx="381000" cy="1257300"/>
              <wp:effectExtent l="3175"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594" w:rsidRPr="00512AD1" w:rsidRDefault="00BF0594" w:rsidP="00D44EAE">
                          <w:pPr>
                            <w:pStyle w:val="Header"/>
                            <w:pBdr>
                              <w:bottom w:val="single" w:sz="4" w:space="31" w:color="auto"/>
                            </w:pBdr>
                            <w:rPr>
                              <w:lang w:val="fr-CH"/>
                            </w:rPr>
                          </w:pPr>
                          <w:r>
                            <w:rPr>
                              <w:lang w:val="fr-CH"/>
                            </w:rPr>
                            <w:t>UN/SCETDG/37/INF.7</w:t>
                          </w:r>
                        </w:p>
                        <w:p w:rsidR="00BF0594" w:rsidRDefault="00BF0594" w:rsidP="00D44EAE"/>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9" o:spid="_x0000_s1027" type="#_x0000_t202" style="position:absolute;left:0;text-align:left;margin-left:670pt;margin-top:-92.25pt;width:3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" stroked="f">
              <v:textbox style="layout-flow:vertical">
                <w:txbxContent>
                  <w:p w:rsidR="00BF0594" w:rsidRPr="00512AD1" w:rsidRDefault="00BF0594" w:rsidP="00D44EAE">
                    <w:pPr>
                      <w:pStyle w:val="En-tte"/>
                      <w:pBdr>
                        <w:bottom w:val="single" w:sz="4" w:space="31" w:color="auto"/>
                      </w:pBdr>
                      <w:rPr>
                        <w:lang w:val="fr-CH"/>
                      </w:rPr>
                    </w:pPr>
                    <w:r>
                      <w:rPr>
                        <w:lang w:val="fr-CH"/>
                      </w:rPr>
                      <w:t>UN/SCETDG/37/INF.7</w:t>
                    </w:r>
                  </w:p>
                  <w:p w:rsidR="00BF0594" w:rsidRDefault="00BF0594" w:rsidP="00D44EAE"/>
                </w:txbxContent>
              </v:textbox>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4" w:rsidRPr="0099001C" w:rsidRDefault="000B48F8">
    <w:r>
      <w:rPr>
        <w:noProof/>
        <w:lang w:eastAsia="en-GB"/>
      </w:rPr>
      <w:drawing>
        <wp:anchor distT="0" distB="0" distL="114300" distR="114300" simplePos="0" relativeHeight="251659264" behindDoc="0" locked="1" layoutInCell="1" allowOverlap="1">
          <wp:simplePos x="0" y="0"/>
          <wp:positionH relativeFrom="column">
            <wp:posOffset>5274945</wp:posOffset>
          </wp:positionH>
          <wp:positionV relativeFrom="paragraph">
            <wp:posOffset>-85725</wp:posOffset>
          </wp:positionV>
          <wp:extent cx="930275" cy="230505"/>
          <wp:effectExtent l="0" t="0" r="3175" b="0"/>
          <wp:wrapNone/>
          <wp:docPr id="12" name="Image 1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192" behindDoc="0" locked="1" layoutInCell="1" allowOverlap="1">
              <wp:simplePos x="0" y="0"/>
              <wp:positionH relativeFrom="column">
                <wp:posOffset>8636000</wp:posOffset>
              </wp:positionH>
              <wp:positionV relativeFrom="paragraph">
                <wp:posOffset>-5836920</wp:posOffset>
              </wp:positionV>
              <wp:extent cx="396875" cy="1421765"/>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1421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594" w:rsidRPr="001811F3" w:rsidRDefault="000B48F8">
                          <w:pPr>
                            <w:rPr>
                              <w:b/>
                              <w:sz w:val="18"/>
                              <w:lang w:val="fr-CH"/>
                            </w:rPr>
                          </w:pPr>
                          <w:r w:rsidRPr="001811F3">
                            <w:rPr>
                              <w:b/>
                              <w:noProof/>
                              <w:sz w:val="18"/>
                              <w:lang w:eastAsia="en-GB"/>
                            </w:rPr>
                            <w:drawing>
                              <wp:inline distT="0" distB="0" distL="0" distR="0">
                                <wp:extent cx="400050" cy="1333500"/>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1333500"/>
                                        </a:xfrm>
                                        <a:prstGeom prst="rect">
                                          <a:avLst/>
                                        </a:prstGeom>
                                        <a:noFill/>
                                        <a:ln>
                                          <a:noFill/>
                                        </a:ln>
                                      </pic:spPr>
                                    </pic:pic>
                                  </a:graphicData>
                                </a:graphic>
                              </wp:inline>
                            </w:drawing>
                          </w:r>
                        </w:p>
                      </w:txbxContent>
                    </wps:txbx>
                    <wps:bodyPr rot="0" vert="vert"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8" type="#_x0000_t202" style="position:absolute;margin-left:680pt;margin-top:-459.6pt;width:31.25pt;height:111.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" stroked="f">
              <v:textbox style="layout-flow:vertical">
                <w:txbxContent>
                  <w:p w:rsidR="00BF0594" w:rsidRPr="001811F3" w:rsidRDefault="000B48F8">
                    <w:pPr>
                      <w:rPr>
                        <w:b/>
                        <w:sz w:val="18"/>
                        <w:lang w:val="fr-CH"/>
                      </w:rPr>
                    </w:pPr>
                    <w:r w:rsidRPr="001811F3">
                      <w:rPr>
                        <w:b/>
                        <w:noProof/>
                        <w:sz w:val="18"/>
                        <w:lang w:val="fr-FR" w:eastAsia="fr-FR"/>
                      </w:rPr>
                      <w:drawing>
                        <wp:inline distT="0" distB="0" distL="0" distR="0">
                          <wp:extent cx="400050" cy="1333500"/>
                          <wp:effectExtent l="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0050" cy="1333500"/>
                                  </a:xfrm>
                                  <a:prstGeom prst="rect">
                                    <a:avLst/>
                                  </a:prstGeom>
                                  <a:noFill/>
                                  <a:ln>
                                    <a:noFill/>
                                  </a:ln>
                                </pic:spPr>
                              </pic:pic>
                            </a:graphicData>
                          </a:graphic>
                        </wp:inline>
                      </w:drawing>
                    </w:r>
                  </w:p>
                </w:txbxContent>
              </v:textbox>
              <w10:anchorlock/>
            </v:shape>
          </w:pict>
        </mc:Fallback>
      </mc:AlternateContent>
    </w:r>
    <w:r w:rsidR="003A0867">
      <w:t>CA</w:t>
    </w:r>
    <w:r w:rsidR="00C84FF4">
      <w:t>.15</w:t>
    </w:r>
    <w:r w:rsidR="00E76DCB">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897" w:rsidRPr="000B175B" w:rsidRDefault="00962897" w:rsidP="000B175B">
      <w:pPr>
        <w:tabs>
          <w:tab w:val="right" w:pos="2155"/>
        </w:tabs>
        <w:spacing w:after="80"/>
        <w:ind w:left="680"/>
        <w:rPr>
          <w:u w:val="single"/>
        </w:rPr>
      </w:pPr>
      <w:r>
        <w:rPr>
          <w:u w:val="single"/>
        </w:rPr>
        <w:tab/>
      </w:r>
    </w:p>
  </w:footnote>
  <w:footnote w:type="continuationSeparator" w:id="0">
    <w:p w:rsidR="00962897" w:rsidRPr="00FC68B7" w:rsidRDefault="00962897" w:rsidP="00FC68B7">
      <w:pPr>
        <w:tabs>
          <w:tab w:val="left" w:pos="2155"/>
        </w:tabs>
        <w:spacing w:after="80"/>
        <w:ind w:left="680"/>
        <w:rPr>
          <w:u w:val="single"/>
        </w:rPr>
      </w:pPr>
      <w:r>
        <w:rPr>
          <w:u w:val="single"/>
        </w:rPr>
        <w:tab/>
      </w:r>
    </w:p>
  </w:footnote>
  <w:footnote w:type="continuationNotice" w:id="1">
    <w:p w:rsidR="00962897" w:rsidRDefault="00962897"/>
  </w:footnote>
  <w:footnote w:id="2">
    <w:p w:rsidR="00F11196" w:rsidRPr="00F11196" w:rsidRDefault="00F11196" w:rsidP="00F11196">
      <w:pPr>
        <w:pStyle w:val="FootnoteText"/>
        <w:ind w:firstLine="0"/>
        <w:rPr>
          <w:lang w:val="fr-FR"/>
        </w:rPr>
      </w:pPr>
      <w:r>
        <w:rPr>
          <w:rStyle w:val="FootnoteReference"/>
        </w:rPr>
        <w:footnoteRef/>
      </w:r>
      <w:r>
        <w:t xml:space="preserve"> In accordance with the programme of work of the Sub-Committee for 2015–2016 approved by the Committee at its seventh session (see ST/SG/AC.10/C.3/92, paragraph 95 and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4" w:rsidRPr="00FB3D8C" w:rsidRDefault="00C77A18" w:rsidP="00FB3D8C">
    <w:pPr>
      <w:pStyle w:val="Header"/>
    </w:pPr>
    <w:r>
      <w:t>ST/SG/AC.10/C.3/2015</w:t>
    </w:r>
    <w:r w:rsidR="00BF0594">
      <w:t>/</w:t>
    </w:r>
    <w:r w:rsidR="00C32D9E">
      <w:t>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4" w:rsidRPr="001E4813" w:rsidRDefault="00FE4A23" w:rsidP="001E4813">
    <w:pPr>
      <w:pStyle w:val="Header"/>
      <w:jc w:val="right"/>
      <w:rPr>
        <w:lang w:val="fr-CH"/>
      </w:rPr>
    </w:pPr>
    <w:r>
      <w:rPr>
        <w:lang w:val="fr-CH"/>
      </w:rPr>
      <w:t>ST/SG/AC.10/C.3/2015/</w:t>
    </w:r>
    <w:r w:rsidR="003617AD">
      <w:rPr>
        <w:lang w:val="fr-CH"/>
      </w:rPr>
      <w:t>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8pt" o:bullet="t">
        <v:imagedata r:id="rId1" o:title=""/>
      </v:shape>
    </w:pict>
  </w:numPicBullet>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211106"/>
    <w:multiLevelType w:val="multilevel"/>
    <w:tmpl w:val="72849632"/>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9"/>
      <w:numFmt w:val="decimal"/>
      <w:lvlText w:val="%1.%2.%3.%4"/>
      <w:lvlJc w:val="left"/>
      <w:pPr>
        <w:tabs>
          <w:tab w:val="num" w:pos="1140"/>
        </w:tabs>
        <w:ind w:left="1140" w:hanging="1140"/>
      </w:pPr>
      <w:rPr>
        <w:rFonts w:hint="default"/>
      </w:rPr>
    </w:lvl>
    <w:lvl w:ilvl="4">
      <w:start w:val="2"/>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14B4E9C"/>
    <w:multiLevelType w:val="hybridMultilevel"/>
    <w:tmpl w:val="FFCA7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DB2151"/>
    <w:multiLevelType w:val="hybridMultilevel"/>
    <w:tmpl w:val="FB348880"/>
    <w:lvl w:ilvl="0" w:tplc="2D28DE34">
      <w:start w:val="8"/>
      <w:numFmt w:val="bullet"/>
      <w:lvlText w:val="-"/>
      <w:lvlJc w:val="left"/>
      <w:pPr>
        <w:ind w:left="2064" w:hanging="360"/>
      </w:pPr>
      <w:rPr>
        <w:rFonts w:ascii="Times New Roman" w:eastAsia="Times New Roman" w:hAnsi="Times New Roman" w:cs="Times New Roman" w:hint="default"/>
      </w:rPr>
    </w:lvl>
    <w:lvl w:ilvl="1" w:tplc="10090003" w:tentative="1">
      <w:start w:val="1"/>
      <w:numFmt w:val="bullet"/>
      <w:lvlText w:val="o"/>
      <w:lvlJc w:val="left"/>
      <w:pPr>
        <w:ind w:left="2784" w:hanging="360"/>
      </w:pPr>
      <w:rPr>
        <w:rFonts w:ascii="Courier New" w:hAnsi="Courier New" w:cs="Courier New" w:hint="default"/>
      </w:rPr>
    </w:lvl>
    <w:lvl w:ilvl="2" w:tplc="10090005" w:tentative="1">
      <w:start w:val="1"/>
      <w:numFmt w:val="bullet"/>
      <w:lvlText w:val=""/>
      <w:lvlJc w:val="left"/>
      <w:pPr>
        <w:ind w:left="3504" w:hanging="360"/>
      </w:pPr>
      <w:rPr>
        <w:rFonts w:ascii="Wingdings" w:hAnsi="Wingdings" w:hint="default"/>
      </w:rPr>
    </w:lvl>
    <w:lvl w:ilvl="3" w:tplc="10090001" w:tentative="1">
      <w:start w:val="1"/>
      <w:numFmt w:val="bullet"/>
      <w:lvlText w:val=""/>
      <w:lvlJc w:val="left"/>
      <w:pPr>
        <w:ind w:left="4224" w:hanging="360"/>
      </w:pPr>
      <w:rPr>
        <w:rFonts w:ascii="Symbol" w:hAnsi="Symbol" w:hint="default"/>
      </w:rPr>
    </w:lvl>
    <w:lvl w:ilvl="4" w:tplc="10090003" w:tentative="1">
      <w:start w:val="1"/>
      <w:numFmt w:val="bullet"/>
      <w:lvlText w:val="o"/>
      <w:lvlJc w:val="left"/>
      <w:pPr>
        <w:ind w:left="4944" w:hanging="360"/>
      </w:pPr>
      <w:rPr>
        <w:rFonts w:ascii="Courier New" w:hAnsi="Courier New" w:cs="Courier New" w:hint="default"/>
      </w:rPr>
    </w:lvl>
    <w:lvl w:ilvl="5" w:tplc="10090005" w:tentative="1">
      <w:start w:val="1"/>
      <w:numFmt w:val="bullet"/>
      <w:lvlText w:val=""/>
      <w:lvlJc w:val="left"/>
      <w:pPr>
        <w:ind w:left="5664" w:hanging="360"/>
      </w:pPr>
      <w:rPr>
        <w:rFonts w:ascii="Wingdings" w:hAnsi="Wingdings" w:hint="default"/>
      </w:rPr>
    </w:lvl>
    <w:lvl w:ilvl="6" w:tplc="10090001" w:tentative="1">
      <w:start w:val="1"/>
      <w:numFmt w:val="bullet"/>
      <w:lvlText w:val=""/>
      <w:lvlJc w:val="left"/>
      <w:pPr>
        <w:ind w:left="6384" w:hanging="360"/>
      </w:pPr>
      <w:rPr>
        <w:rFonts w:ascii="Symbol" w:hAnsi="Symbol" w:hint="default"/>
      </w:rPr>
    </w:lvl>
    <w:lvl w:ilvl="7" w:tplc="10090003" w:tentative="1">
      <w:start w:val="1"/>
      <w:numFmt w:val="bullet"/>
      <w:lvlText w:val="o"/>
      <w:lvlJc w:val="left"/>
      <w:pPr>
        <w:ind w:left="7104" w:hanging="360"/>
      </w:pPr>
      <w:rPr>
        <w:rFonts w:ascii="Courier New" w:hAnsi="Courier New" w:cs="Courier New" w:hint="default"/>
      </w:rPr>
    </w:lvl>
    <w:lvl w:ilvl="8" w:tplc="10090005" w:tentative="1">
      <w:start w:val="1"/>
      <w:numFmt w:val="bullet"/>
      <w:lvlText w:val=""/>
      <w:lvlJc w:val="left"/>
      <w:pPr>
        <w:ind w:left="7824" w:hanging="360"/>
      </w:pPr>
      <w:rPr>
        <w:rFonts w:ascii="Wingdings" w:hAnsi="Wingdings" w:hint="default"/>
      </w:r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5E95B97"/>
    <w:multiLevelType w:val="multilevel"/>
    <w:tmpl w:val="FB628A22"/>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CFC5F72"/>
    <w:multiLevelType w:val="hybridMultilevel"/>
    <w:tmpl w:val="99FCD014"/>
    <w:lvl w:ilvl="0" w:tplc="61FA1426">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4F81C80"/>
    <w:multiLevelType w:val="hybridMultilevel"/>
    <w:tmpl w:val="F2006C08"/>
    <w:lvl w:ilvl="0" w:tplc="FD869844">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00D59DD"/>
    <w:multiLevelType w:val="hybridMultilevel"/>
    <w:tmpl w:val="D44CF84C"/>
    <w:lvl w:ilvl="0" w:tplc="61AC707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20AC192F"/>
    <w:multiLevelType w:val="hybridMultilevel"/>
    <w:tmpl w:val="741E22A6"/>
    <w:lvl w:ilvl="0" w:tplc="7946167C">
      <w:start w:val="1"/>
      <w:numFmt w:val="decimal"/>
      <w:lvlText w:val="%1."/>
      <w:lvlJc w:val="left"/>
      <w:pPr>
        <w:tabs>
          <w:tab w:val="num" w:pos="360"/>
        </w:tabs>
        <w:ind w:left="432" w:hanging="432"/>
      </w:pPr>
      <w:rPr>
        <w:rFonts w:cs="Times New Roman" w:hint="default"/>
      </w:rPr>
    </w:lvl>
    <w:lvl w:ilvl="1" w:tplc="F12816A8">
      <w:start w:val="3"/>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2666D7B"/>
    <w:multiLevelType w:val="hybridMultilevel"/>
    <w:tmpl w:val="B19EA34C"/>
    <w:lvl w:ilvl="0" w:tplc="39388C4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23367EE9"/>
    <w:multiLevelType w:val="hybridMultilevel"/>
    <w:tmpl w:val="A5204186"/>
    <w:lvl w:ilvl="0" w:tplc="640CB984">
      <w:start w:val="1"/>
      <w:numFmt w:val="lowerLetter"/>
      <w:lvlText w:val="(%1)"/>
      <w:lvlJc w:val="left"/>
      <w:pPr>
        <w:ind w:left="3195" w:hanging="360"/>
      </w:pPr>
      <w:rPr>
        <w:rFonts w:hint="default"/>
      </w:rPr>
    </w:lvl>
    <w:lvl w:ilvl="1" w:tplc="10090019" w:tentative="1">
      <w:start w:val="1"/>
      <w:numFmt w:val="lowerLetter"/>
      <w:lvlText w:val="%2."/>
      <w:lvlJc w:val="left"/>
      <w:pPr>
        <w:ind w:left="3915" w:hanging="360"/>
      </w:pPr>
    </w:lvl>
    <w:lvl w:ilvl="2" w:tplc="1009001B" w:tentative="1">
      <w:start w:val="1"/>
      <w:numFmt w:val="lowerRoman"/>
      <w:lvlText w:val="%3."/>
      <w:lvlJc w:val="right"/>
      <w:pPr>
        <w:ind w:left="4635" w:hanging="180"/>
      </w:pPr>
    </w:lvl>
    <w:lvl w:ilvl="3" w:tplc="1009000F" w:tentative="1">
      <w:start w:val="1"/>
      <w:numFmt w:val="decimal"/>
      <w:lvlText w:val="%4."/>
      <w:lvlJc w:val="left"/>
      <w:pPr>
        <w:ind w:left="5355" w:hanging="360"/>
      </w:pPr>
    </w:lvl>
    <w:lvl w:ilvl="4" w:tplc="10090019" w:tentative="1">
      <w:start w:val="1"/>
      <w:numFmt w:val="lowerLetter"/>
      <w:lvlText w:val="%5."/>
      <w:lvlJc w:val="left"/>
      <w:pPr>
        <w:ind w:left="6075" w:hanging="360"/>
      </w:pPr>
    </w:lvl>
    <w:lvl w:ilvl="5" w:tplc="1009001B" w:tentative="1">
      <w:start w:val="1"/>
      <w:numFmt w:val="lowerRoman"/>
      <w:lvlText w:val="%6."/>
      <w:lvlJc w:val="right"/>
      <w:pPr>
        <w:ind w:left="6795" w:hanging="180"/>
      </w:pPr>
    </w:lvl>
    <w:lvl w:ilvl="6" w:tplc="1009000F" w:tentative="1">
      <w:start w:val="1"/>
      <w:numFmt w:val="decimal"/>
      <w:lvlText w:val="%7."/>
      <w:lvlJc w:val="left"/>
      <w:pPr>
        <w:ind w:left="7515" w:hanging="360"/>
      </w:pPr>
    </w:lvl>
    <w:lvl w:ilvl="7" w:tplc="10090019" w:tentative="1">
      <w:start w:val="1"/>
      <w:numFmt w:val="lowerLetter"/>
      <w:lvlText w:val="%8."/>
      <w:lvlJc w:val="left"/>
      <w:pPr>
        <w:ind w:left="8235" w:hanging="360"/>
      </w:pPr>
    </w:lvl>
    <w:lvl w:ilvl="8" w:tplc="1009001B" w:tentative="1">
      <w:start w:val="1"/>
      <w:numFmt w:val="lowerRoman"/>
      <w:lvlText w:val="%9."/>
      <w:lvlJc w:val="right"/>
      <w:pPr>
        <w:ind w:left="8955" w:hanging="180"/>
      </w:pPr>
    </w:lvl>
  </w:abstractNum>
  <w:abstractNum w:abstractNumId="12">
    <w:nsid w:val="28940118"/>
    <w:multiLevelType w:val="hybridMultilevel"/>
    <w:tmpl w:val="9A24E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556B86"/>
    <w:multiLevelType w:val="hybridMultilevel"/>
    <w:tmpl w:val="A7481782"/>
    <w:lvl w:ilvl="0" w:tplc="06D228D4">
      <w:start w:val="1"/>
      <w:numFmt w:val="low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4">
    <w:nsid w:val="2ECA257B"/>
    <w:multiLevelType w:val="hybridMultilevel"/>
    <w:tmpl w:val="3E90A262"/>
    <w:lvl w:ilvl="0" w:tplc="AC84F1B4">
      <w:start w:val="110"/>
      <w:numFmt w:val="decimal"/>
      <w:lvlText w:val="%1"/>
      <w:lvlJc w:val="left"/>
      <w:pPr>
        <w:tabs>
          <w:tab w:val="num" w:pos="2985"/>
        </w:tabs>
        <w:ind w:left="2985" w:hanging="1665"/>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5">
    <w:nsid w:val="35913412"/>
    <w:multiLevelType w:val="hybridMultilevel"/>
    <w:tmpl w:val="97F043D8"/>
    <w:lvl w:ilvl="0" w:tplc="32DA1E40">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37A91095"/>
    <w:multiLevelType w:val="hybridMultilevel"/>
    <w:tmpl w:val="8356F9A0"/>
    <w:lvl w:ilvl="0" w:tplc="2B6ACB68">
      <w:start w:val="1"/>
      <w:numFmt w:val="decimal"/>
      <w:lvlText w:val="%1."/>
      <w:lvlJc w:val="left"/>
      <w:pPr>
        <w:tabs>
          <w:tab w:val="num" w:pos="1864"/>
        </w:tabs>
        <w:ind w:left="1864" w:hanging="115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3CF00B4C"/>
    <w:multiLevelType w:val="hybridMultilevel"/>
    <w:tmpl w:val="9EA81FEC"/>
    <w:lvl w:ilvl="0" w:tplc="BBAA1734">
      <w:start w:val="1"/>
      <w:numFmt w:val="lowerLetter"/>
      <w:lvlText w:val="(%1)"/>
      <w:lvlJc w:val="left"/>
      <w:pPr>
        <w:ind w:left="3198" w:hanging="360"/>
      </w:pPr>
      <w:rPr>
        <w:rFonts w:hint="default"/>
        <w:i w:val="0"/>
      </w:rPr>
    </w:lvl>
    <w:lvl w:ilvl="1" w:tplc="10090019">
      <w:start w:val="1"/>
      <w:numFmt w:val="lowerLetter"/>
      <w:lvlText w:val="%2."/>
      <w:lvlJc w:val="left"/>
      <w:pPr>
        <w:ind w:left="3918" w:hanging="360"/>
      </w:pPr>
    </w:lvl>
    <w:lvl w:ilvl="2" w:tplc="1009001B" w:tentative="1">
      <w:start w:val="1"/>
      <w:numFmt w:val="lowerRoman"/>
      <w:lvlText w:val="%3."/>
      <w:lvlJc w:val="right"/>
      <w:pPr>
        <w:ind w:left="4638" w:hanging="180"/>
      </w:pPr>
    </w:lvl>
    <w:lvl w:ilvl="3" w:tplc="1009000F" w:tentative="1">
      <w:start w:val="1"/>
      <w:numFmt w:val="decimal"/>
      <w:lvlText w:val="%4."/>
      <w:lvlJc w:val="left"/>
      <w:pPr>
        <w:ind w:left="5358" w:hanging="360"/>
      </w:pPr>
    </w:lvl>
    <w:lvl w:ilvl="4" w:tplc="10090019" w:tentative="1">
      <w:start w:val="1"/>
      <w:numFmt w:val="lowerLetter"/>
      <w:lvlText w:val="%5."/>
      <w:lvlJc w:val="left"/>
      <w:pPr>
        <w:ind w:left="6078" w:hanging="360"/>
      </w:pPr>
    </w:lvl>
    <w:lvl w:ilvl="5" w:tplc="1009001B" w:tentative="1">
      <w:start w:val="1"/>
      <w:numFmt w:val="lowerRoman"/>
      <w:lvlText w:val="%6."/>
      <w:lvlJc w:val="right"/>
      <w:pPr>
        <w:ind w:left="6798" w:hanging="180"/>
      </w:pPr>
    </w:lvl>
    <w:lvl w:ilvl="6" w:tplc="1009000F" w:tentative="1">
      <w:start w:val="1"/>
      <w:numFmt w:val="decimal"/>
      <w:lvlText w:val="%7."/>
      <w:lvlJc w:val="left"/>
      <w:pPr>
        <w:ind w:left="7518" w:hanging="360"/>
      </w:pPr>
    </w:lvl>
    <w:lvl w:ilvl="7" w:tplc="10090019" w:tentative="1">
      <w:start w:val="1"/>
      <w:numFmt w:val="lowerLetter"/>
      <w:lvlText w:val="%8."/>
      <w:lvlJc w:val="left"/>
      <w:pPr>
        <w:ind w:left="8238" w:hanging="360"/>
      </w:pPr>
    </w:lvl>
    <w:lvl w:ilvl="8" w:tplc="1009001B" w:tentative="1">
      <w:start w:val="1"/>
      <w:numFmt w:val="lowerRoman"/>
      <w:lvlText w:val="%9."/>
      <w:lvlJc w:val="right"/>
      <w:pPr>
        <w:ind w:left="8958" w:hanging="180"/>
      </w:pPr>
    </w:lvl>
  </w:abstractNum>
  <w:abstractNum w:abstractNumId="18">
    <w:nsid w:val="53AA7794"/>
    <w:multiLevelType w:val="hybridMultilevel"/>
    <w:tmpl w:val="91D4FB2A"/>
    <w:lvl w:ilvl="0" w:tplc="FFFFFFFF">
      <w:start w:val="3"/>
      <w:numFmt w:val="lowerRoman"/>
      <w:lvlText w:val="(%1)"/>
      <w:lvlJc w:val="left"/>
      <w:pPr>
        <w:tabs>
          <w:tab w:val="num" w:pos="1905"/>
        </w:tabs>
        <w:ind w:left="1905" w:hanging="720"/>
      </w:pPr>
      <w:rPr>
        <w:rFonts w:hint="default"/>
      </w:rPr>
    </w:lvl>
    <w:lvl w:ilvl="1" w:tplc="FFFFFFFF" w:tentative="1">
      <w:start w:val="1"/>
      <w:numFmt w:val="lowerLetter"/>
      <w:lvlText w:val="%2."/>
      <w:lvlJc w:val="left"/>
      <w:pPr>
        <w:tabs>
          <w:tab w:val="num" w:pos="2265"/>
        </w:tabs>
        <w:ind w:left="2265" w:hanging="360"/>
      </w:pPr>
    </w:lvl>
    <w:lvl w:ilvl="2" w:tplc="FFFFFFFF" w:tentative="1">
      <w:start w:val="1"/>
      <w:numFmt w:val="lowerRoman"/>
      <w:lvlText w:val="%3."/>
      <w:lvlJc w:val="right"/>
      <w:pPr>
        <w:tabs>
          <w:tab w:val="num" w:pos="2985"/>
        </w:tabs>
        <w:ind w:left="2985" w:hanging="180"/>
      </w:pPr>
    </w:lvl>
    <w:lvl w:ilvl="3" w:tplc="FFFFFFFF" w:tentative="1">
      <w:start w:val="1"/>
      <w:numFmt w:val="decimal"/>
      <w:lvlText w:val="%4."/>
      <w:lvlJc w:val="left"/>
      <w:pPr>
        <w:tabs>
          <w:tab w:val="num" w:pos="3705"/>
        </w:tabs>
        <w:ind w:left="3705" w:hanging="360"/>
      </w:pPr>
    </w:lvl>
    <w:lvl w:ilvl="4" w:tplc="FFFFFFFF" w:tentative="1">
      <w:start w:val="1"/>
      <w:numFmt w:val="lowerLetter"/>
      <w:lvlText w:val="%5."/>
      <w:lvlJc w:val="left"/>
      <w:pPr>
        <w:tabs>
          <w:tab w:val="num" w:pos="4425"/>
        </w:tabs>
        <w:ind w:left="4425" w:hanging="360"/>
      </w:pPr>
    </w:lvl>
    <w:lvl w:ilvl="5" w:tplc="FFFFFFFF" w:tentative="1">
      <w:start w:val="1"/>
      <w:numFmt w:val="lowerRoman"/>
      <w:lvlText w:val="%6."/>
      <w:lvlJc w:val="right"/>
      <w:pPr>
        <w:tabs>
          <w:tab w:val="num" w:pos="5145"/>
        </w:tabs>
        <w:ind w:left="5145" w:hanging="180"/>
      </w:pPr>
    </w:lvl>
    <w:lvl w:ilvl="6" w:tplc="FFFFFFFF" w:tentative="1">
      <w:start w:val="1"/>
      <w:numFmt w:val="decimal"/>
      <w:lvlText w:val="%7."/>
      <w:lvlJc w:val="left"/>
      <w:pPr>
        <w:tabs>
          <w:tab w:val="num" w:pos="5865"/>
        </w:tabs>
        <w:ind w:left="5865" w:hanging="360"/>
      </w:pPr>
    </w:lvl>
    <w:lvl w:ilvl="7" w:tplc="FFFFFFFF" w:tentative="1">
      <w:start w:val="1"/>
      <w:numFmt w:val="lowerLetter"/>
      <w:lvlText w:val="%8."/>
      <w:lvlJc w:val="left"/>
      <w:pPr>
        <w:tabs>
          <w:tab w:val="num" w:pos="6585"/>
        </w:tabs>
        <w:ind w:left="6585" w:hanging="360"/>
      </w:pPr>
    </w:lvl>
    <w:lvl w:ilvl="8" w:tplc="FFFFFFFF" w:tentative="1">
      <w:start w:val="1"/>
      <w:numFmt w:val="lowerRoman"/>
      <w:lvlText w:val="%9."/>
      <w:lvlJc w:val="right"/>
      <w:pPr>
        <w:tabs>
          <w:tab w:val="num" w:pos="7305"/>
        </w:tabs>
        <w:ind w:left="7305" w:hanging="180"/>
      </w:pPr>
    </w:lvl>
  </w:abstractNum>
  <w:abstractNum w:abstractNumId="19">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0">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FE1645C"/>
    <w:multiLevelType w:val="hybridMultilevel"/>
    <w:tmpl w:val="408825C2"/>
    <w:lvl w:ilvl="0" w:tplc="0A92C090">
      <w:start w:val="1"/>
      <w:numFmt w:val="decimal"/>
      <w:lvlText w:val="%1-"/>
      <w:lvlJc w:val="left"/>
      <w:pPr>
        <w:tabs>
          <w:tab w:val="num" w:pos="2839"/>
        </w:tabs>
        <w:ind w:left="2839" w:hanging="360"/>
      </w:pPr>
      <w:rPr>
        <w:rFonts w:ascii="Times New Roman" w:eastAsia="Times New Roman" w:hAnsi="Times New Roman" w:cs="Times New Roman"/>
      </w:rPr>
    </w:lvl>
    <w:lvl w:ilvl="1" w:tplc="04190019" w:tentative="1">
      <w:start w:val="1"/>
      <w:numFmt w:val="lowerLetter"/>
      <w:lvlText w:val="%2."/>
      <w:lvlJc w:val="left"/>
      <w:pPr>
        <w:tabs>
          <w:tab w:val="num" w:pos="3559"/>
        </w:tabs>
        <w:ind w:left="3559" w:hanging="360"/>
      </w:pPr>
    </w:lvl>
    <w:lvl w:ilvl="2" w:tplc="0419001B" w:tentative="1">
      <w:start w:val="1"/>
      <w:numFmt w:val="lowerRoman"/>
      <w:lvlText w:val="%3."/>
      <w:lvlJc w:val="right"/>
      <w:pPr>
        <w:tabs>
          <w:tab w:val="num" w:pos="4279"/>
        </w:tabs>
        <w:ind w:left="4279" w:hanging="180"/>
      </w:pPr>
    </w:lvl>
    <w:lvl w:ilvl="3" w:tplc="0419000F" w:tentative="1">
      <w:start w:val="1"/>
      <w:numFmt w:val="decimal"/>
      <w:lvlText w:val="%4."/>
      <w:lvlJc w:val="left"/>
      <w:pPr>
        <w:tabs>
          <w:tab w:val="num" w:pos="4999"/>
        </w:tabs>
        <w:ind w:left="4999" w:hanging="360"/>
      </w:pPr>
    </w:lvl>
    <w:lvl w:ilvl="4" w:tplc="04190019" w:tentative="1">
      <w:start w:val="1"/>
      <w:numFmt w:val="lowerLetter"/>
      <w:lvlText w:val="%5."/>
      <w:lvlJc w:val="left"/>
      <w:pPr>
        <w:tabs>
          <w:tab w:val="num" w:pos="5719"/>
        </w:tabs>
        <w:ind w:left="5719" w:hanging="360"/>
      </w:pPr>
    </w:lvl>
    <w:lvl w:ilvl="5" w:tplc="0419001B" w:tentative="1">
      <w:start w:val="1"/>
      <w:numFmt w:val="lowerRoman"/>
      <w:lvlText w:val="%6."/>
      <w:lvlJc w:val="right"/>
      <w:pPr>
        <w:tabs>
          <w:tab w:val="num" w:pos="6439"/>
        </w:tabs>
        <w:ind w:left="6439" w:hanging="180"/>
      </w:pPr>
    </w:lvl>
    <w:lvl w:ilvl="6" w:tplc="0419000F" w:tentative="1">
      <w:start w:val="1"/>
      <w:numFmt w:val="decimal"/>
      <w:lvlText w:val="%7."/>
      <w:lvlJc w:val="left"/>
      <w:pPr>
        <w:tabs>
          <w:tab w:val="num" w:pos="7159"/>
        </w:tabs>
        <w:ind w:left="7159" w:hanging="360"/>
      </w:pPr>
    </w:lvl>
    <w:lvl w:ilvl="7" w:tplc="04190019" w:tentative="1">
      <w:start w:val="1"/>
      <w:numFmt w:val="lowerLetter"/>
      <w:lvlText w:val="%8."/>
      <w:lvlJc w:val="left"/>
      <w:pPr>
        <w:tabs>
          <w:tab w:val="num" w:pos="7879"/>
        </w:tabs>
        <w:ind w:left="7879" w:hanging="360"/>
      </w:pPr>
    </w:lvl>
    <w:lvl w:ilvl="8" w:tplc="0419001B" w:tentative="1">
      <w:start w:val="1"/>
      <w:numFmt w:val="lowerRoman"/>
      <w:lvlText w:val="%9."/>
      <w:lvlJc w:val="right"/>
      <w:pPr>
        <w:tabs>
          <w:tab w:val="num" w:pos="8599"/>
        </w:tabs>
        <w:ind w:left="8599" w:hanging="180"/>
      </w:pPr>
    </w:lvl>
  </w:abstractNum>
  <w:abstractNum w:abstractNumId="23">
    <w:nsid w:val="71E81394"/>
    <w:multiLevelType w:val="hybridMultilevel"/>
    <w:tmpl w:val="8AE6215A"/>
    <w:lvl w:ilvl="0" w:tplc="F07EDA76">
      <w:start w:val="1"/>
      <w:numFmt w:val="bullet"/>
      <w:lvlText w:val=""/>
      <w:lvlJc w:val="left"/>
      <w:pPr>
        <w:tabs>
          <w:tab w:val="num" w:pos="952"/>
        </w:tabs>
        <w:ind w:left="952"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24">
    <w:nsid w:val="7377697B"/>
    <w:multiLevelType w:val="hybridMultilevel"/>
    <w:tmpl w:val="2EE681CA"/>
    <w:lvl w:ilvl="0" w:tplc="E26A9B1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21"/>
  </w:num>
  <w:num w:numId="3">
    <w:abstractNumId w:val="1"/>
  </w:num>
  <w:num w:numId="4">
    <w:abstractNumId w:val="23"/>
  </w:num>
  <w:num w:numId="5">
    <w:abstractNumId w:val="18"/>
  </w:num>
  <w:num w:numId="6">
    <w:abstractNumId w:val="5"/>
  </w:num>
  <w:num w:numId="7">
    <w:abstractNumId w:val="9"/>
  </w:num>
  <w:num w:numId="8">
    <w:abstractNumId w:val="16"/>
  </w:num>
  <w:num w:numId="9">
    <w:abstractNumId w:val="22"/>
  </w:num>
  <w:num w:numId="10">
    <w:abstractNumId w:val="14"/>
  </w:num>
  <w:num w:numId="11">
    <w:abstractNumId w:val="2"/>
  </w:num>
  <w:num w:numId="12">
    <w:abstractNumId w:val="13"/>
  </w:num>
  <w:num w:numId="13">
    <w:abstractNumId w:val="24"/>
  </w:num>
  <w:num w:numId="14">
    <w:abstractNumId w:val="19"/>
  </w:num>
  <w:num w:numId="15">
    <w:abstractNumId w:val="20"/>
  </w:num>
  <w:num w:numId="16">
    <w:abstractNumId w:val="12"/>
  </w:num>
  <w:num w:numId="17">
    <w:abstractNumId w:val="7"/>
  </w:num>
  <w:num w:numId="18">
    <w:abstractNumId w:val="8"/>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0"/>
  </w:num>
  <w:num w:numId="24">
    <w:abstractNumId w:val="11"/>
  </w:num>
  <w:num w:numId="25">
    <w:abstractNumId w:val="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3332"/>
    <w:rsid w:val="000171FC"/>
    <w:rsid w:val="00025C10"/>
    <w:rsid w:val="000261F6"/>
    <w:rsid w:val="00034899"/>
    <w:rsid w:val="000426AF"/>
    <w:rsid w:val="00044CD7"/>
    <w:rsid w:val="0004666F"/>
    <w:rsid w:val="00046DC0"/>
    <w:rsid w:val="00050F6B"/>
    <w:rsid w:val="0005340B"/>
    <w:rsid w:val="000543CE"/>
    <w:rsid w:val="00057262"/>
    <w:rsid w:val="00057EF1"/>
    <w:rsid w:val="00060C82"/>
    <w:rsid w:val="0006387A"/>
    <w:rsid w:val="00067341"/>
    <w:rsid w:val="00072C8C"/>
    <w:rsid w:val="0007325A"/>
    <w:rsid w:val="00075B27"/>
    <w:rsid w:val="00083A13"/>
    <w:rsid w:val="000846F3"/>
    <w:rsid w:val="00085784"/>
    <w:rsid w:val="000918C2"/>
    <w:rsid w:val="000931C0"/>
    <w:rsid w:val="00094053"/>
    <w:rsid w:val="000B0DCA"/>
    <w:rsid w:val="000B175B"/>
    <w:rsid w:val="000B3A0F"/>
    <w:rsid w:val="000B48F8"/>
    <w:rsid w:val="000C64FF"/>
    <w:rsid w:val="000C69A6"/>
    <w:rsid w:val="000D13B5"/>
    <w:rsid w:val="000E0415"/>
    <w:rsid w:val="000E2262"/>
    <w:rsid w:val="000E2F43"/>
    <w:rsid w:val="000E2FEC"/>
    <w:rsid w:val="00105FDD"/>
    <w:rsid w:val="0011529F"/>
    <w:rsid w:val="001156AA"/>
    <w:rsid w:val="001220B8"/>
    <w:rsid w:val="001262C0"/>
    <w:rsid w:val="00126EA1"/>
    <w:rsid w:val="001336B2"/>
    <w:rsid w:val="00133C7A"/>
    <w:rsid w:val="00133ED6"/>
    <w:rsid w:val="00137553"/>
    <w:rsid w:val="001418E8"/>
    <w:rsid w:val="00145FFD"/>
    <w:rsid w:val="001506C9"/>
    <w:rsid w:val="001604C0"/>
    <w:rsid w:val="00161DED"/>
    <w:rsid w:val="00162157"/>
    <w:rsid w:val="00162703"/>
    <w:rsid w:val="00172A5D"/>
    <w:rsid w:val="00173C41"/>
    <w:rsid w:val="00173E97"/>
    <w:rsid w:val="001811F3"/>
    <w:rsid w:val="001832E3"/>
    <w:rsid w:val="00186037"/>
    <w:rsid w:val="001901EB"/>
    <w:rsid w:val="001B4B04"/>
    <w:rsid w:val="001B7882"/>
    <w:rsid w:val="001C0A2D"/>
    <w:rsid w:val="001C2917"/>
    <w:rsid w:val="001C4398"/>
    <w:rsid w:val="001C6663"/>
    <w:rsid w:val="001C719B"/>
    <w:rsid w:val="001C7895"/>
    <w:rsid w:val="001D26DF"/>
    <w:rsid w:val="001D3183"/>
    <w:rsid w:val="001E0EC3"/>
    <w:rsid w:val="001E18DA"/>
    <w:rsid w:val="001E2993"/>
    <w:rsid w:val="001E2A42"/>
    <w:rsid w:val="001E428B"/>
    <w:rsid w:val="001E4813"/>
    <w:rsid w:val="00202F2F"/>
    <w:rsid w:val="0020313C"/>
    <w:rsid w:val="00211E0B"/>
    <w:rsid w:val="0021245D"/>
    <w:rsid w:val="00232E70"/>
    <w:rsid w:val="002405A7"/>
    <w:rsid w:val="00240C33"/>
    <w:rsid w:val="00241101"/>
    <w:rsid w:val="00246F3E"/>
    <w:rsid w:val="00254938"/>
    <w:rsid w:val="00260DAB"/>
    <w:rsid w:val="00261C17"/>
    <w:rsid w:val="00267857"/>
    <w:rsid w:val="00267F1A"/>
    <w:rsid w:val="00270492"/>
    <w:rsid w:val="002775FB"/>
    <w:rsid w:val="00280C9A"/>
    <w:rsid w:val="00281563"/>
    <w:rsid w:val="002835B2"/>
    <w:rsid w:val="00291560"/>
    <w:rsid w:val="0029653B"/>
    <w:rsid w:val="00296A96"/>
    <w:rsid w:val="0029712C"/>
    <w:rsid w:val="002B4232"/>
    <w:rsid w:val="002D5E30"/>
    <w:rsid w:val="002D78BB"/>
    <w:rsid w:val="002E03D9"/>
    <w:rsid w:val="002E42C4"/>
    <w:rsid w:val="002E45A0"/>
    <w:rsid w:val="002E4DC6"/>
    <w:rsid w:val="002E6B09"/>
    <w:rsid w:val="002F6E0F"/>
    <w:rsid w:val="00302CC0"/>
    <w:rsid w:val="003107FA"/>
    <w:rsid w:val="00311C15"/>
    <w:rsid w:val="00317109"/>
    <w:rsid w:val="003229D8"/>
    <w:rsid w:val="00323636"/>
    <w:rsid w:val="0033069A"/>
    <w:rsid w:val="00330D86"/>
    <w:rsid w:val="00334089"/>
    <w:rsid w:val="0033745A"/>
    <w:rsid w:val="003456AD"/>
    <w:rsid w:val="0034626E"/>
    <w:rsid w:val="00355FB8"/>
    <w:rsid w:val="003617AD"/>
    <w:rsid w:val="0036347F"/>
    <w:rsid w:val="00365502"/>
    <w:rsid w:val="003742FC"/>
    <w:rsid w:val="003860AF"/>
    <w:rsid w:val="00391104"/>
    <w:rsid w:val="0039277A"/>
    <w:rsid w:val="003972E0"/>
    <w:rsid w:val="00397DE2"/>
    <w:rsid w:val="003A0867"/>
    <w:rsid w:val="003A2B2B"/>
    <w:rsid w:val="003A7F0D"/>
    <w:rsid w:val="003B0241"/>
    <w:rsid w:val="003C2CC4"/>
    <w:rsid w:val="003C3936"/>
    <w:rsid w:val="003D4B23"/>
    <w:rsid w:val="003D5BA1"/>
    <w:rsid w:val="003D7040"/>
    <w:rsid w:val="003E7507"/>
    <w:rsid w:val="003F0EE3"/>
    <w:rsid w:val="003F1ED3"/>
    <w:rsid w:val="003F32D9"/>
    <w:rsid w:val="003F6500"/>
    <w:rsid w:val="00403098"/>
    <w:rsid w:val="004143A7"/>
    <w:rsid w:val="00424A40"/>
    <w:rsid w:val="00427EC1"/>
    <w:rsid w:val="004325CB"/>
    <w:rsid w:val="00435EE3"/>
    <w:rsid w:val="00436DEF"/>
    <w:rsid w:val="00442BB5"/>
    <w:rsid w:val="0044571D"/>
    <w:rsid w:val="00446DE4"/>
    <w:rsid w:val="00447ACD"/>
    <w:rsid w:val="004501A7"/>
    <w:rsid w:val="00456600"/>
    <w:rsid w:val="004735DE"/>
    <w:rsid w:val="0047798C"/>
    <w:rsid w:val="0048539B"/>
    <w:rsid w:val="0048605D"/>
    <w:rsid w:val="0049238A"/>
    <w:rsid w:val="004936EA"/>
    <w:rsid w:val="004949D0"/>
    <w:rsid w:val="004949E3"/>
    <w:rsid w:val="004A0699"/>
    <w:rsid w:val="004A0F33"/>
    <w:rsid w:val="004A41CA"/>
    <w:rsid w:val="004A7FFD"/>
    <w:rsid w:val="004B1385"/>
    <w:rsid w:val="004B40B2"/>
    <w:rsid w:val="004B7722"/>
    <w:rsid w:val="004C3136"/>
    <w:rsid w:val="004E0E90"/>
    <w:rsid w:val="004F4928"/>
    <w:rsid w:val="004F721F"/>
    <w:rsid w:val="004F7E77"/>
    <w:rsid w:val="00501D34"/>
    <w:rsid w:val="00503228"/>
    <w:rsid w:val="00505384"/>
    <w:rsid w:val="00512AD1"/>
    <w:rsid w:val="00514641"/>
    <w:rsid w:val="00516952"/>
    <w:rsid w:val="005311FB"/>
    <w:rsid w:val="0053290B"/>
    <w:rsid w:val="005414C0"/>
    <w:rsid w:val="005420F2"/>
    <w:rsid w:val="00557BBE"/>
    <w:rsid w:val="005602BC"/>
    <w:rsid w:val="00564A8C"/>
    <w:rsid w:val="005652E4"/>
    <w:rsid w:val="0056584E"/>
    <w:rsid w:val="00567492"/>
    <w:rsid w:val="00582EEE"/>
    <w:rsid w:val="00587909"/>
    <w:rsid w:val="00592B8C"/>
    <w:rsid w:val="00596017"/>
    <w:rsid w:val="0059637C"/>
    <w:rsid w:val="005964D7"/>
    <w:rsid w:val="00596940"/>
    <w:rsid w:val="005A6006"/>
    <w:rsid w:val="005B12DD"/>
    <w:rsid w:val="005B3DB3"/>
    <w:rsid w:val="005B675E"/>
    <w:rsid w:val="005B793F"/>
    <w:rsid w:val="005D01BA"/>
    <w:rsid w:val="005D0566"/>
    <w:rsid w:val="005D2B05"/>
    <w:rsid w:val="005D661A"/>
    <w:rsid w:val="005D69A1"/>
    <w:rsid w:val="005E3584"/>
    <w:rsid w:val="005F1684"/>
    <w:rsid w:val="005F491C"/>
    <w:rsid w:val="005F57B5"/>
    <w:rsid w:val="00603986"/>
    <w:rsid w:val="00610339"/>
    <w:rsid w:val="00611FB1"/>
    <w:rsid w:val="00611FC4"/>
    <w:rsid w:val="00612594"/>
    <w:rsid w:val="00613135"/>
    <w:rsid w:val="00613225"/>
    <w:rsid w:val="0061540F"/>
    <w:rsid w:val="00615ADE"/>
    <w:rsid w:val="00615BEE"/>
    <w:rsid w:val="006176FB"/>
    <w:rsid w:val="0062323E"/>
    <w:rsid w:val="00624CB0"/>
    <w:rsid w:val="00627ED0"/>
    <w:rsid w:val="00633F2A"/>
    <w:rsid w:val="0063576C"/>
    <w:rsid w:val="006362E9"/>
    <w:rsid w:val="00640B26"/>
    <w:rsid w:val="0064418D"/>
    <w:rsid w:val="006522E7"/>
    <w:rsid w:val="00652520"/>
    <w:rsid w:val="00660E37"/>
    <w:rsid w:val="00665396"/>
    <w:rsid w:val="00665595"/>
    <w:rsid w:val="00695A9B"/>
    <w:rsid w:val="006A68AB"/>
    <w:rsid w:val="006A7392"/>
    <w:rsid w:val="006A7A99"/>
    <w:rsid w:val="006B4ADA"/>
    <w:rsid w:val="006B61F2"/>
    <w:rsid w:val="006C52A3"/>
    <w:rsid w:val="006D0F13"/>
    <w:rsid w:val="006D5429"/>
    <w:rsid w:val="006D7CD5"/>
    <w:rsid w:val="006E0290"/>
    <w:rsid w:val="006E564B"/>
    <w:rsid w:val="006F02D2"/>
    <w:rsid w:val="006F1EFF"/>
    <w:rsid w:val="007032EE"/>
    <w:rsid w:val="00704BCD"/>
    <w:rsid w:val="007218CD"/>
    <w:rsid w:val="0072632A"/>
    <w:rsid w:val="007311F6"/>
    <w:rsid w:val="00733AAE"/>
    <w:rsid w:val="00744DCF"/>
    <w:rsid w:val="007675D8"/>
    <w:rsid w:val="00771D8B"/>
    <w:rsid w:val="00772712"/>
    <w:rsid w:val="00772BD6"/>
    <w:rsid w:val="00773288"/>
    <w:rsid w:val="0077426A"/>
    <w:rsid w:val="00774A1A"/>
    <w:rsid w:val="00774AE4"/>
    <w:rsid w:val="007756DC"/>
    <w:rsid w:val="00780488"/>
    <w:rsid w:val="00782570"/>
    <w:rsid w:val="00783A99"/>
    <w:rsid w:val="00784BBB"/>
    <w:rsid w:val="00793289"/>
    <w:rsid w:val="0079606E"/>
    <w:rsid w:val="00796E0D"/>
    <w:rsid w:val="007A1923"/>
    <w:rsid w:val="007B204D"/>
    <w:rsid w:val="007B3310"/>
    <w:rsid w:val="007B5103"/>
    <w:rsid w:val="007B5960"/>
    <w:rsid w:val="007B6BA5"/>
    <w:rsid w:val="007B6F24"/>
    <w:rsid w:val="007C3390"/>
    <w:rsid w:val="007C4F4B"/>
    <w:rsid w:val="007C4F77"/>
    <w:rsid w:val="007D1BCB"/>
    <w:rsid w:val="007D3ADF"/>
    <w:rsid w:val="007D4DE2"/>
    <w:rsid w:val="007E028F"/>
    <w:rsid w:val="007E0778"/>
    <w:rsid w:val="007F0B83"/>
    <w:rsid w:val="007F272B"/>
    <w:rsid w:val="007F4FCD"/>
    <w:rsid w:val="007F6611"/>
    <w:rsid w:val="007F768B"/>
    <w:rsid w:val="00805178"/>
    <w:rsid w:val="008175E9"/>
    <w:rsid w:val="00820837"/>
    <w:rsid w:val="008242D7"/>
    <w:rsid w:val="00826BFB"/>
    <w:rsid w:val="00827B4D"/>
    <w:rsid w:val="00827E05"/>
    <w:rsid w:val="00830DAF"/>
    <w:rsid w:val="008311A3"/>
    <w:rsid w:val="00834ACC"/>
    <w:rsid w:val="008467F9"/>
    <w:rsid w:val="008577F2"/>
    <w:rsid w:val="0086423F"/>
    <w:rsid w:val="008703E7"/>
    <w:rsid w:val="00871FD5"/>
    <w:rsid w:val="00872C11"/>
    <w:rsid w:val="00874E70"/>
    <w:rsid w:val="00876710"/>
    <w:rsid w:val="00884D20"/>
    <w:rsid w:val="008979B1"/>
    <w:rsid w:val="008A296D"/>
    <w:rsid w:val="008A6B25"/>
    <w:rsid w:val="008A6C4F"/>
    <w:rsid w:val="008B01F9"/>
    <w:rsid w:val="008B411B"/>
    <w:rsid w:val="008B6F6E"/>
    <w:rsid w:val="008D54CD"/>
    <w:rsid w:val="008E02F2"/>
    <w:rsid w:val="008E09AC"/>
    <w:rsid w:val="008E0E46"/>
    <w:rsid w:val="008E3D2D"/>
    <w:rsid w:val="008F1782"/>
    <w:rsid w:val="008F4AB2"/>
    <w:rsid w:val="00903E58"/>
    <w:rsid w:val="00906E93"/>
    <w:rsid w:val="0090771C"/>
    <w:rsid w:val="00907AD2"/>
    <w:rsid w:val="009104B2"/>
    <w:rsid w:val="009111C7"/>
    <w:rsid w:val="0091455F"/>
    <w:rsid w:val="0092035F"/>
    <w:rsid w:val="00921B66"/>
    <w:rsid w:val="00922876"/>
    <w:rsid w:val="00925353"/>
    <w:rsid w:val="00934214"/>
    <w:rsid w:val="009402C2"/>
    <w:rsid w:val="00940685"/>
    <w:rsid w:val="00941D3C"/>
    <w:rsid w:val="00951741"/>
    <w:rsid w:val="009616A8"/>
    <w:rsid w:val="009619F2"/>
    <w:rsid w:val="00962897"/>
    <w:rsid w:val="00963CBA"/>
    <w:rsid w:val="009647D9"/>
    <w:rsid w:val="009727E1"/>
    <w:rsid w:val="009749EA"/>
    <w:rsid w:val="00974A8D"/>
    <w:rsid w:val="00975AAB"/>
    <w:rsid w:val="009772DC"/>
    <w:rsid w:val="0097794A"/>
    <w:rsid w:val="0099001C"/>
    <w:rsid w:val="00991261"/>
    <w:rsid w:val="009A3BA9"/>
    <w:rsid w:val="009B10F0"/>
    <w:rsid w:val="009B4ACF"/>
    <w:rsid w:val="009C418B"/>
    <w:rsid w:val="009D1BEF"/>
    <w:rsid w:val="009E0818"/>
    <w:rsid w:val="009E0F2F"/>
    <w:rsid w:val="009E6819"/>
    <w:rsid w:val="009F3A17"/>
    <w:rsid w:val="009F4329"/>
    <w:rsid w:val="00A071D1"/>
    <w:rsid w:val="00A11C1F"/>
    <w:rsid w:val="00A1427D"/>
    <w:rsid w:val="00A1540E"/>
    <w:rsid w:val="00A304F8"/>
    <w:rsid w:val="00A3172C"/>
    <w:rsid w:val="00A33628"/>
    <w:rsid w:val="00A37B8D"/>
    <w:rsid w:val="00A4329A"/>
    <w:rsid w:val="00A4390F"/>
    <w:rsid w:val="00A47FEB"/>
    <w:rsid w:val="00A51BA2"/>
    <w:rsid w:val="00A72F22"/>
    <w:rsid w:val="00A748A6"/>
    <w:rsid w:val="00A805EB"/>
    <w:rsid w:val="00A8121B"/>
    <w:rsid w:val="00A879A4"/>
    <w:rsid w:val="00AB6DCD"/>
    <w:rsid w:val="00AC0759"/>
    <w:rsid w:val="00AC3F5A"/>
    <w:rsid w:val="00AD3A50"/>
    <w:rsid w:val="00AD701B"/>
    <w:rsid w:val="00AD7C47"/>
    <w:rsid w:val="00AE0162"/>
    <w:rsid w:val="00AE2770"/>
    <w:rsid w:val="00AE3D03"/>
    <w:rsid w:val="00AE52B5"/>
    <w:rsid w:val="00AF04A4"/>
    <w:rsid w:val="00AF0D0C"/>
    <w:rsid w:val="00AF4E86"/>
    <w:rsid w:val="00AF5976"/>
    <w:rsid w:val="00B109BD"/>
    <w:rsid w:val="00B10A66"/>
    <w:rsid w:val="00B11F48"/>
    <w:rsid w:val="00B12377"/>
    <w:rsid w:val="00B12EF7"/>
    <w:rsid w:val="00B16237"/>
    <w:rsid w:val="00B16F5D"/>
    <w:rsid w:val="00B30179"/>
    <w:rsid w:val="00B33D93"/>
    <w:rsid w:val="00B33EC0"/>
    <w:rsid w:val="00B356B8"/>
    <w:rsid w:val="00B35B6B"/>
    <w:rsid w:val="00B37A59"/>
    <w:rsid w:val="00B45CC5"/>
    <w:rsid w:val="00B52A3E"/>
    <w:rsid w:val="00B55627"/>
    <w:rsid w:val="00B6108E"/>
    <w:rsid w:val="00B625AB"/>
    <w:rsid w:val="00B62B55"/>
    <w:rsid w:val="00B712CD"/>
    <w:rsid w:val="00B72447"/>
    <w:rsid w:val="00B81E12"/>
    <w:rsid w:val="00B84EA9"/>
    <w:rsid w:val="00BA0EA4"/>
    <w:rsid w:val="00BA6971"/>
    <w:rsid w:val="00BB7BA1"/>
    <w:rsid w:val="00BC74E9"/>
    <w:rsid w:val="00BD14E2"/>
    <w:rsid w:val="00BD2146"/>
    <w:rsid w:val="00BD2A07"/>
    <w:rsid w:val="00BD3F6C"/>
    <w:rsid w:val="00BD4FA8"/>
    <w:rsid w:val="00BE4F74"/>
    <w:rsid w:val="00BE618E"/>
    <w:rsid w:val="00BF0594"/>
    <w:rsid w:val="00BF5C71"/>
    <w:rsid w:val="00BF6291"/>
    <w:rsid w:val="00C04153"/>
    <w:rsid w:val="00C143B4"/>
    <w:rsid w:val="00C17699"/>
    <w:rsid w:val="00C27434"/>
    <w:rsid w:val="00C309A6"/>
    <w:rsid w:val="00C31B61"/>
    <w:rsid w:val="00C32D9E"/>
    <w:rsid w:val="00C3396E"/>
    <w:rsid w:val="00C407EE"/>
    <w:rsid w:val="00C41A28"/>
    <w:rsid w:val="00C45639"/>
    <w:rsid w:val="00C463DD"/>
    <w:rsid w:val="00C54CCB"/>
    <w:rsid w:val="00C54FF0"/>
    <w:rsid w:val="00C56170"/>
    <w:rsid w:val="00C65812"/>
    <w:rsid w:val="00C70D56"/>
    <w:rsid w:val="00C73C64"/>
    <w:rsid w:val="00C745C3"/>
    <w:rsid w:val="00C74DB9"/>
    <w:rsid w:val="00C756ED"/>
    <w:rsid w:val="00C75C4B"/>
    <w:rsid w:val="00C77A18"/>
    <w:rsid w:val="00C82A0D"/>
    <w:rsid w:val="00C84FF4"/>
    <w:rsid w:val="00C87A98"/>
    <w:rsid w:val="00C92CE1"/>
    <w:rsid w:val="00C92E61"/>
    <w:rsid w:val="00C94465"/>
    <w:rsid w:val="00CA2B7F"/>
    <w:rsid w:val="00CA4B0E"/>
    <w:rsid w:val="00CA5B67"/>
    <w:rsid w:val="00CD455E"/>
    <w:rsid w:val="00CE3368"/>
    <w:rsid w:val="00CE4A8F"/>
    <w:rsid w:val="00CE5435"/>
    <w:rsid w:val="00CE5907"/>
    <w:rsid w:val="00CF41EA"/>
    <w:rsid w:val="00CF5B31"/>
    <w:rsid w:val="00D0099B"/>
    <w:rsid w:val="00D02F6D"/>
    <w:rsid w:val="00D11A2D"/>
    <w:rsid w:val="00D2031B"/>
    <w:rsid w:val="00D228C0"/>
    <w:rsid w:val="00D25FE2"/>
    <w:rsid w:val="00D317BB"/>
    <w:rsid w:val="00D3344B"/>
    <w:rsid w:val="00D43252"/>
    <w:rsid w:val="00D4433A"/>
    <w:rsid w:val="00D44EAE"/>
    <w:rsid w:val="00D450B2"/>
    <w:rsid w:val="00D576B2"/>
    <w:rsid w:val="00D5794D"/>
    <w:rsid w:val="00D8399D"/>
    <w:rsid w:val="00D91497"/>
    <w:rsid w:val="00D924F4"/>
    <w:rsid w:val="00D978C6"/>
    <w:rsid w:val="00D978F3"/>
    <w:rsid w:val="00DA67AD"/>
    <w:rsid w:val="00DB390C"/>
    <w:rsid w:val="00DB5D0F"/>
    <w:rsid w:val="00DB79B2"/>
    <w:rsid w:val="00DC1A84"/>
    <w:rsid w:val="00DC3242"/>
    <w:rsid w:val="00DD222A"/>
    <w:rsid w:val="00DE3A0C"/>
    <w:rsid w:val="00DE78DA"/>
    <w:rsid w:val="00DF12F7"/>
    <w:rsid w:val="00DF55F5"/>
    <w:rsid w:val="00E0127A"/>
    <w:rsid w:val="00E02C81"/>
    <w:rsid w:val="00E05E6F"/>
    <w:rsid w:val="00E130AB"/>
    <w:rsid w:val="00E13637"/>
    <w:rsid w:val="00E201CB"/>
    <w:rsid w:val="00E2307D"/>
    <w:rsid w:val="00E24B3E"/>
    <w:rsid w:val="00E25A99"/>
    <w:rsid w:val="00E31013"/>
    <w:rsid w:val="00E31E80"/>
    <w:rsid w:val="00E33C28"/>
    <w:rsid w:val="00E37E28"/>
    <w:rsid w:val="00E4094C"/>
    <w:rsid w:val="00E41868"/>
    <w:rsid w:val="00E42808"/>
    <w:rsid w:val="00E43853"/>
    <w:rsid w:val="00E470C5"/>
    <w:rsid w:val="00E50710"/>
    <w:rsid w:val="00E54137"/>
    <w:rsid w:val="00E62142"/>
    <w:rsid w:val="00E7260F"/>
    <w:rsid w:val="00E76DCB"/>
    <w:rsid w:val="00E7733E"/>
    <w:rsid w:val="00E87921"/>
    <w:rsid w:val="00E93B8F"/>
    <w:rsid w:val="00E96630"/>
    <w:rsid w:val="00EA264E"/>
    <w:rsid w:val="00EA5690"/>
    <w:rsid w:val="00EB31E8"/>
    <w:rsid w:val="00EB7B03"/>
    <w:rsid w:val="00EC3C48"/>
    <w:rsid w:val="00EC3D7E"/>
    <w:rsid w:val="00EC4291"/>
    <w:rsid w:val="00EC5A8A"/>
    <w:rsid w:val="00EC7CB8"/>
    <w:rsid w:val="00ED42EB"/>
    <w:rsid w:val="00ED7A2A"/>
    <w:rsid w:val="00ED7E78"/>
    <w:rsid w:val="00EE6D04"/>
    <w:rsid w:val="00EE6DBA"/>
    <w:rsid w:val="00EF1D7F"/>
    <w:rsid w:val="00EF381F"/>
    <w:rsid w:val="00EF66AA"/>
    <w:rsid w:val="00F0058A"/>
    <w:rsid w:val="00F0282F"/>
    <w:rsid w:val="00F065D0"/>
    <w:rsid w:val="00F10CCD"/>
    <w:rsid w:val="00F11196"/>
    <w:rsid w:val="00F13FE3"/>
    <w:rsid w:val="00F14C89"/>
    <w:rsid w:val="00F203AC"/>
    <w:rsid w:val="00F212B0"/>
    <w:rsid w:val="00F227EE"/>
    <w:rsid w:val="00F43F80"/>
    <w:rsid w:val="00F4559F"/>
    <w:rsid w:val="00F461BF"/>
    <w:rsid w:val="00F50610"/>
    <w:rsid w:val="00F53EDA"/>
    <w:rsid w:val="00F56BFE"/>
    <w:rsid w:val="00F6227B"/>
    <w:rsid w:val="00F708A8"/>
    <w:rsid w:val="00F719A2"/>
    <w:rsid w:val="00F7753D"/>
    <w:rsid w:val="00F805CA"/>
    <w:rsid w:val="00F80636"/>
    <w:rsid w:val="00F83C0F"/>
    <w:rsid w:val="00F849F0"/>
    <w:rsid w:val="00F85F34"/>
    <w:rsid w:val="00F93D13"/>
    <w:rsid w:val="00F973FB"/>
    <w:rsid w:val="00FA06F7"/>
    <w:rsid w:val="00FA5CA3"/>
    <w:rsid w:val="00FA5F28"/>
    <w:rsid w:val="00FB171A"/>
    <w:rsid w:val="00FB24B1"/>
    <w:rsid w:val="00FB3D8C"/>
    <w:rsid w:val="00FB631F"/>
    <w:rsid w:val="00FC24D4"/>
    <w:rsid w:val="00FC68B7"/>
    <w:rsid w:val="00FD0E1B"/>
    <w:rsid w:val="00FD3F13"/>
    <w:rsid w:val="00FD7BF6"/>
    <w:rsid w:val="00FE13F7"/>
    <w:rsid w:val="00FE4A23"/>
    <w:rsid w:val="00FE646C"/>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character" w:customStyle="1" w:styleId="FootnoteCharacters">
    <w:name w:val="Footnote Characters"/>
    <w:rsid w:val="00615ADE"/>
    <w:rPr>
      <w:rFonts w:ascii="Times New Roman" w:hAnsi="Times New Roman" w:cs="Times New Roman"/>
      <w:sz w:val="18"/>
      <w:vertAlign w:val="superscript"/>
    </w:rPr>
  </w:style>
  <w:style w:type="character" w:customStyle="1" w:styleId="Appelnotedebasdep1">
    <w:name w:val="Appel note de bas de p.1"/>
    <w:rsid w:val="00615ADE"/>
    <w:rPr>
      <w:rFonts w:ascii="Times New Roman" w:hAnsi="Times New Roman" w:cs="Times New Roman"/>
      <w:sz w:val="18"/>
      <w:vertAlign w:val="superscript"/>
    </w:rPr>
  </w:style>
  <w:style w:type="paragraph" w:customStyle="1" w:styleId="NormalWeb1">
    <w:name w:val="Normal (Web)1"/>
    <w:basedOn w:val="Normal"/>
    <w:rsid w:val="00615ADE"/>
    <w:pPr>
      <w:widowControl w:val="0"/>
      <w:spacing w:line="240" w:lineRule="auto"/>
    </w:pPr>
    <w:rPr>
      <w:rFonts w:eastAsia="Droid Sans" w:cs="FreeSans"/>
      <w:kern w:val="1"/>
      <w:sz w:val="24"/>
      <w:szCs w:val="24"/>
      <w:lang w:eastAsia="zh-CN" w:bidi="hi-IN"/>
    </w:rPr>
  </w:style>
  <w:style w:type="character" w:customStyle="1" w:styleId="WW8Num1z0">
    <w:name w:val="WW8Num1z0"/>
    <w:rsid w:val="00F93D13"/>
    <w:rPr>
      <w:rFonts w:ascii="Symbol" w:hAnsi="Symbol" w:cs="OpenSymbo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character" w:customStyle="1" w:styleId="FootnoteCharacters">
    <w:name w:val="Footnote Characters"/>
    <w:rsid w:val="00615ADE"/>
    <w:rPr>
      <w:rFonts w:ascii="Times New Roman" w:hAnsi="Times New Roman" w:cs="Times New Roman"/>
      <w:sz w:val="18"/>
      <w:vertAlign w:val="superscript"/>
    </w:rPr>
  </w:style>
  <w:style w:type="character" w:customStyle="1" w:styleId="Appelnotedebasdep1">
    <w:name w:val="Appel note de bas de p.1"/>
    <w:rsid w:val="00615ADE"/>
    <w:rPr>
      <w:rFonts w:ascii="Times New Roman" w:hAnsi="Times New Roman" w:cs="Times New Roman"/>
      <w:sz w:val="18"/>
      <w:vertAlign w:val="superscript"/>
    </w:rPr>
  </w:style>
  <w:style w:type="paragraph" w:customStyle="1" w:styleId="NormalWeb1">
    <w:name w:val="Normal (Web)1"/>
    <w:basedOn w:val="Normal"/>
    <w:rsid w:val="00615ADE"/>
    <w:pPr>
      <w:widowControl w:val="0"/>
      <w:spacing w:line="240" w:lineRule="auto"/>
    </w:pPr>
    <w:rPr>
      <w:rFonts w:eastAsia="Droid Sans" w:cs="FreeSans"/>
      <w:kern w:val="1"/>
      <w:sz w:val="24"/>
      <w:szCs w:val="24"/>
      <w:lang w:eastAsia="zh-CN" w:bidi="hi-IN"/>
    </w:rPr>
  </w:style>
  <w:style w:type="character" w:customStyle="1" w:styleId="WW8Num1z0">
    <w:name w:val="WW8Num1z0"/>
    <w:rsid w:val="00F93D13"/>
    <w:rPr>
      <w:rFonts w:ascii="Symbol" w:hAnsi="Symbol" w:cs="OpenSymbo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0.emf"/><Relationship Id="rId2" Type="http://schemas.openxmlformats.org/officeDocument/2006/relationships/image" Target="media/image4.e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44289-DCD0-4335-BE05-1BF2882C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7</TotalTime>
  <Pages>4</Pages>
  <Words>1106</Words>
  <Characters>6307</Characters>
  <Application>Microsoft Office Word</Application>
  <DocSecurity>0</DocSecurity>
  <Lines>52</Lines>
  <Paragraphs>14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UN/SCEGHS/19/INF</vt:lpstr>
      <vt:lpstr>UN/SCEGHS/19/INF</vt:lpstr>
      <vt:lpstr>UN/SCEGHS/19/INF</vt:lpstr>
    </vt:vector>
  </TitlesOfParts>
  <Company>CSD</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5</cp:revision>
  <cp:lastPrinted>2015-09-04T08:13:00Z</cp:lastPrinted>
  <dcterms:created xsi:type="dcterms:W3CDTF">2015-09-04T07:08:00Z</dcterms:created>
  <dcterms:modified xsi:type="dcterms:W3CDTF">2015-09-04T08:13:00Z</dcterms:modified>
</cp:coreProperties>
</file>