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253A3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253A3" w:rsidRDefault="002D5AAC" w:rsidP="00525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5253A3" w:rsidRDefault="002D5AAC" w:rsidP="005253A3">
            <w:pPr>
              <w:suppressAutoHyphens/>
              <w:rPr>
                <w:spacing w:val="0"/>
                <w:w w:val="100"/>
                <w:kern w:val="0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253A3" w:rsidRPr="005253A3" w:rsidRDefault="005253A3" w:rsidP="005253A3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5253A3">
              <w:rPr>
                <w:spacing w:val="0"/>
                <w:w w:val="100"/>
                <w:kern w:val="0"/>
                <w:sz w:val="40"/>
              </w:rPr>
              <w:t>E</w:t>
            </w:r>
            <w:r w:rsidRPr="005253A3">
              <w:rPr>
                <w:spacing w:val="0"/>
                <w:w w:val="100"/>
                <w:kern w:val="0"/>
              </w:rPr>
              <w:t>/ECE/324/Rev.1/Add.18/Rev.7/Amend.4</w:t>
            </w:r>
            <w:r w:rsidRPr="005253A3">
              <w:rPr>
                <w:rFonts w:cs="Times New Roman"/>
                <w:spacing w:val="0"/>
                <w:w w:val="100"/>
                <w:kern w:val="0"/>
              </w:rPr>
              <w:t>−</w:t>
            </w:r>
            <w:r w:rsidRPr="005253A3">
              <w:rPr>
                <w:spacing w:val="0"/>
                <w:w w:val="100"/>
                <w:kern w:val="0"/>
                <w:sz w:val="40"/>
              </w:rPr>
              <w:t>E</w:t>
            </w:r>
            <w:r w:rsidRPr="005253A3">
              <w:rPr>
                <w:spacing w:val="0"/>
                <w:w w:val="100"/>
                <w:kern w:val="0"/>
              </w:rPr>
              <w:t>/ECE/TRANS/505/Rev.1/Add.18/Rev.7/Amend.4</w:t>
            </w:r>
          </w:p>
        </w:tc>
      </w:tr>
      <w:tr w:rsidR="002D5AAC" w:rsidRPr="005253A3" w:rsidTr="005253A3">
        <w:trPr>
          <w:trHeight w:hRule="exact" w:val="241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253A3" w:rsidRDefault="002D5AAC" w:rsidP="005253A3">
            <w:pPr>
              <w:suppressAutoHyphens/>
              <w:spacing w:before="120"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253A3" w:rsidRDefault="002D5AAC" w:rsidP="005253A3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253A3" w:rsidRDefault="002D5AAC" w:rsidP="005253A3">
            <w:pPr>
              <w:suppressAutoHyphens/>
              <w:spacing w:before="24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5253A3" w:rsidRPr="005253A3" w:rsidRDefault="005253A3" w:rsidP="005253A3">
            <w:pPr>
              <w:suppressAutoHyphens/>
              <w:spacing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  <w:r w:rsidRPr="005253A3">
              <w:rPr>
                <w:spacing w:val="0"/>
                <w:w w:val="100"/>
                <w:kern w:val="0"/>
                <w:szCs w:val="20"/>
                <w:lang w:val="en-US"/>
              </w:rPr>
              <w:t>5 December 2017</w:t>
            </w:r>
          </w:p>
          <w:p w:rsidR="005253A3" w:rsidRPr="005253A3" w:rsidRDefault="005253A3" w:rsidP="005253A3">
            <w:pPr>
              <w:suppressAutoHyphens/>
              <w:spacing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</w:tc>
      </w:tr>
    </w:tbl>
    <w:p w:rsidR="005253A3" w:rsidRPr="005253A3" w:rsidRDefault="005253A3" w:rsidP="005253A3">
      <w:pPr>
        <w:pStyle w:val="HChGR"/>
        <w:spacing w:before="320" w:after="220" w:line="290" w:lineRule="exac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>Соглашение</w:t>
      </w:r>
    </w:p>
    <w:p w:rsidR="005253A3" w:rsidRPr="005253A3" w:rsidRDefault="005253A3" w:rsidP="005253A3">
      <w:pPr>
        <w:pStyle w:val="H1GR"/>
        <w:spacing w:before="320" w:after="220" w:line="260" w:lineRule="exac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253A3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5253A3" w:rsidRPr="005253A3" w:rsidRDefault="005253A3" w:rsidP="002528A0">
      <w:pPr>
        <w:pStyle w:val="SingleTxtGR"/>
        <w:suppressAutoHyphens/>
        <w:spacing w:line="220" w:lineRule="atLeas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5253A3" w:rsidRPr="005253A3" w:rsidRDefault="005253A3" w:rsidP="002528A0">
      <w:pPr>
        <w:pStyle w:val="SingleTxtGR"/>
        <w:suppressAutoHyphens/>
        <w:spacing w:before="120" w:after="0"/>
        <w:jc w:val="center"/>
        <w:rPr>
          <w:spacing w:val="0"/>
          <w:w w:val="100"/>
          <w:kern w:val="0"/>
          <w:u w:val="single"/>
        </w:rPr>
      </w:pPr>
      <w:r w:rsidRPr="005253A3">
        <w:rPr>
          <w:spacing w:val="0"/>
          <w:w w:val="100"/>
          <w:kern w:val="0"/>
          <w:u w:val="single"/>
        </w:rPr>
        <w:tab/>
      </w:r>
      <w:r w:rsidRPr="005253A3">
        <w:rPr>
          <w:spacing w:val="0"/>
          <w:w w:val="100"/>
          <w:kern w:val="0"/>
          <w:u w:val="single"/>
        </w:rPr>
        <w:tab/>
      </w:r>
      <w:r w:rsidRPr="005253A3">
        <w:rPr>
          <w:spacing w:val="0"/>
          <w:w w:val="100"/>
          <w:kern w:val="0"/>
          <w:u w:val="single"/>
        </w:rPr>
        <w:tab/>
      </w:r>
    </w:p>
    <w:p w:rsidR="005253A3" w:rsidRPr="005253A3" w:rsidRDefault="005253A3" w:rsidP="002528A0">
      <w:pPr>
        <w:pStyle w:val="H1GR"/>
        <w:spacing w:before="320" w:after="220" w:line="260" w:lineRule="exac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>Добавление 18 – Правила № 19 ООН</w:t>
      </w:r>
    </w:p>
    <w:p w:rsidR="005253A3" w:rsidRPr="005253A3" w:rsidRDefault="005253A3" w:rsidP="002528A0">
      <w:pPr>
        <w:pStyle w:val="H1GR"/>
        <w:spacing w:before="320" w:after="220" w:line="260" w:lineRule="exac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>Пересмотр 7 – Поправка 4</w:t>
      </w:r>
    </w:p>
    <w:p w:rsidR="005253A3" w:rsidRPr="005253A3" w:rsidRDefault="005253A3" w:rsidP="002528A0">
      <w:pPr>
        <w:pStyle w:val="SingleTxtGR"/>
        <w:suppressAutoHyphens/>
        <w:spacing w:line="220" w:lineRule="atLeas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 xml:space="preserve">Дополнение 9 к поправкам серии 04 − Дата вступления в силу: 10 октября 2017 года </w:t>
      </w:r>
    </w:p>
    <w:p w:rsidR="005253A3" w:rsidRPr="005253A3" w:rsidRDefault="005253A3" w:rsidP="002528A0">
      <w:pPr>
        <w:pStyle w:val="H1GR"/>
        <w:spacing w:before="320" w:after="220" w:line="260" w:lineRule="exac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>Единообразные предписания, касающиеся официального утверждения передних противотуманных фар механических транспортных средств</w:t>
      </w:r>
    </w:p>
    <w:p w:rsidR="005253A3" w:rsidRPr="005253A3" w:rsidRDefault="005253A3" w:rsidP="002528A0">
      <w:pPr>
        <w:pStyle w:val="SingleTxtGR"/>
        <w:suppressAutoHyphens/>
        <w:spacing w:line="220" w:lineRule="atLeast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ECE/TRANS/WP.29/2017/23 (1622387). </w:t>
      </w:r>
    </w:p>
    <w:p w:rsidR="005253A3" w:rsidRPr="005253A3" w:rsidRDefault="005253A3" w:rsidP="005253A3">
      <w:pPr>
        <w:pStyle w:val="SingleTxtGR"/>
        <w:spacing w:before="120"/>
        <w:jc w:val="center"/>
        <w:rPr>
          <w:spacing w:val="0"/>
          <w:w w:val="100"/>
          <w:kern w:val="0"/>
          <w:u w:val="single"/>
        </w:rPr>
      </w:pPr>
      <w:r w:rsidRPr="005253A3">
        <w:rPr>
          <w:spacing w:val="0"/>
          <w:w w:val="100"/>
          <w:kern w:val="0"/>
          <w:u w:val="single"/>
        </w:rPr>
        <w:tab/>
      </w:r>
      <w:r w:rsidRPr="005253A3">
        <w:rPr>
          <w:spacing w:val="0"/>
          <w:w w:val="100"/>
          <w:kern w:val="0"/>
          <w:u w:val="single"/>
        </w:rPr>
        <w:tab/>
      </w:r>
      <w:r w:rsidRPr="005253A3">
        <w:rPr>
          <w:spacing w:val="0"/>
          <w:w w:val="100"/>
          <w:kern w:val="0"/>
          <w:u w:val="single"/>
        </w:rPr>
        <w:tab/>
      </w:r>
    </w:p>
    <w:p w:rsidR="005253A3" w:rsidRPr="005253A3" w:rsidRDefault="005253A3" w:rsidP="005253A3">
      <w:pPr>
        <w:pStyle w:val="SingleTxtGR"/>
        <w:jc w:val="center"/>
        <w:rPr>
          <w:spacing w:val="0"/>
          <w:w w:val="100"/>
          <w:kern w:val="0"/>
        </w:rPr>
      </w:pPr>
      <w:r w:rsidRPr="005253A3">
        <w:rPr>
          <w:b/>
          <w:noProof/>
          <w:spacing w:val="0"/>
          <w:kern w:val="0"/>
          <w:sz w:val="24"/>
          <w:lang w:eastAsia="ru-RU"/>
        </w:rPr>
        <w:drawing>
          <wp:inline distT="0" distB="0" distL="0" distR="0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3A3" w:rsidRPr="005253A3" w:rsidRDefault="005253A3" w:rsidP="005253A3">
      <w:pPr>
        <w:pStyle w:val="SingleTxtGR"/>
        <w:spacing w:line="220" w:lineRule="atLeast"/>
        <w:jc w:val="center"/>
        <w:rPr>
          <w:spacing w:val="0"/>
          <w:w w:val="100"/>
          <w:kern w:val="0"/>
        </w:rPr>
      </w:pPr>
      <w:r w:rsidRPr="005253A3">
        <w:rPr>
          <w:b/>
          <w:spacing w:val="0"/>
          <w:w w:val="100"/>
          <w:kern w:val="0"/>
        </w:rPr>
        <w:lastRenderedPageBreak/>
        <w:t>ОРГАНИЗАЦИЯ ОБЪЕДИНЕННЫХ НАЦИЙ</w:t>
      </w:r>
      <w:r w:rsidRPr="005253A3">
        <w:rPr>
          <w:spacing w:val="0"/>
          <w:w w:val="100"/>
          <w:kern w:val="0"/>
        </w:rPr>
        <w:br w:type="page"/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lastRenderedPageBreak/>
        <w:t xml:space="preserve">Пункт 1.4.1 </w:t>
      </w:r>
      <w:r w:rsidRPr="005253A3">
        <w:rPr>
          <w:spacing w:val="0"/>
          <w:w w:val="100"/>
          <w:kern w:val="0"/>
        </w:rPr>
        <w:t>изменить</w:t>
      </w:r>
      <w:r w:rsidRPr="005253A3">
        <w:rPr>
          <w:i/>
          <w:spacing w:val="0"/>
          <w:w w:val="100"/>
          <w:kern w:val="0"/>
        </w:rPr>
        <w:t xml:space="preserve"> </w:t>
      </w:r>
      <w:r w:rsidRPr="005253A3">
        <w:rPr>
          <w:spacing w:val="0"/>
          <w:w w:val="100"/>
          <w:kern w:val="0"/>
        </w:rPr>
        <w:t>следующим образом:</w:t>
      </w:r>
    </w:p>
    <w:p w:rsidR="005253A3" w:rsidRPr="005253A3" w:rsidRDefault="002528A0" w:rsidP="002528A0">
      <w:pPr>
        <w:pStyle w:val="SingleTxtGR"/>
        <w:suppressAutoHyphens/>
        <w:rPr>
          <w:iCs/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1.4.1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торговое наименование или товарный знак</w:t>
      </w:r>
      <w:r w:rsidR="005253A3" w:rsidRPr="005253A3">
        <w:rPr>
          <w:iCs/>
          <w:spacing w:val="0"/>
          <w:w w:val="100"/>
          <w:kern w:val="0"/>
        </w:rPr>
        <w:t>:</w:t>
      </w:r>
    </w:p>
    <w:p w:rsidR="005253A3" w:rsidRPr="005253A3" w:rsidRDefault="005253A3" w:rsidP="00AC3FAC">
      <w:pPr>
        <w:pStyle w:val="SingleTxtGR"/>
        <w:suppressAutoHyphens/>
        <w:ind w:left="2835" w:hanging="1701"/>
        <w:rPr>
          <w:iCs/>
          <w:spacing w:val="0"/>
          <w:w w:val="100"/>
          <w:kern w:val="0"/>
        </w:rPr>
      </w:pPr>
      <w:r w:rsidRPr="005253A3">
        <w:rPr>
          <w:iCs/>
          <w:spacing w:val="0"/>
          <w:w w:val="100"/>
          <w:kern w:val="0"/>
        </w:rPr>
        <w:tab/>
      </w:r>
      <w:r w:rsidR="00AC3FAC">
        <w:rPr>
          <w:iCs/>
          <w:spacing w:val="0"/>
          <w:w w:val="100"/>
          <w:kern w:val="0"/>
        </w:rPr>
        <w:tab/>
      </w:r>
      <w:r w:rsidRPr="005253A3">
        <w:rPr>
          <w:iCs/>
          <w:spacing w:val="0"/>
          <w:w w:val="100"/>
          <w:kern w:val="0"/>
          <w:lang w:val="en-US"/>
        </w:rPr>
        <w:t>a</w:t>
      </w:r>
      <w:r w:rsidRPr="005253A3">
        <w:rPr>
          <w:iCs/>
          <w:spacing w:val="0"/>
          <w:w w:val="100"/>
          <w:kern w:val="0"/>
        </w:rPr>
        <w:t>)</w:t>
      </w:r>
      <w:r w:rsidRPr="005253A3">
        <w:rPr>
          <w:iCs/>
          <w:spacing w:val="0"/>
          <w:w w:val="100"/>
          <w:kern w:val="0"/>
        </w:rPr>
        <w:tab/>
        <w:t>фары, имеющие одно и то же торговое наименование или товарный знак, но произведенные различными изготовителями, рассматриваются в качестве фар различных типов</w:t>
      </w:r>
      <w:r w:rsidRPr="005253A3">
        <w:rPr>
          <w:bCs/>
          <w:iCs/>
          <w:spacing w:val="0"/>
          <w:w w:val="100"/>
          <w:kern w:val="0"/>
        </w:rPr>
        <w:t>;</w:t>
      </w:r>
    </w:p>
    <w:p w:rsidR="005253A3" w:rsidRPr="005253A3" w:rsidRDefault="005253A3" w:rsidP="00AC3FAC">
      <w:pPr>
        <w:pStyle w:val="SingleTxtGR"/>
        <w:suppressAutoHyphens/>
        <w:ind w:left="2835" w:hanging="1701"/>
        <w:rPr>
          <w:iCs/>
          <w:spacing w:val="0"/>
          <w:w w:val="100"/>
          <w:kern w:val="0"/>
        </w:rPr>
      </w:pPr>
      <w:r w:rsidRPr="005253A3">
        <w:rPr>
          <w:bCs/>
          <w:iCs/>
          <w:spacing w:val="0"/>
          <w:w w:val="100"/>
          <w:kern w:val="0"/>
        </w:rPr>
        <w:tab/>
      </w:r>
      <w:r w:rsidR="00AC3FAC">
        <w:rPr>
          <w:bCs/>
          <w:iCs/>
          <w:spacing w:val="0"/>
          <w:w w:val="100"/>
          <w:kern w:val="0"/>
        </w:rPr>
        <w:tab/>
      </w:r>
      <w:r w:rsidRPr="005253A3">
        <w:rPr>
          <w:bCs/>
          <w:iCs/>
          <w:spacing w:val="0"/>
          <w:w w:val="100"/>
          <w:kern w:val="0"/>
          <w:lang w:val="en-US"/>
        </w:rPr>
        <w:t>b</w:t>
      </w:r>
      <w:r w:rsidRPr="005253A3">
        <w:rPr>
          <w:bCs/>
          <w:iCs/>
          <w:spacing w:val="0"/>
          <w:w w:val="100"/>
          <w:kern w:val="0"/>
        </w:rPr>
        <w:t>)</w:t>
      </w:r>
      <w:r w:rsidRPr="005253A3">
        <w:rPr>
          <w:bCs/>
          <w:iCs/>
          <w:spacing w:val="0"/>
          <w:w w:val="100"/>
          <w:kern w:val="0"/>
        </w:rPr>
        <w:tab/>
      </w:r>
      <w:r w:rsidRPr="005253A3">
        <w:rPr>
          <w:iCs/>
          <w:spacing w:val="0"/>
          <w:w w:val="100"/>
          <w:kern w:val="0"/>
        </w:rPr>
        <w:t>фары, произведенные одним и тем же изготовителем, отличающиеся только торговым наименованием или товарным знаком, рассматриваются в качестве фар одного типа</w:t>
      </w:r>
      <w:r w:rsidR="002528A0">
        <w:rPr>
          <w:iCs/>
          <w:spacing w:val="0"/>
          <w:w w:val="100"/>
          <w:kern w:val="0"/>
        </w:rPr>
        <w:t>»</w:t>
      </w:r>
      <w:r w:rsidRPr="005253A3">
        <w:rPr>
          <w:iCs/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AC3FAC">
        <w:rPr>
          <w:i/>
          <w:spacing w:val="0"/>
          <w:w w:val="100"/>
          <w:kern w:val="0"/>
        </w:rPr>
        <w:t xml:space="preserve">Включить </w:t>
      </w:r>
      <w:r w:rsidRPr="005253A3">
        <w:rPr>
          <w:i/>
          <w:spacing w:val="0"/>
          <w:w w:val="100"/>
          <w:kern w:val="0"/>
        </w:rPr>
        <w:t xml:space="preserve">новый пункт 2.2.6 </w:t>
      </w:r>
      <w:r w:rsidRPr="005253A3">
        <w:rPr>
          <w:spacing w:val="0"/>
          <w:w w:val="100"/>
          <w:kern w:val="0"/>
        </w:rPr>
        <w:t>следующего содержания:</w:t>
      </w:r>
    </w:p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2.2.6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 xml:space="preserve">Если речь идет о типе фары,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2.2.6.1</w:t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 xml:space="preserve">заявление изготовителя фары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2.2.6.2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два образца с новым торговым наименованием или товарным знаком либо соответствующие документы</w:t>
      </w:r>
      <w:r w:rsidR="002528A0">
        <w:rPr>
          <w:spacing w:val="0"/>
          <w:w w:val="100"/>
          <w:kern w:val="0"/>
        </w:rPr>
        <w:t>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3.1 </w:t>
      </w:r>
      <w:r w:rsidRPr="005253A3">
        <w:rPr>
          <w:spacing w:val="0"/>
          <w:w w:val="100"/>
          <w:kern w:val="0"/>
        </w:rPr>
        <w:t>изменить</w:t>
      </w:r>
      <w:r w:rsidRPr="005253A3">
        <w:rPr>
          <w:i/>
          <w:spacing w:val="0"/>
          <w:w w:val="100"/>
          <w:kern w:val="0"/>
        </w:rPr>
        <w:t xml:space="preserve"> </w:t>
      </w:r>
      <w:r w:rsidRPr="005253A3">
        <w:rPr>
          <w:spacing w:val="0"/>
          <w:w w:val="100"/>
          <w:kern w:val="0"/>
        </w:rPr>
        <w:t>следующим образом:</w:t>
      </w:r>
    </w:p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3.1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На передние противотуманные фары, представляемые на официальное утверждение, наносят следующие четкие, разборчивые и нестираемые обозначения:</w:t>
      </w:r>
    </w:p>
    <w:p w:rsidR="005253A3" w:rsidRPr="005253A3" w:rsidRDefault="005253A3" w:rsidP="002528A0">
      <w:pPr>
        <w:pStyle w:val="SingleTxtGR"/>
        <w:suppressAutoHyphens/>
        <w:rPr>
          <w:b/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GB"/>
        </w:rPr>
        <w:t>a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торговое наименование или товарный знак…</w:t>
      </w:r>
      <w:r w:rsidR="002528A0">
        <w:rPr>
          <w:spacing w:val="0"/>
          <w:w w:val="100"/>
          <w:kern w:val="0"/>
        </w:rPr>
        <w:t>»</w:t>
      </w:r>
    </w:p>
    <w:p w:rsidR="005253A3" w:rsidRPr="005253A3" w:rsidRDefault="005253A3" w:rsidP="002528A0">
      <w:pPr>
        <w:pStyle w:val="SingleTxtGR"/>
        <w:suppressAutoHyphens/>
        <w:rPr>
          <w:iCs/>
          <w:spacing w:val="0"/>
          <w:w w:val="100"/>
          <w:kern w:val="0"/>
        </w:rPr>
      </w:pPr>
      <w:r w:rsidRPr="005253A3">
        <w:rPr>
          <w:i/>
          <w:iCs/>
          <w:spacing w:val="0"/>
          <w:w w:val="100"/>
          <w:kern w:val="0"/>
        </w:rPr>
        <w:t xml:space="preserve">Пункт 5 </w:t>
      </w:r>
      <w:r w:rsidRPr="005253A3">
        <w:rPr>
          <w:iCs/>
          <w:spacing w:val="0"/>
          <w:w w:val="100"/>
          <w:kern w:val="0"/>
        </w:rPr>
        <w:t>изменить следующим образом</w:t>
      </w:r>
      <w:r w:rsidRPr="005253A3">
        <w:rPr>
          <w:spacing w:val="0"/>
          <w:w w:val="100"/>
          <w:kern w:val="0"/>
        </w:rPr>
        <w:t>:</w:t>
      </w:r>
    </w:p>
    <w:p w:rsidR="005253A3" w:rsidRPr="005253A3" w:rsidRDefault="002528A0" w:rsidP="002528A0">
      <w:pPr>
        <w:pStyle w:val="HChGR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2528A0">
        <w:rPr>
          <w:b w:val="0"/>
          <w:w w:val="100"/>
          <w:sz w:val="20"/>
        </w:rPr>
        <w:t>«</w:t>
      </w:r>
      <w:r w:rsidR="005253A3" w:rsidRPr="005253A3">
        <w:rPr>
          <w:w w:val="100"/>
        </w:rPr>
        <w:t>5.</w:t>
      </w:r>
      <w:r w:rsidR="005253A3" w:rsidRPr="005253A3">
        <w:rPr>
          <w:w w:val="100"/>
        </w:rPr>
        <w:tab/>
      </w:r>
      <w:r>
        <w:rPr>
          <w:w w:val="100"/>
        </w:rPr>
        <w:tab/>
      </w:r>
      <w:r w:rsidR="005253A3" w:rsidRPr="005253A3">
        <w:rPr>
          <w:w w:val="100"/>
        </w:rPr>
        <w:t>Общие технические требования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ООН № 48, 53 или 86 и сериях поправок к ним, действующих на момент подачи заявки на официальное утверждение типа фары.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Если возможно проведение проверки фары в момент официального утверждения ее типа, то применяют требования, касающиеся каждой фары и категории/й транспортных средств, для использования на которых предназначена данная фара.</w:t>
      </w:r>
    </w:p>
    <w:p w:rsidR="005253A3" w:rsidRPr="00AC3FAC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5.1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="00AC3FAC">
        <w:rPr>
          <w:spacing w:val="0"/>
          <w:w w:val="100"/>
          <w:kern w:val="0"/>
        </w:rPr>
        <w:t>…»</w:t>
      </w:r>
    </w:p>
    <w:p w:rsidR="005253A3" w:rsidRPr="005253A3" w:rsidRDefault="005253A3" w:rsidP="002528A0">
      <w:pPr>
        <w:pStyle w:val="SingleTxtGR"/>
        <w:suppressAutoHyphens/>
        <w:rPr>
          <w:bCs/>
          <w:i/>
          <w:iCs/>
          <w:spacing w:val="0"/>
          <w:w w:val="100"/>
          <w:kern w:val="0"/>
        </w:rPr>
      </w:pPr>
      <w:r w:rsidRPr="005253A3">
        <w:rPr>
          <w:bCs/>
          <w:i/>
          <w:iCs/>
          <w:spacing w:val="0"/>
          <w:w w:val="100"/>
          <w:kern w:val="0"/>
        </w:rPr>
        <w:t xml:space="preserve">Пункт 10.1 </w:t>
      </w:r>
      <w:r w:rsidRPr="005253A3">
        <w:rPr>
          <w:bCs/>
          <w:iCs/>
          <w:spacing w:val="0"/>
          <w:w w:val="100"/>
          <w:kern w:val="0"/>
        </w:rPr>
        <w:t>изменить</w:t>
      </w:r>
      <w:r w:rsidRPr="005253A3">
        <w:rPr>
          <w:bCs/>
          <w:i/>
          <w:iCs/>
          <w:spacing w:val="0"/>
          <w:w w:val="100"/>
          <w:kern w:val="0"/>
        </w:rPr>
        <w:t xml:space="preserve"> </w:t>
      </w:r>
      <w:r w:rsidRPr="005253A3">
        <w:rPr>
          <w:bCs/>
          <w:iCs/>
          <w:spacing w:val="0"/>
          <w:w w:val="100"/>
          <w:kern w:val="0"/>
        </w:rPr>
        <w:t>следующим образом:</w:t>
      </w:r>
    </w:p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10.1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 xml:space="preserve">Передние противотуманные фары изготавливаются таким образом, чтобы они соответствовали типу, официально утвержденному на основании настоящих Правил. 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Проверка соответствия предписаниям, изложенным в пунктах 6 и 7 выше, производится следующим образом: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10.1.1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Должны соблюдаться минимальные предписания в отношении процедур контроля за обеспечением соответствия производства (СП), изложенные в приложении 7 к настоящим Правилам.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lastRenderedPageBreak/>
        <w:t>10.1.2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Должны соблюдаться минимальные предписания в отношении отбора образцов, производимого инспектором, изложенные в пр</w:t>
      </w:r>
      <w:r w:rsidR="002528A0">
        <w:rPr>
          <w:spacing w:val="0"/>
          <w:w w:val="100"/>
          <w:kern w:val="0"/>
        </w:rPr>
        <w:t>иложении 8 к настоящим Правилам»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2528A0" w:rsidP="002528A0">
      <w:pPr>
        <w:pStyle w:val="SingleTxtGR"/>
        <w:suppressAutoHyphens/>
        <w:rPr>
          <w:i/>
          <w:spacing w:val="0"/>
          <w:w w:val="100"/>
          <w:kern w:val="0"/>
        </w:rPr>
      </w:pPr>
      <w:r>
        <w:rPr>
          <w:i/>
          <w:spacing w:val="0"/>
          <w:w w:val="100"/>
          <w:kern w:val="0"/>
        </w:rPr>
        <w:t>Приложение 1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10.4 </w:t>
      </w:r>
      <w:r w:rsidRPr="005253A3">
        <w:rPr>
          <w:spacing w:val="0"/>
          <w:w w:val="100"/>
          <w:kern w:val="0"/>
        </w:rPr>
        <w:t>исключить.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>Пункты 10.5−10.10</w:t>
      </w:r>
      <w:r w:rsidRPr="002528A0">
        <w:rPr>
          <w:spacing w:val="0"/>
          <w:w w:val="100"/>
          <w:kern w:val="0"/>
        </w:rPr>
        <w:t>,</w:t>
      </w:r>
      <w:r w:rsidRPr="005253A3">
        <w:rPr>
          <w:i/>
          <w:spacing w:val="0"/>
          <w:w w:val="100"/>
          <w:kern w:val="0"/>
        </w:rPr>
        <w:t xml:space="preserve"> </w:t>
      </w:r>
      <w:r w:rsidRPr="005253A3">
        <w:rPr>
          <w:spacing w:val="0"/>
          <w:w w:val="100"/>
          <w:kern w:val="0"/>
        </w:rPr>
        <w:t>изменить нумерацию на 10.4−10.9.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10.4 (новый)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tabs>
          <w:tab w:val="right" w:leader="dot" w:pos="8505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10.4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Конкретный идентификационный код модуля СИД</w:t>
      </w:r>
      <w:r>
        <w:rPr>
          <w:spacing w:val="0"/>
          <w:w w:val="100"/>
          <w:kern w:val="0"/>
        </w:rPr>
        <w:t xml:space="preserve">: </w:t>
      </w:r>
      <w:r>
        <w:rPr>
          <w:spacing w:val="0"/>
          <w:w w:val="100"/>
          <w:kern w:val="0"/>
        </w:rPr>
        <w:tab/>
        <w:t>»</w:t>
      </w:r>
    </w:p>
    <w:p w:rsidR="005253A3" w:rsidRPr="005253A3" w:rsidRDefault="005253A3" w:rsidP="002528A0">
      <w:pPr>
        <w:pStyle w:val="SingleTxtGR"/>
        <w:suppressAutoHyphens/>
        <w:rPr>
          <w:bCs/>
          <w:i/>
          <w:spacing w:val="0"/>
          <w:w w:val="100"/>
          <w:kern w:val="0"/>
        </w:rPr>
      </w:pPr>
      <w:bookmarkStart w:id="1" w:name="OLE_LINK5"/>
      <w:bookmarkStart w:id="2" w:name="OLE_LINK6"/>
      <w:r w:rsidRPr="005253A3">
        <w:rPr>
          <w:bCs/>
          <w:i/>
          <w:spacing w:val="0"/>
          <w:w w:val="100"/>
          <w:kern w:val="0"/>
        </w:rPr>
        <w:t xml:space="preserve">Приложение 5 </w:t>
      </w:r>
    </w:p>
    <w:p w:rsidR="005253A3" w:rsidRPr="005253A3" w:rsidRDefault="005253A3" w:rsidP="002528A0">
      <w:pPr>
        <w:pStyle w:val="SingleTxtGR"/>
        <w:suppressAutoHyphens/>
        <w:rPr>
          <w:bCs/>
          <w:i/>
          <w:spacing w:val="0"/>
          <w:w w:val="100"/>
          <w:kern w:val="0"/>
        </w:rPr>
      </w:pPr>
      <w:r w:rsidRPr="005253A3">
        <w:rPr>
          <w:bCs/>
          <w:i/>
          <w:spacing w:val="0"/>
          <w:w w:val="100"/>
          <w:kern w:val="0"/>
        </w:rPr>
        <w:t xml:space="preserve">Пункт 1.2.1.1.1, подпункт </w:t>
      </w:r>
      <w:r w:rsidRPr="005253A3">
        <w:rPr>
          <w:bCs/>
          <w:i/>
          <w:spacing w:val="0"/>
          <w:w w:val="100"/>
          <w:kern w:val="0"/>
          <w:lang w:val="en-US"/>
        </w:rPr>
        <w:t>e</w:t>
      </w:r>
      <w:r w:rsidRPr="005253A3">
        <w:rPr>
          <w:bCs/>
          <w:i/>
          <w:spacing w:val="0"/>
          <w:w w:val="100"/>
          <w:kern w:val="0"/>
        </w:rPr>
        <w:t xml:space="preserve">) </w:t>
      </w:r>
      <w:r w:rsidRPr="005253A3">
        <w:rPr>
          <w:bCs/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1.2.1.1.1</w:t>
      </w:r>
      <w:r w:rsidR="005253A3" w:rsidRPr="005253A3">
        <w:rPr>
          <w:spacing w:val="0"/>
          <w:w w:val="100"/>
          <w:kern w:val="0"/>
        </w:rPr>
        <w:tab/>
        <w:t>…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e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 xml:space="preserve">соответствующего количества дистиллированной воды, проводимость которой 1 </w:t>
      </w:r>
      <w:r w:rsidRPr="005253A3">
        <w:rPr>
          <w:spacing w:val="0"/>
          <w:w w:val="100"/>
          <w:kern w:val="0"/>
          <w:lang w:val="fr-CH"/>
        </w:rPr>
        <w:sym w:font="Symbol" w:char="F0A3"/>
      </w:r>
      <w:r w:rsidRPr="005253A3">
        <w:rPr>
          <w:spacing w:val="0"/>
          <w:w w:val="100"/>
          <w:kern w:val="0"/>
        </w:rPr>
        <w:t xml:space="preserve"> мСм/м.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  <w:t>…»</w:t>
      </w:r>
    </w:p>
    <w:p w:rsidR="005253A3" w:rsidRPr="005253A3" w:rsidRDefault="005253A3" w:rsidP="002528A0">
      <w:pPr>
        <w:pStyle w:val="SingleTxtGR"/>
        <w:suppressAutoHyphens/>
        <w:rPr>
          <w:b/>
          <w:spacing w:val="0"/>
          <w:w w:val="100"/>
          <w:kern w:val="0"/>
        </w:rPr>
      </w:pPr>
      <w:r w:rsidRPr="005253A3">
        <w:rPr>
          <w:bCs/>
          <w:i/>
          <w:spacing w:val="0"/>
          <w:w w:val="100"/>
          <w:kern w:val="0"/>
        </w:rPr>
        <w:t xml:space="preserve">Пункт 1.2.1.1.2 </w:t>
      </w:r>
      <w:r w:rsidRPr="005253A3">
        <w:rPr>
          <w:bCs/>
          <w:spacing w:val="0"/>
          <w:w w:val="100"/>
          <w:kern w:val="0"/>
        </w:rPr>
        <w:t>изменить следующим образом:</w:t>
      </w:r>
    </w:p>
    <w:bookmarkEnd w:id="1"/>
    <w:bookmarkEnd w:id="2"/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1.2.1.1.2</w:t>
      </w:r>
      <w:r w:rsidR="005253A3" w:rsidRPr="005253A3">
        <w:rPr>
          <w:spacing w:val="0"/>
          <w:w w:val="100"/>
          <w:kern w:val="0"/>
        </w:rPr>
        <w:tab/>
        <w:t>Для передней противотуманной фары с внешним рассеивателем из пластического материала: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смесь воды и загрязняющего вещества, наносимая на переднюю противотуманную фару, состоит из: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a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9 частей по весу силикатного песка, размер частиц которого составляет 0−100 мкм,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b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c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 xml:space="preserve">0,2 части по весу </w:t>
      </w:r>
      <w:r w:rsidRPr="005253A3">
        <w:rPr>
          <w:spacing w:val="0"/>
          <w:w w:val="100"/>
          <w:kern w:val="0"/>
          <w:lang w:val="en-US"/>
        </w:rPr>
        <w:t>NaCMC</w:t>
      </w:r>
      <w:r w:rsidRPr="005253A3">
        <w:rPr>
          <w:spacing w:val="0"/>
          <w:w w:val="100"/>
          <w:kern w:val="0"/>
          <w:vertAlign w:val="superscript"/>
        </w:rPr>
        <w:t>4</w:t>
      </w:r>
      <w:r w:rsidRPr="005253A3">
        <w:rPr>
          <w:spacing w:val="0"/>
          <w:w w:val="100"/>
          <w:kern w:val="0"/>
        </w:rPr>
        <w:t>,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d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5 частей по весу хлористого натрия (чистотой 99%),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e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 xml:space="preserve">13 частей по весу дистиллированной воды, проводимость которой </w:t>
      </w:r>
      <w:r w:rsidRPr="005253A3">
        <w:rPr>
          <w:spacing w:val="0"/>
          <w:w w:val="100"/>
          <w:kern w:val="0"/>
          <w:lang w:val="fr-CH"/>
        </w:rPr>
        <w:sym w:font="Symbol" w:char="F0A3"/>
      </w:r>
      <w:r w:rsidRPr="005253A3">
        <w:rPr>
          <w:spacing w:val="0"/>
          <w:w w:val="100"/>
          <w:kern w:val="0"/>
          <w:lang w:val="en-US"/>
        </w:rPr>
        <w:t> </w:t>
      </w:r>
      <w:r w:rsidRPr="005253A3">
        <w:rPr>
          <w:spacing w:val="0"/>
          <w:w w:val="100"/>
          <w:kern w:val="0"/>
        </w:rPr>
        <w:t>1</w:t>
      </w:r>
      <w:r w:rsidRPr="005253A3">
        <w:rPr>
          <w:spacing w:val="0"/>
          <w:w w:val="100"/>
          <w:kern w:val="0"/>
          <w:lang w:val="en-US"/>
        </w:rPr>
        <w:t> </w:t>
      </w:r>
      <w:r w:rsidRPr="005253A3">
        <w:rPr>
          <w:spacing w:val="0"/>
          <w:w w:val="100"/>
          <w:kern w:val="0"/>
        </w:rPr>
        <w:t xml:space="preserve">мС/м, 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US"/>
        </w:rPr>
        <w:t>f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2±1 части по весу поверхностно-активного вещества</w:t>
      </w:r>
      <w:r w:rsidRPr="005253A3">
        <w:rPr>
          <w:spacing w:val="0"/>
          <w:w w:val="100"/>
          <w:kern w:val="0"/>
          <w:vertAlign w:val="superscript"/>
        </w:rPr>
        <w:t>5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Вышеуказанная смесь должна быть готова не ранее чем за 14 дней до испытания</w:t>
      </w:r>
      <w:r w:rsidR="002528A0">
        <w:rPr>
          <w:spacing w:val="0"/>
          <w:w w:val="100"/>
          <w:kern w:val="0"/>
        </w:rPr>
        <w:t>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b/>
          <w:spacing w:val="0"/>
          <w:w w:val="100"/>
          <w:kern w:val="0"/>
        </w:rPr>
      </w:pPr>
      <w:r w:rsidRPr="005253A3">
        <w:rPr>
          <w:bCs/>
          <w:i/>
          <w:spacing w:val="0"/>
          <w:w w:val="100"/>
          <w:kern w:val="0"/>
        </w:rPr>
        <w:t xml:space="preserve">Пункт 2.2.2 </w:t>
      </w:r>
      <w:r w:rsidRPr="005253A3">
        <w:rPr>
          <w:bCs/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2.2.2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Однако если это значение превышает 2 мрад, но не превышает 3 мрад (2</w:t>
      </w:r>
      <w:r w:rsidR="005253A3" w:rsidRPr="005253A3">
        <w:rPr>
          <w:spacing w:val="0"/>
          <w:w w:val="100"/>
          <w:kern w:val="0"/>
          <w:lang w:val="en-GB"/>
        </w:rPr>
        <w:t> </w:t>
      </w:r>
      <w:r w:rsidR="005253A3" w:rsidRPr="005253A3">
        <w:rPr>
          <w:spacing w:val="0"/>
          <w:w w:val="100"/>
          <w:kern w:val="0"/>
        </w:rPr>
        <w:t>мрад</w:t>
      </w:r>
      <w:r w:rsidR="005253A3" w:rsidRPr="005253A3">
        <w:rPr>
          <w:spacing w:val="0"/>
          <w:w w:val="100"/>
          <w:kern w:val="0"/>
          <w:lang w:val="en-GB"/>
        </w:rPr>
        <w:t> </w:t>
      </w:r>
      <w:r w:rsidR="005253A3" w:rsidRPr="005253A3">
        <w:rPr>
          <w:spacing w:val="0"/>
          <w:w w:val="100"/>
          <w:kern w:val="0"/>
        </w:rPr>
        <w:t>&lt;</w:t>
      </w:r>
      <w:r w:rsidR="005253A3" w:rsidRPr="005253A3">
        <w:rPr>
          <w:spacing w:val="0"/>
          <w:w w:val="100"/>
          <w:kern w:val="0"/>
          <w:lang w:val="en-GB"/>
        </w:rPr>
        <w:t> </w:t>
      </w:r>
      <w:r w:rsidR="005253A3" w:rsidRPr="005253A3">
        <w:rPr>
          <w:spacing w:val="0"/>
          <w:w w:val="100"/>
          <w:kern w:val="0"/>
        </w:rPr>
        <w:t>∆</w:t>
      </w:r>
      <w:r w:rsidR="005253A3" w:rsidRPr="005253A3">
        <w:rPr>
          <w:spacing w:val="0"/>
          <w:w w:val="100"/>
          <w:kern w:val="0"/>
          <w:lang w:val="en-GB"/>
        </w:rPr>
        <w:t>r </w:t>
      </w:r>
      <w:r w:rsidR="005253A3" w:rsidRPr="005253A3">
        <w:rPr>
          <w:spacing w:val="0"/>
          <w:w w:val="100"/>
          <w:kern w:val="0"/>
        </w:rPr>
        <w:t>≤ 3</w:t>
      </w:r>
      <w:r w:rsidR="005253A3" w:rsidRPr="005253A3">
        <w:rPr>
          <w:spacing w:val="0"/>
          <w:w w:val="100"/>
          <w:kern w:val="0"/>
          <w:lang w:val="en-GB"/>
        </w:rPr>
        <w:t> </w:t>
      </w:r>
      <w:r w:rsidR="005253A3" w:rsidRPr="005253A3">
        <w:rPr>
          <w:spacing w:val="0"/>
          <w:w w:val="100"/>
          <w:kern w:val="0"/>
        </w:rPr>
        <w:t>мрад), то проводят испытание дополнительного образца передней противотуманной фары, установленной на опоре таким образом, как ее следует устанавливать на транспортном средстве, в соответствии с предписаниями пункта 2.1 выше, после трехразового последовательного прохождения цикла, указанного ниже, для стабилизации правильного положения механических частей передней противотуманной фары: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GB"/>
        </w:rPr>
        <w:t>a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включение передней противотуманной фары на 1 час (напряжение устанавливают в соответствии с предписаниями пункта 1.1.2 настоящего приложения);</w:t>
      </w:r>
    </w:p>
    <w:p w:rsidR="005253A3" w:rsidRPr="005253A3" w:rsidRDefault="005253A3" w:rsidP="002528A0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  <w:lang w:val="en-GB"/>
        </w:rPr>
        <w:t>b</w:t>
      </w:r>
      <w:r w:rsidRPr="005253A3">
        <w:rPr>
          <w:spacing w:val="0"/>
          <w:w w:val="100"/>
          <w:kern w:val="0"/>
        </w:rPr>
        <w:t>)</w:t>
      </w:r>
      <w:r w:rsidRPr="005253A3">
        <w:rPr>
          <w:spacing w:val="0"/>
          <w:w w:val="100"/>
          <w:kern w:val="0"/>
        </w:rPr>
        <w:tab/>
        <w:t>выключение фары на 1 час</w:t>
      </w:r>
      <w:r w:rsidR="002528A0">
        <w:rPr>
          <w:spacing w:val="0"/>
          <w:w w:val="100"/>
          <w:kern w:val="0"/>
        </w:rPr>
        <w:t>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keepNext/>
        <w:suppressAutoHyphens/>
        <w:rPr>
          <w:b/>
          <w:spacing w:val="0"/>
          <w:w w:val="100"/>
          <w:kern w:val="0"/>
        </w:rPr>
      </w:pPr>
      <w:r w:rsidRPr="005253A3">
        <w:rPr>
          <w:bCs/>
          <w:i/>
          <w:spacing w:val="0"/>
          <w:w w:val="100"/>
          <w:kern w:val="0"/>
        </w:rPr>
        <w:lastRenderedPageBreak/>
        <w:t xml:space="preserve">Пункт 2.2.3 </w:t>
      </w:r>
      <w:r w:rsidRPr="005253A3">
        <w:rPr>
          <w:bCs/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2.2.3</w:t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ab/>
      </w:r>
      <w:r w:rsidR="005253A3" w:rsidRPr="005253A3">
        <w:rPr>
          <w:bCs/>
          <w:spacing w:val="0"/>
          <w:w w:val="100"/>
          <w:kern w:val="0"/>
        </w:rPr>
        <w:t xml:space="preserve">После этих трех циклов передняя противотуманная фара данного типа считается приемлемой, если абсолютные значения </w:t>
      </w:r>
      <w:r w:rsidR="005253A3" w:rsidRPr="005253A3">
        <w:rPr>
          <w:bCs/>
          <w:spacing w:val="0"/>
          <w:w w:val="100"/>
          <w:kern w:val="0"/>
          <w:lang w:val="en-US"/>
        </w:rPr>
        <w:t>Δr</w:t>
      </w:r>
      <w:r w:rsidR="005253A3" w:rsidRPr="005253A3">
        <w:rPr>
          <w:bCs/>
          <w:spacing w:val="0"/>
          <w:w w:val="100"/>
          <w:kern w:val="0"/>
        </w:rPr>
        <w:t>, измеренные в соответствии с пунктом 2.1 выше на этом дополнительном образце, отвечают требованиям пункта 2.2.1 выше</w:t>
      </w:r>
      <w:r>
        <w:rPr>
          <w:spacing w:val="0"/>
          <w:w w:val="100"/>
          <w:kern w:val="0"/>
        </w:rPr>
        <w:t>»</w:t>
      </w:r>
      <w:r w:rsidR="005253A3"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i/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Приложение 8 </w:t>
      </w:r>
    </w:p>
    <w:p w:rsidR="005253A3" w:rsidRPr="005253A3" w:rsidRDefault="005253A3" w:rsidP="002528A0">
      <w:pPr>
        <w:pStyle w:val="SingleTxtGR"/>
        <w:suppressAutoHyphens/>
        <w:rPr>
          <w:bCs/>
          <w:i/>
          <w:iCs/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Пункты 2−6 </w:t>
      </w:r>
      <w:r w:rsidRPr="005253A3">
        <w:rPr>
          <w:bCs/>
          <w:iCs/>
          <w:spacing w:val="0"/>
          <w:w w:val="100"/>
          <w:kern w:val="0"/>
        </w:rPr>
        <w:t>изменить следующим образом</w:t>
      </w:r>
      <w:r w:rsidRPr="005253A3">
        <w:rPr>
          <w:bCs/>
          <w:i/>
          <w:iCs/>
          <w:spacing w:val="0"/>
          <w:w w:val="100"/>
          <w:kern w:val="0"/>
        </w:rPr>
        <w:t>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2.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Первый отбор образцов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 ходе первого отбора образцов произвольно выбираются четыре передние противотуманные фары. Первую выборку из двух образцов обозначают буквой A, а вторую выборку из двух образцов − буквой B.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2.1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Соответствие производства серийных передних противотуманных фар считается доказанным, если отклонение любого образца из выборок</w:t>
      </w:r>
      <w:r w:rsidR="00AC3FAC">
        <w:rPr>
          <w:spacing w:val="0"/>
          <w:w w:val="100"/>
          <w:kern w:val="0"/>
        </w:rPr>
        <w:t xml:space="preserve"> A и </w:t>
      </w:r>
      <w:r w:rsidRPr="005253A3">
        <w:rPr>
          <w:spacing w:val="0"/>
          <w:w w:val="100"/>
          <w:kern w:val="0"/>
        </w:rPr>
        <w:t>B (всех четырех фар) не превышает 20%.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 том случае, если отклонение обеих фар из выборки А не превышает 0%, измерения могут быть прекращены.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2.2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Соответствие производства серийных передних противотуманных фар не считается доказанным, если отклонение по крайней мере одного образца из выборки А или В превышает 20%.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требованиями), и проводят повторный отбор образцов согласно пункту 3 ниже в течение двух месяцев после уведомления. Выборки </w:t>
      </w:r>
      <w:r w:rsidRPr="005253A3">
        <w:rPr>
          <w:spacing w:val="0"/>
          <w:w w:val="100"/>
          <w:kern w:val="0"/>
          <w:lang w:val="en-GB"/>
        </w:rPr>
        <w:t>A</w:t>
      </w:r>
      <w:r w:rsidRPr="005253A3">
        <w:rPr>
          <w:spacing w:val="0"/>
          <w:w w:val="100"/>
          <w:kern w:val="0"/>
        </w:rPr>
        <w:t xml:space="preserve"> и </w:t>
      </w:r>
      <w:r w:rsidRPr="005253A3">
        <w:rPr>
          <w:spacing w:val="0"/>
          <w:w w:val="100"/>
          <w:kern w:val="0"/>
          <w:lang w:val="en-GB"/>
        </w:rPr>
        <w:t>B</w:t>
      </w:r>
      <w:r w:rsidRPr="005253A3">
        <w:rPr>
          <w:spacing w:val="0"/>
          <w:w w:val="100"/>
          <w:kern w:val="0"/>
        </w:rPr>
        <w:t xml:space="preserve"> хранятся в технической службе до завершения всего процесса СП.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Первый повторный отбор образцов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 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Первую выборку из двух образцов обозначают буквой </w:t>
      </w:r>
      <w:r w:rsidRPr="005253A3">
        <w:rPr>
          <w:spacing w:val="0"/>
          <w:w w:val="100"/>
          <w:kern w:val="0"/>
          <w:lang w:val="en-US"/>
        </w:rPr>
        <w:t>C</w:t>
      </w:r>
      <w:r w:rsidRPr="005253A3">
        <w:rPr>
          <w:spacing w:val="0"/>
          <w:w w:val="100"/>
          <w:kern w:val="0"/>
        </w:rPr>
        <w:t>, а вторую выборку из двух образцов − буквой </w:t>
      </w:r>
      <w:r w:rsidRPr="005253A3">
        <w:rPr>
          <w:spacing w:val="0"/>
          <w:w w:val="100"/>
          <w:kern w:val="0"/>
          <w:lang w:val="en-US"/>
        </w:rPr>
        <w:t>D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Соответствие серийных передних противотуманных фар считается доказанным, если отклонение любого образца из выборок </w:t>
      </w:r>
      <w:r w:rsidRPr="005253A3">
        <w:rPr>
          <w:spacing w:val="0"/>
          <w:w w:val="100"/>
          <w:kern w:val="0"/>
          <w:lang w:val="en-US"/>
        </w:rPr>
        <w:t>C</w:t>
      </w:r>
      <w:r w:rsidRPr="005253A3">
        <w:rPr>
          <w:spacing w:val="0"/>
          <w:w w:val="100"/>
          <w:kern w:val="0"/>
        </w:rPr>
        <w:t xml:space="preserve"> и </w:t>
      </w:r>
      <w:r w:rsidRPr="005253A3">
        <w:rPr>
          <w:spacing w:val="0"/>
          <w:w w:val="100"/>
          <w:kern w:val="0"/>
          <w:lang w:val="en-US"/>
        </w:rPr>
        <w:t>D</w:t>
      </w:r>
      <w:r w:rsidRPr="005253A3">
        <w:rPr>
          <w:spacing w:val="0"/>
          <w:w w:val="100"/>
          <w:kern w:val="0"/>
        </w:rPr>
        <w:t xml:space="preserve"> (всех четырех фар) не превышает 20%.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 том случае, если отклонение обеих фар из выборки С не превышает 0%, измерения могут быть прекращены.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  <w:lang w:val="en-US"/>
        </w:rPr>
      </w:pPr>
      <w:r w:rsidRPr="005253A3">
        <w:rPr>
          <w:spacing w:val="0"/>
          <w:w w:val="100"/>
          <w:kern w:val="0"/>
        </w:rPr>
        <w:t>3.2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Соответствие производства серийных передних противотуманных фар не считается доказанным, если отклонение по крайней мере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3.2.1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одного образца из выборки </w:t>
      </w:r>
      <w:r w:rsidRPr="005253A3">
        <w:rPr>
          <w:spacing w:val="0"/>
          <w:w w:val="100"/>
          <w:kern w:val="0"/>
          <w:lang w:val="en-US"/>
        </w:rPr>
        <w:t>C</w:t>
      </w:r>
      <w:r w:rsidRPr="005253A3">
        <w:rPr>
          <w:spacing w:val="0"/>
          <w:w w:val="100"/>
          <w:kern w:val="0"/>
        </w:rPr>
        <w:t xml:space="preserve"> или </w:t>
      </w:r>
      <w:r w:rsidRPr="005253A3">
        <w:rPr>
          <w:spacing w:val="0"/>
          <w:w w:val="100"/>
          <w:kern w:val="0"/>
          <w:lang w:val="en-US"/>
        </w:rPr>
        <w:t>D</w:t>
      </w:r>
      <w:r w:rsidRPr="005253A3">
        <w:rPr>
          <w:spacing w:val="0"/>
          <w:w w:val="100"/>
          <w:kern w:val="0"/>
        </w:rPr>
        <w:t xml:space="preserve"> превышает 20%, но отклонение всех образцов из этих выборок не превышает 30%;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5253A3">
        <w:rPr>
          <w:spacing w:val="0"/>
          <w:w w:val="100"/>
          <w:kern w:val="0"/>
          <w:lang w:val="en-US"/>
        </w:rPr>
        <w:t>C</w:t>
      </w:r>
      <w:r w:rsidRPr="005253A3">
        <w:rPr>
          <w:spacing w:val="0"/>
          <w:w w:val="100"/>
          <w:kern w:val="0"/>
        </w:rPr>
        <w:t xml:space="preserve"> и </w:t>
      </w:r>
      <w:r w:rsidRPr="005253A3">
        <w:rPr>
          <w:spacing w:val="0"/>
          <w:w w:val="100"/>
          <w:kern w:val="0"/>
          <w:lang w:val="en-US"/>
        </w:rPr>
        <w:t>D</w:t>
      </w:r>
      <w:r w:rsidRPr="005253A3">
        <w:rPr>
          <w:spacing w:val="0"/>
          <w:w w:val="100"/>
          <w:kern w:val="0"/>
        </w:rPr>
        <w:t xml:space="preserve"> хранятся в технической службе до завершения всего процесса СП;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3.2.2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одного образца из выборок </w:t>
      </w:r>
      <w:r w:rsidRPr="005253A3">
        <w:rPr>
          <w:spacing w:val="0"/>
          <w:w w:val="100"/>
          <w:kern w:val="0"/>
          <w:lang w:val="en-US"/>
        </w:rPr>
        <w:t>C</w:t>
      </w:r>
      <w:r w:rsidRPr="005253A3">
        <w:rPr>
          <w:spacing w:val="0"/>
          <w:w w:val="100"/>
          <w:kern w:val="0"/>
        </w:rPr>
        <w:t xml:space="preserve"> и </w:t>
      </w:r>
      <w:r w:rsidRPr="005253A3">
        <w:rPr>
          <w:spacing w:val="0"/>
          <w:w w:val="100"/>
          <w:kern w:val="0"/>
          <w:lang w:val="en-US"/>
        </w:rPr>
        <w:t>D</w:t>
      </w:r>
      <w:r w:rsidRPr="005253A3">
        <w:rPr>
          <w:spacing w:val="0"/>
          <w:w w:val="100"/>
          <w:kern w:val="0"/>
        </w:rPr>
        <w:t xml:space="preserve"> превышает 30%;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 таком случае официальное утверждение отменяют</w:t>
      </w:r>
      <w:r w:rsidR="002528A0">
        <w:rPr>
          <w:spacing w:val="0"/>
          <w:w w:val="100"/>
          <w:kern w:val="0"/>
        </w:rPr>
        <w:t xml:space="preserve"> и применяют пункт </w:t>
      </w:r>
      <w:r w:rsidRPr="005253A3">
        <w:rPr>
          <w:spacing w:val="0"/>
          <w:w w:val="100"/>
          <w:kern w:val="0"/>
        </w:rPr>
        <w:t>5 ниже.</w:t>
      </w:r>
    </w:p>
    <w:p w:rsidR="005253A3" w:rsidRPr="005253A3" w:rsidRDefault="005253A3" w:rsidP="002528A0">
      <w:pPr>
        <w:pStyle w:val="SingleTxtGR"/>
        <w:keepNext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lastRenderedPageBreak/>
        <w:t>4.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Второй повторный отбор образцов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 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Первую выборку из двух огней обозначают буквой </w:t>
      </w:r>
      <w:r w:rsidRPr="005253A3">
        <w:rPr>
          <w:spacing w:val="0"/>
          <w:w w:val="100"/>
          <w:kern w:val="0"/>
          <w:lang w:val="en-US"/>
        </w:rPr>
        <w:t>E</w:t>
      </w:r>
      <w:r w:rsidRPr="005253A3">
        <w:rPr>
          <w:spacing w:val="0"/>
          <w:w w:val="100"/>
          <w:kern w:val="0"/>
        </w:rPr>
        <w:t xml:space="preserve">, а вторую выборку из двух огней − буквой </w:t>
      </w:r>
      <w:r w:rsidRPr="005253A3">
        <w:rPr>
          <w:spacing w:val="0"/>
          <w:w w:val="100"/>
          <w:kern w:val="0"/>
          <w:lang w:val="en-US"/>
        </w:rPr>
        <w:t>F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4.1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Соответствие производства серийных передних противотуманных фар считается доказанным, если отклонение любого образца из выборок </w:t>
      </w:r>
      <w:r w:rsidRPr="005253A3">
        <w:rPr>
          <w:spacing w:val="0"/>
          <w:w w:val="100"/>
          <w:kern w:val="0"/>
          <w:lang w:val="en-US"/>
        </w:rPr>
        <w:t>E</w:t>
      </w:r>
      <w:r w:rsidR="00AC3FAC">
        <w:rPr>
          <w:spacing w:val="0"/>
          <w:w w:val="100"/>
          <w:kern w:val="0"/>
        </w:rPr>
        <w:t xml:space="preserve"> и </w:t>
      </w:r>
      <w:r w:rsidRPr="005253A3">
        <w:rPr>
          <w:spacing w:val="0"/>
          <w:w w:val="100"/>
          <w:kern w:val="0"/>
          <w:lang w:val="en-US"/>
        </w:rPr>
        <w:t>F</w:t>
      </w:r>
      <w:r w:rsidRPr="005253A3">
        <w:rPr>
          <w:spacing w:val="0"/>
          <w:w w:val="100"/>
          <w:kern w:val="0"/>
        </w:rPr>
        <w:t xml:space="preserve"> (всех четырех фар) не превышает 20%.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В том случае, если отклонение обеих фар из выборки </w:t>
      </w:r>
      <w:r w:rsidRPr="005253A3">
        <w:rPr>
          <w:spacing w:val="0"/>
          <w:w w:val="100"/>
          <w:kern w:val="0"/>
          <w:lang w:val="en-US"/>
        </w:rPr>
        <w:t>E</w:t>
      </w:r>
      <w:r w:rsidRPr="005253A3">
        <w:rPr>
          <w:spacing w:val="0"/>
          <w:w w:val="100"/>
          <w:kern w:val="0"/>
        </w:rPr>
        <w:t xml:space="preserve"> не превышает 0%, измерения могут быть прекращены.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4.2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 xml:space="preserve">Соответствие производства серийных передних противотуманных фар не считается доказанным, если отклонение по крайней мере одного образца из выборки </w:t>
      </w:r>
      <w:r w:rsidRPr="005253A3">
        <w:rPr>
          <w:spacing w:val="0"/>
          <w:w w:val="100"/>
          <w:kern w:val="0"/>
          <w:lang w:val="en-US"/>
        </w:rPr>
        <w:t>E</w:t>
      </w:r>
      <w:r w:rsidRPr="005253A3">
        <w:rPr>
          <w:spacing w:val="0"/>
          <w:w w:val="100"/>
          <w:kern w:val="0"/>
        </w:rPr>
        <w:t xml:space="preserve"> или </w:t>
      </w:r>
      <w:r w:rsidRPr="005253A3">
        <w:rPr>
          <w:spacing w:val="0"/>
          <w:w w:val="100"/>
          <w:kern w:val="0"/>
          <w:lang w:val="en-US"/>
        </w:rPr>
        <w:t>F</w:t>
      </w:r>
      <w:r w:rsidRPr="005253A3">
        <w:rPr>
          <w:spacing w:val="0"/>
          <w:w w:val="100"/>
          <w:kern w:val="0"/>
        </w:rPr>
        <w:t xml:space="preserve"> превышает 20%.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 таком случае официальное утверждение отменяют</w:t>
      </w:r>
      <w:r w:rsidR="002528A0">
        <w:rPr>
          <w:spacing w:val="0"/>
          <w:w w:val="100"/>
          <w:kern w:val="0"/>
        </w:rPr>
        <w:t xml:space="preserve"> и применяют пункт </w:t>
      </w:r>
      <w:r w:rsidRPr="005253A3">
        <w:rPr>
          <w:spacing w:val="0"/>
          <w:w w:val="100"/>
          <w:kern w:val="0"/>
        </w:rPr>
        <w:t>5 ниже.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  <w:u w:val="single"/>
        </w:rPr>
      </w:pPr>
      <w:r w:rsidRPr="005253A3">
        <w:rPr>
          <w:spacing w:val="0"/>
          <w:w w:val="100"/>
          <w:kern w:val="0"/>
        </w:rPr>
        <w:t>5.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Отказ в официальном утверждении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Официальное утверждение отменяют в соответствии с пунктом 11 настоящих Правил.</w:t>
      </w:r>
    </w:p>
    <w:p w:rsidR="005253A3" w:rsidRPr="005253A3" w:rsidRDefault="005253A3" w:rsidP="002528A0">
      <w:pPr>
        <w:pStyle w:val="SingleTxtGR"/>
        <w:suppressAutoHyphens/>
        <w:rPr>
          <w:bCs/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6.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Вертикальное отклонение светотеневой границы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5253A3">
        <w:rPr>
          <w:bCs/>
          <w:spacing w:val="0"/>
          <w:w w:val="100"/>
          <w:kern w:val="0"/>
        </w:rPr>
        <w:tab/>
      </w:r>
      <w:r w:rsidR="002528A0">
        <w:rPr>
          <w:bCs/>
          <w:spacing w:val="0"/>
          <w:w w:val="100"/>
          <w:kern w:val="0"/>
        </w:rPr>
        <w:tab/>
      </w:r>
      <w:r w:rsidRPr="005253A3">
        <w:rPr>
          <w:bCs/>
          <w:spacing w:val="0"/>
          <w:w w:val="100"/>
          <w:kern w:val="0"/>
        </w:rPr>
        <w:t>Для проверки вертикального отклонения светотеневой границы под воздействием тепла применяют следующую процедуру: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После проведения процедуры отбора образцов, указанной в пункте 2 настоящего приложения, одна из передних противотуманных фар из выборки А подвергается испытанию в соответствии с процедурой, описание которой приведено в пункте 2.1 приложения 4, после трехразового последовательного прохождения цикла, описанного в пункте 2.2.2 приложения 4.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5253A3">
        <w:rPr>
          <w:bCs/>
          <w:spacing w:val="0"/>
          <w:w w:val="100"/>
          <w:kern w:val="0"/>
        </w:rPr>
        <w:tab/>
      </w:r>
      <w:r w:rsidR="002528A0">
        <w:rPr>
          <w:bCs/>
          <w:spacing w:val="0"/>
          <w:w w:val="100"/>
          <w:kern w:val="0"/>
        </w:rPr>
        <w:tab/>
      </w:r>
      <w:r w:rsidRPr="005253A3">
        <w:rPr>
          <w:bCs/>
          <w:spacing w:val="0"/>
          <w:w w:val="100"/>
          <w:kern w:val="0"/>
        </w:rPr>
        <w:t>Передняя противотуманная фара считается приемлемой, если ∆</w:t>
      </w:r>
      <w:r w:rsidRPr="005253A3">
        <w:rPr>
          <w:bCs/>
          <w:spacing w:val="0"/>
          <w:w w:val="100"/>
          <w:kern w:val="0"/>
          <w:lang w:val="en-GB"/>
        </w:rPr>
        <w:t>r</w:t>
      </w:r>
      <w:r w:rsidRPr="005253A3">
        <w:rPr>
          <w:bCs/>
          <w:spacing w:val="0"/>
          <w:w w:val="100"/>
          <w:kern w:val="0"/>
        </w:rPr>
        <w:t xml:space="preserve"> не превышает 3,0 мрад.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5253A3">
        <w:rPr>
          <w:bCs/>
          <w:spacing w:val="0"/>
          <w:w w:val="100"/>
          <w:kern w:val="0"/>
        </w:rPr>
        <w:tab/>
      </w:r>
      <w:r w:rsidR="002528A0">
        <w:rPr>
          <w:bCs/>
          <w:spacing w:val="0"/>
          <w:w w:val="100"/>
          <w:kern w:val="0"/>
        </w:rPr>
        <w:tab/>
      </w:r>
      <w:r w:rsidRPr="005253A3">
        <w:rPr>
          <w:bCs/>
          <w:spacing w:val="0"/>
          <w:w w:val="100"/>
          <w:kern w:val="0"/>
        </w:rPr>
        <w:t xml:space="preserve">Если это значение превышает 3,0 мрад, но не превышает 4,0 мрад, то испытанию подвергается вторая передняя противотуманная фара из выборки </w:t>
      </w:r>
      <w:r w:rsidRPr="005253A3">
        <w:rPr>
          <w:bCs/>
          <w:spacing w:val="0"/>
          <w:w w:val="100"/>
          <w:kern w:val="0"/>
          <w:lang w:val="en-GB"/>
        </w:rPr>
        <w:t>A</w:t>
      </w:r>
      <w:r w:rsidRPr="005253A3">
        <w:rPr>
          <w:bCs/>
          <w:spacing w:val="0"/>
          <w:w w:val="100"/>
          <w:kern w:val="0"/>
        </w:rPr>
        <w:t>, причем среднее значение абсолютных величин, измеренных на обоих образцах, не должно превышать 3,0 мрад.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5253A3">
        <w:rPr>
          <w:bCs/>
          <w:spacing w:val="0"/>
          <w:w w:val="100"/>
          <w:kern w:val="0"/>
        </w:rPr>
        <w:tab/>
      </w:r>
      <w:r w:rsidR="002528A0">
        <w:rPr>
          <w:bCs/>
          <w:spacing w:val="0"/>
          <w:w w:val="100"/>
          <w:kern w:val="0"/>
        </w:rPr>
        <w:tab/>
      </w:r>
      <w:r w:rsidRPr="005253A3">
        <w:rPr>
          <w:bCs/>
          <w:spacing w:val="0"/>
          <w:w w:val="100"/>
          <w:kern w:val="0"/>
        </w:rPr>
        <w:t xml:space="preserve">Однако если на выборке А значение 3,0 мрад не выдерживается, то такой же процедуре подвергаются обе передние противотуманные фары из выборки </w:t>
      </w:r>
      <w:r w:rsidRPr="005253A3">
        <w:rPr>
          <w:bCs/>
          <w:spacing w:val="0"/>
          <w:w w:val="100"/>
          <w:kern w:val="0"/>
          <w:lang w:val="en-GB"/>
        </w:rPr>
        <w:t>B</w:t>
      </w:r>
      <w:r w:rsidRPr="005253A3">
        <w:rPr>
          <w:bCs/>
          <w:spacing w:val="0"/>
          <w:w w:val="100"/>
          <w:kern w:val="0"/>
        </w:rPr>
        <w:t xml:space="preserve"> и значение ∆</w:t>
      </w:r>
      <w:r w:rsidRPr="005253A3">
        <w:rPr>
          <w:bCs/>
          <w:spacing w:val="0"/>
          <w:w w:val="100"/>
          <w:kern w:val="0"/>
          <w:lang w:val="en-GB"/>
        </w:rPr>
        <w:t>r</w:t>
      </w:r>
      <w:r w:rsidRPr="005253A3">
        <w:rPr>
          <w:bCs/>
          <w:spacing w:val="0"/>
          <w:w w:val="100"/>
          <w:kern w:val="0"/>
        </w:rPr>
        <w:t xml:space="preserve"> для каждой</w:t>
      </w:r>
      <w:r w:rsidR="002528A0">
        <w:rPr>
          <w:bCs/>
          <w:spacing w:val="0"/>
          <w:w w:val="100"/>
          <w:kern w:val="0"/>
        </w:rPr>
        <w:t xml:space="preserve"> из них не должно превышать 3,0 мрад»</w:t>
      </w:r>
      <w:r w:rsidRPr="005253A3">
        <w:rPr>
          <w:bCs/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>Рис. 1</w:t>
      </w:r>
      <w:r w:rsidRPr="005253A3">
        <w:rPr>
          <w:spacing w:val="0"/>
          <w:w w:val="100"/>
          <w:kern w:val="0"/>
        </w:rPr>
        <w:t xml:space="preserve"> исключить.</w:t>
      </w:r>
    </w:p>
    <w:p w:rsidR="005253A3" w:rsidRPr="005253A3" w:rsidRDefault="005253A3" w:rsidP="002528A0">
      <w:pPr>
        <w:pStyle w:val="SingleTxtGR"/>
        <w:suppressAutoHyphens/>
        <w:rPr>
          <w:i/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Приложение 12 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>Название</w:t>
      </w:r>
      <w:r w:rsidRPr="005253A3">
        <w:rPr>
          <w:spacing w:val="0"/>
          <w:w w:val="100"/>
          <w:kern w:val="0"/>
        </w:rPr>
        <w:t xml:space="preserve"> изменить следующим образом:</w:t>
      </w:r>
    </w:p>
    <w:p w:rsidR="005253A3" w:rsidRPr="005253A3" w:rsidRDefault="002528A0" w:rsidP="002528A0">
      <w:pPr>
        <w:pStyle w:val="HChGR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2528A0">
        <w:rPr>
          <w:b w:val="0"/>
          <w:w w:val="100"/>
          <w:sz w:val="20"/>
        </w:rPr>
        <w:t>«</w:t>
      </w:r>
      <w:r w:rsidR="005253A3" w:rsidRPr="005253A3">
        <w:rPr>
          <w:w w:val="100"/>
        </w:rPr>
        <w:t>Требования в отношении использования модуля(ей) СИД</w:t>
      </w:r>
      <w:r w:rsidRPr="002528A0">
        <w:rPr>
          <w:b w:val="0"/>
          <w:w w:val="100"/>
          <w:sz w:val="20"/>
        </w:rPr>
        <w:t>»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Пункты 1.1, 1.2 и 1.3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1.1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 xml:space="preserve">Каждый представленный образец модуля СИД, подвергаемый испытанию вместе с предоставленным(и) электронным(и) механизмом(ами) управления источником света − при наличии </w:t>
      </w:r>
      <w:r w:rsidR="005253A3" w:rsidRPr="005253A3">
        <w:rPr>
          <w:spacing w:val="0"/>
          <w:w w:val="100"/>
          <w:kern w:val="0"/>
        </w:rPr>
        <w:lastRenderedPageBreak/>
        <w:t>такового(ых), − должен отвечать соответствующим техническим условиям настоящих Правил.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1.2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Модули СИД должны быть сконструированы таким образом, чтобы в обычных условиях эксплуатации они были и оставались в хорошем рабочем состоянии. Кроме того, у них не должно быть конструктивных или производственных дефектов.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1.3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Модули СИД должны быть защищены от неумелого обращения</w:t>
      </w:r>
      <w:r w:rsidR="002528A0">
        <w:rPr>
          <w:spacing w:val="0"/>
          <w:w w:val="100"/>
          <w:kern w:val="0"/>
        </w:rPr>
        <w:t>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2.2 и его подпункты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2.2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В случае модулей СИД: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2.2.1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СИД, установленный(е) в модуле СИД, должен (должны) быть оснащен(ы) соответствующими элементами крепления;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2.2.2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элементы крепления должны быть прочными и жестко крепиться к и</w:t>
      </w:r>
      <w:r w:rsidR="002528A0">
        <w:rPr>
          <w:spacing w:val="0"/>
          <w:w w:val="100"/>
          <w:kern w:val="0"/>
        </w:rPr>
        <w:t>сточнику(ам) света и модулю СИД»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Пункты 3.1.3−3.1.3.2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3.1.3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Условия работы модуля СИД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3.1.3.1</w:t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ab/>
        <w:t xml:space="preserve">все образцы подвергают испытаниям в </w:t>
      </w:r>
      <w:r w:rsidR="002528A0">
        <w:rPr>
          <w:spacing w:val="0"/>
          <w:w w:val="100"/>
          <w:kern w:val="0"/>
        </w:rPr>
        <w:t>условиях, определенных в пункте </w:t>
      </w:r>
      <w:r w:rsidRPr="005253A3">
        <w:rPr>
          <w:spacing w:val="0"/>
          <w:w w:val="100"/>
          <w:kern w:val="0"/>
        </w:rPr>
        <w:t>6.4.1.4 настоящих Правил;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3.1.3.2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если в настоящем приложении не указано иное, модули СИД подвергают испытаниям внутри передней противотуманной фары</w:t>
      </w:r>
      <w:r w:rsidR="002528A0">
        <w:rPr>
          <w:spacing w:val="0"/>
          <w:w w:val="100"/>
          <w:kern w:val="0"/>
        </w:rPr>
        <w:t>, предоставленной изготовителем»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3.1.5 </w:t>
      </w:r>
      <w:r w:rsidRPr="005253A3">
        <w:rPr>
          <w:spacing w:val="0"/>
          <w:w w:val="100"/>
          <w:kern w:val="0"/>
        </w:rPr>
        <w:t>исключить.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Пункты 3.2.1 и 3.2.2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3.2.1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Модули СИД подвергают кондиционированию.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>3.2.2</w:t>
      </w: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Указанные ниже испытания проводят после кондиционирования, предоставленного(ых) модуля(ей) СИД с использованием представленного электронного механизма управления источником све</w:t>
      </w:r>
      <w:r w:rsidR="002528A0">
        <w:rPr>
          <w:spacing w:val="0"/>
          <w:w w:val="100"/>
          <w:kern w:val="0"/>
        </w:rPr>
        <w:t>та при испытательном напряжении»</w:t>
      </w:r>
      <w:r w:rsidRPr="005253A3">
        <w:rPr>
          <w:spacing w:val="0"/>
          <w:w w:val="100"/>
          <w:kern w:val="0"/>
        </w:rPr>
        <w:t>.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4.5.1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4.5.1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Красная составляющая</w:t>
      </w:r>
    </w:p>
    <w:p w:rsidR="005253A3" w:rsidRPr="005253A3" w:rsidRDefault="005253A3" w:rsidP="002528A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Помимо проведения измерений, описанных в пункте 7 части А или В настоящих Правил, проверяют минимальную красную составляющую света, излучаемого модулем СИД, которая должна быть такой, чтобы: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  <w:t>…»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i/>
          <w:spacing w:val="0"/>
          <w:w w:val="100"/>
          <w:kern w:val="0"/>
        </w:rPr>
        <w:t xml:space="preserve">Пункт 4.6 </w:t>
      </w:r>
      <w:r w:rsidRPr="005253A3">
        <w:rPr>
          <w:spacing w:val="0"/>
          <w:w w:val="100"/>
          <w:kern w:val="0"/>
        </w:rPr>
        <w:t>изменить следующим образом:</w:t>
      </w:r>
    </w:p>
    <w:p w:rsidR="005253A3" w:rsidRPr="005253A3" w:rsidRDefault="002528A0" w:rsidP="002528A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5253A3" w:rsidRPr="005253A3">
        <w:rPr>
          <w:spacing w:val="0"/>
          <w:w w:val="100"/>
          <w:kern w:val="0"/>
        </w:rPr>
        <w:t>4.6</w:t>
      </w:r>
      <w:r w:rsidR="005253A3" w:rsidRPr="005253A3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5253A3" w:rsidRPr="005253A3">
        <w:rPr>
          <w:spacing w:val="0"/>
          <w:w w:val="100"/>
          <w:kern w:val="0"/>
        </w:rPr>
        <w:t>Ультрафиолетовое излучение</w:t>
      </w:r>
    </w:p>
    <w:p w:rsidR="005253A3" w:rsidRPr="005253A3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Pr="005253A3">
        <w:rPr>
          <w:spacing w:val="0"/>
          <w:w w:val="100"/>
          <w:kern w:val="0"/>
        </w:rPr>
        <w:t>Ультрафиолетовое излучение модуля СИД должно быть таким, чтобы:</w:t>
      </w:r>
    </w:p>
    <w:p w:rsidR="005253A3" w:rsidRPr="002528A0" w:rsidRDefault="005253A3" w:rsidP="002528A0">
      <w:pPr>
        <w:pStyle w:val="SingleTxtGR"/>
        <w:suppressAutoHyphens/>
        <w:rPr>
          <w:spacing w:val="0"/>
          <w:w w:val="100"/>
          <w:kern w:val="0"/>
        </w:rPr>
      </w:pPr>
      <w:r w:rsidRPr="005253A3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</w:rPr>
        <w:tab/>
      </w:r>
      <w:r w:rsidR="002528A0">
        <w:rPr>
          <w:spacing w:val="0"/>
          <w:w w:val="100"/>
          <w:kern w:val="0"/>
          <w:lang w:val="en-GB"/>
        </w:rPr>
        <w:t>…</w:t>
      </w:r>
      <w:r w:rsidR="002528A0">
        <w:rPr>
          <w:spacing w:val="0"/>
          <w:w w:val="100"/>
          <w:kern w:val="0"/>
        </w:rPr>
        <w:t>»</w:t>
      </w:r>
    </w:p>
    <w:p w:rsidR="00381C24" w:rsidRPr="002528A0" w:rsidRDefault="002528A0" w:rsidP="002528A0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 w:rsidRPr="002528A0">
        <w:rPr>
          <w:spacing w:val="0"/>
          <w:w w:val="100"/>
          <w:kern w:val="0"/>
          <w:u w:val="single"/>
        </w:rPr>
        <w:tab/>
      </w:r>
      <w:r w:rsidRPr="002528A0">
        <w:rPr>
          <w:spacing w:val="0"/>
          <w:w w:val="100"/>
          <w:kern w:val="0"/>
          <w:u w:val="single"/>
        </w:rPr>
        <w:tab/>
      </w:r>
      <w:r w:rsidRPr="002528A0">
        <w:rPr>
          <w:spacing w:val="0"/>
          <w:w w:val="100"/>
          <w:kern w:val="0"/>
          <w:u w:val="single"/>
        </w:rPr>
        <w:tab/>
      </w:r>
    </w:p>
    <w:sectPr w:rsidR="00381C24" w:rsidRPr="002528A0" w:rsidSect="005253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1C" w:rsidRPr="00A312BC" w:rsidRDefault="00232D1C" w:rsidP="00A312BC"/>
  </w:endnote>
  <w:endnote w:type="continuationSeparator" w:id="0">
    <w:p w:rsidR="00232D1C" w:rsidRPr="00A312BC" w:rsidRDefault="00232D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A3" w:rsidRPr="00B865B8" w:rsidRDefault="005253A3">
    <w:pPr>
      <w:pStyle w:val="Footer"/>
      <w:rPr>
        <w:spacing w:val="0"/>
        <w:w w:val="100"/>
        <w:kern w:val="0"/>
      </w:rPr>
    </w:pPr>
    <w:r w:rsidRPr="00B865B8">
      <w:rPr>
        <w:b/>
        <w:spacing w:val="0"/>
        <w:w w:val="100"/>
        <w:kern w:val="0"/>
        <w:sz w:val="18"/>
      </w:rPr>
      <w:fldChar w:fldCharType="begin"/>
    </w:r>
    <w:r w:rsidRPr="00B865B8">
      <w:rPr>
        <w:b/>
        <w:spacing w:val="0"/>
        <w:w w:val="100"/>
        <w:kern w:val="0"/>
        <w:sz w:val="18"/>
      </w:rPr>
      <w:instrText xml:space="preserve"> PAGE  \* MERGEFORMAT </w:instrText>
    </w:r>
    <w:r w:rsidRPr="00B865B8">
      <w:rPr>
        <w:b/>
        <w:spacing w:val="0"/>
        <w:w w:val="100"/>
        <w:kern w:val="0"/>
        <w:sz w:val="18"/>
      </w:rPr>
      <w:fldChar w:fldCharType="separate"/>
    </w:r>
    <w:r w:rsidR="00C6116F">
      <w:rPr>
        <w:b/>
        <w:noProof/>
        <w:spacing w:val="0"/>
        <w:w w:val="100"/>
        <w:kern w:val="0"/>
        <w:sz w:val="18"/>
      </w:rPr>
      <w:t>6</w:t>
    </w:r>
    <w:r w:rsidRPr="00B865B8">
      <w:rPr>
        <w:b/>
        <w:spacing w:val="0"/>
        <w:w w:val="100"/>
        <w:kern w:val="0"/>
        <w:sz w:val="18"/>
      </w:rPr>
      <w:fldChar w:fldCharType="end"/>
    </w:r>
    <w:r w:rsidRPr="00B865B8">
      <w:rPr>
        <w:b/>
        <w:spacing w:val="0"/>
        <w:w w:val="100"/>
        <w:kern w:val="0"/>
        <w:sz w:val="18"/>
      </w:rPr>
      <w:tab/>
    </w:r>
    <w:r w:rsidRPr="00B865B8">
      <w:rPr>
        <w:spacing w:val="0"/>
        <w:w w:val="100"/>
        <w:kern w:val="0"/>
      </w:rPr>
      <w:t>GE.17-21648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A3" w:rsidRPr="00B865B8" w:rsidRDefault="005253A3" w:rsidP="005253A3">
    <w:pPr>
      <w:pStyle w:val="Footer"/>
      <w:tabs>
        <w:tab w:val="clear" w:pos="9639"/>
        <w:tab w:val="right" w:pos="9638"/>
      </w:tabs>
      <w:rPr>
        <w:b/>
        <w:spacing w:val="0"/>
        <w:w w:val="100"/>
        <w:kern w:val="0"/>
        <w:sz w:val="18"/>
      </w:rPr>
    </w:pPr>
    <w:r w:rsidRPr="00B865B8">
      <w:rPr>
        <w:spacing w:val="0"/>
        <w:w w:val="100"/>
        <w:kern w:val="0"/>
      </w:rPr>
      <w:t>GE.17-21648</w:t>
    </w:r>
    <w:r w:rsidRPr="00B865B8">
      <w:rPr>
        <w:spacing w:val="0"/>
        <w:w w:val="100"/>
        <w:kern w:val="0"/>
      </w:rPr>
      <w:tab/>
    </w:r>
    <w:r w:rsidRPr="00B865B8">
      <w:rPr>
        <w:b/>
        <w:spacing w:val="0"/>
        <w:w w:val="100"/>
        <w:kern w:val="0"/>
        <w:sz w:val="18"/>
      </w:rPr>
      <w:fldChar w:fldCharType="begin"/>
    </w:r>
    <w:r w:rsidRPr="00B865B8">
      <w:rPr>
        <w:b/>
        <w:spacing w:val="0"/>
        <w:w w:val="100"/>
        <w:kern w:val="0"/>
        <w:sz w:val="18"/>
      </w:rPr>
      <w:instrText xml:space="preserve"> PAGE  \* MERGEFORMAT </w:instrText>
    </w:r>
    <w:r w:rsidRPr="00B865B8">
      <w:rPr>
        <w:b/>
        <w:spacing w:val="0"/>
        <w:w w:val="100"/>
        <w:kern w:val="0"/>
        <w:sz w:val="18"/>
      </w:rPr>
      <w:fldChar w:fldCharType="separate"/>
    </w:r>
    <w:r w:rsidR="00C6116F">
      <w:rPr>
        <w:b/>
        <w:noProof/>
        <w:spacing w:val="0"/>
        <w:w w:val="100"/>
        <w:kern w:val="0"/>
        <w:sz w:val="18"/>
      </w:rPr>
      <w:t>5</w:t>
    </w:r>
    <w:r w:rsidRPr="00B865B8">
      <w:rPr>
        <w:b/>
        <w:spacing w:val="0"/>
        <w:w w:val="100"/>
        <w:kern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865B8" w:rsidRDefault="005253A3" w:rsidP="005253A3">
    <w:pPr>
      <w:spacing w:before="120" w:line="240" w:lineRule="auto"/>
      <w:rPr>
        <w:spacing w:val="0"/>
        <w:w w:val="100"/>
        <w:kern w:val="0"/>
      </w:rPr>
    </w:pPr>
    <w:r w:rsidRPr="00B865B8">
      <w:rPr>
        <w:spacing w:val="0"/>
        <w:w w:val="100"/>
        <w:kern w:val="0"/>
      </w:rPr>
      <w:t>GE.</w:t>
    </w:r>
    <w:r w:rsidR="00DF71B9" w:rsidRPr="00B865B8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5B8">
      <w:rPr>
        <w:spacing w:val="0"/>
        <w:w w:val="100"/>
        <w:kern w:val="0"/>
      </w:rPr>
      <w:t>17-21648  (R)</w:t>
    </w:r>
    <w:r w:rsidR="002528A0" w:rsidRPr="00B865B8">
      <w:rPr>
        <w:spacing w:val="0"/>
        <w:w w:val="100"/>
        <w:kern w:val="0"/>
      </w:rPr>
      <w:t xml:space="preserve">  180118  180118</w:t>
    </w:r>
    <w:r w:rsidRPr="00B865B8">
      <w:rPr>
        <w:spacing w:val="0"/>
        <w:w w:val="100"/>
        <w:kern w:val="0"/>
      </w:rPr>
      <w:br/>
    </w:r>
    <w:r w:rsidRPr="00B865B8">
      <w:rPr>
        <w:rFonts w:ascii="C39T30Lfz" w:hAnsi="C39T30Lfz"/>
        <w:spacing w:val="0"/>
        <w:w w:val="100"/>
        <w:kern w:val="0"/>
        <w:sz w:val="56"/>
      </w:rPr>
      <w:t></w:t>
    </w:r>
    <w:r w:rsidRPr="00B865B8">
      <w:rPr>
        <w:rFonts w:ascii="C39T30Lfz" w:hAnsi="C39T30Lfz"/>
        <w:spacing w:val="0"/>
        <w:w w:val="100"/>
        <w:kern w:val="0"/>
        <w:sz w:val="56"/>
      </w:rPr>
      <w:t></w:t>
    </w:r>
    <w:r w:rsidRPr="00B865B8">
      <w:rPr>
        <w:rFonts w:ascii="C39T30Lfz" w:hAnsi="C39T30Lfz"/>
        <w:spacing w:val="0"/>
        <w:w w:val="100"/>
        <w:kern w:val="0"/>
        <w:sz w:val="56"/>
      </w:rPr>
      <w:t></w:t>
    </w:r>
    <w:r w:rsidRPr="00B865B8">
      <w:rPr>
        <w:rFonts w:ascii="C39T30Lfz" w:hAnsi="C39T30Lfz"/>
        <w:spacing w:val="0"/>
        <w:w w:val="100"/>
        <w:kern w:val="0"/>
        <w:sz w:val="56"/>
      </w:rPr>
      <w:t></w:t>
    </w:r>
    <w:r w:rsidRPr="00B865B8">
      <w:rPr>
        <w:rFonts w:ascii="C39T30Lfz" w:hAnsi="C39T30Lfz"/>
        <w:spacing w:val="0"/>
        <w:w w:val="100"/>
        <w:kern w:val="0"/>
        <w:sz w:val="56"/>
      </w:rPr>
      <w:t></w:t>
    </w:r>
    <w:r w:rsidRPr="00B865B8">
      <w:rPr>
        <w:rFonts w:ascii="C39T30Lfz" w:hAnsi="C39T30Lfz"/>
        <w:spacing w:val="0"/>
        <w:w w:val="100"/>
        <w:kern w:val="0"/>
        <w:sz w:val="56"/>
      </w:rPr>
      <w:t></w:t>
    </w:r>
    <w:r w:rsidRPr="00B865B8">
      <w:rPr>
        <w:rFonts w:ascii="C39T30Lfz" w:hAnsi="C39T30Lfz"/>
        <w:spacing w:val="0"/>
        <w:w w:val="100"/>
        <w:kern w:val="0"/>
        <w:sz w:val="56"/>
      </w:rPr>
      <w:t></w:t>
    </w:r>
    <w:r w:rsidRPr="00B865B8">
      <w:rPr>
        <w:rFonts w:ascii="C39T30Lfz" w:hAnsi="C39T30Lfz"/>
        <w:spacing w:val="0"/>
        <w:w w:val="100"/>
        <w:kern w:val="0"/>
        <w:sz w:val="56"/>
      </w:rPr>
      <w:t></w:t>
    </w:r>
    <w:r w:rsidRPr="00B865B8">
      <w:rPr>
        <w:rFonts w:ascii="C39T30Lfz" w:hAnsi="C39T30Lfz"/>
        <w:spacing w:val="0"/>
        <w:w w:val="100"/>
        <w:kern w:val="0"/>
        <w:sz w:val="56"/>
      </w:rPr>
      <w:t></w:t>
    </w:r>
    <w:r w:rsidRPr="00B865B8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8/Rev.7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8/Rev.7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1C" w:rsidRPr="001075E9" w:rsidRDefault="00232D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2D1C" w:rsidRDefault="00232D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53A3" w:rsidRPr="005253A3" w:rsidRDefault="005253A3">
      <w:pPr>
        <w:pStyle w:val="FootnoteText"/>
        <w:rPr>
          <w:spacing w:val="0"/>
          <w:w w:val="100"/>
          <w:kern w:val="0"/>
          <w:lang w:val="ru-RU"/>
        </w:rPr>
      </w:pPr>
      <w:r w:rsidRPr="005253A3">
        <w:rPr>
          <w:spacing w:val="0"/>
          <w:w w:val="100"/>
          <w:kern w:val="0"/>
        </w:rPr>
        <w:tab/>
      </w:r>
      <w:r w:rsidRPr="005253A3">
        <w:rPr>
          <w:rStyle w:val="FootnoteReference"/>
          <w:spacing w:val="0"/>
          <w:w w:val="100"/>
          <w:kern w:val="0"/>
          <w:sz w:val="20"/>
          <w:vertAlign w:val="baseline"/>
        </w:rPr>
        <w:t>*</w:t>
      </w:r>
      <w:r w:rsidRPr="005253A3">
        <w:rPr>
          <w:rStyle w:val="FootnoteReference"/>
          <w:spacing w:val="0"/>
          <w:w w:val="100"/>
          <w:kern w:val="0"/>
          <w:vertAlign w:val="baseline"/>
        </w:rPr>
        <w:tab/>
      </w:r>
      <w:r w:rsidRPr="005253A3">
        <w:rPr>
          <w:spacing w:val="0"/>
          <w:w w:val="100"/>
          <w:kern w:val="0"/>
          <w:lang w:val="ru-RU"/>
        </w:rPr>
        <w:t>Прежние названия Соглашения:</w:t>
      </w:r>
    </w:p>
    <w:p w:rsidR="005253A3" w:rsidRPr="005253A3" w:rsidRDefault="005253A3">
      <w:pPr>
        <w:pStyle w:val="FootnoteText"/>
        <w:rPr>
          <w:spacing w:val="0"/>
          <w:w w:val="100"/>
          <w:kern w:val="0"/>
          <w:lang w:val="ru-RU"/>
        </w:rPr>
      </w:pPr>
      <w:r w:rsidRPr="005253A3">
        <w:rPr>
          <w:spacing w:val="0"/>
          <w:w w:val="100"/>
          <w:kern w:val="0"/>
          <w:lang w:val="ru-RU"/>
        </w:rPr>
        <w:tab/>
      </w:r>
      <w:r w:rsidRPr="005253A3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5253A3" w:rsidRPr="005253A3" w:rsidRDefault="005253A3">
      <w:pPr>
        <w:pStyle w:val="FootnoteText"/>
        <w:rPr>
          <w:spacing w:val="0"/>
          <w:w w:val="100"/>
          <w:kern w:val="0"/>
          <w:sz w:val="20"/>
          <w:lang w:val="en-US"/>
        </w:rPr>
      </w:pPr>
      <w:r w:rsidRPr="005253A3">
        <w:rPr>
          <w:spacing w:val="0"/>
          <w:w w:val="100"/>
          <w:kern w:val="0"/>
          <w:lang w:val="ru-RU"/>
        </w:rPr>
        <w:tab/>
      </w:r>
      <w:r w:rsidRPr="005253A3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</w:t>
      </w:r>
      <w:r>
        <w:rPr>
          <w:spacing w:val="0"/>
          <w:w w:val="100"/>
          <w:kern w:val="0"/>
          <w:lang w:val="ru-RU"/>
        </w:rPr>
        <w:t>но в Женеве 5 </w:t>
      </w:r>
      <w:r w:rsidRPr="005253A3">
        <w:rPr>
          <w:spacing w:val="0"/>
          <w:w w:val="100"/>
          <w:kern w:val="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A3" w:rsidRPr="00B865B8" w:rsidRDefault="005253A3">
    <w:pPr>
      <w:pStyle w:val="Header"/>
      <w:rPr>
        <w:spacing w:val="0"/>
        <w:w w:val="100"/>
        <w:kern w:val="0"/>
      </w:rPr>
    </w:pPr>
    <w:r w:rsidRPr="00B865B8">
      <w:rPr>
        <w:spacing w:val="0"/>
        <w:w w:val="100"/>
        <w:kern w:val="0"/>
      </w:rPr>
      <w:fldChar w:fldCharType="begin"/>
    </w:r>
    <w:r w:rsidRPr="00B865B8">
      <w:rPr>
        <w:spacing w:val="0"/>
        <w:w w:val="100"/>
        <w:kern w:val="0"/>
      </w:rPr>
      <w:instrText xml:space="preserve"> TITLE  \* MERGEFORMAT </w:instrText>
    </w:r>
    <w:r w:rsidRPr="00B865B8">
      <w:rPr>
        <w:spacing w:val="0"/>
        <w:w w:val="100"/>
        <w:kern w:val="0"/>
      </w:rPr>
      <w:fldChar w:fldCharType="separate"/>
    </w:r>
    <w:r w:rsidR="00C6116F">
      <w:rPr>
        <w:spacing w:val="0"/>
        <w:w w:val="100"/>
        <w:kern w:val="0"/>
      </w:rPr>
      <w:t>E/ECE/324/Rev.1/Add.18/Rev.7/Amend.4</w:t>
    </w:r>
    <w:r w:rsidRPr="00B865B8">
      <w:rPr>
        <w:spacing w:val="0"/>
        <w:w w:val="100"/>
        <w:kern w:val="0"/>
      </w:rPr>
      <w:fldChar w:fldCharType="end"/>
    </w:r>
    <w:r w:rsidRPr="00B865B8">
      <w:rPr>
        <w:spacing w:val="0"/>
        <w:w w:val="100"/>
        <w:kern w:val="0"/>
      </w:rPr>
      <w:br/>
    </w:r>
    <w:r w:rsidRPr="00B865B8">
      <w:rPr>
        <w:spacing w:val="0"/>
        <w:w w:val="100"/>
        <w:kern w:val="0"/>
      </w:rPr>
      <w:fldChar w:fldCharType="begin"/>
    </w:r>
    <w:r w:rsidRPr="00B865B8">
      <w:rPr>
        <w:spacing w:val="0"/>
        <w:w w:val="100"/>
        <w:kern w:val="0"/>
      </w:rPr>
      <w:instrText xml:space="preserve"> KEYWORDS  \* MERGEFORMAT </w:instrText>
    </w:r>
    <w:r w:rsidRPr="00B865B8">
      <w:rPr>
        <w:spacing w:val="0"/>
        <w:w w:val="100"/>
        <w:kern w:val="0"/>
      </w:rPr>
      <w:fldChar w:fldCharType="separate"/>
    </w:r>
    <w:r w:rsidR="00C6116F">
      <w:rPr>
        <w:spacing w:val="0"/>
        <w:w w:val="100"/>
        <w:kern w:val="0"/>
      </w:rPr>
      <w:t>E/ECE/TRANS/505/Rev.1/Add.18/Rev.7/Amend.4</w:t>
    </w:r>
    <w:r w:rsidRPr="00B865B8">
      <w:rPr>
        <w:spacing w:val="0"/>
        <w:w w:val="100"/>
        <w:kern w:val="0"/>
      </w:rPr>
      <w:fldChar w:fldCharType="end"/>
    </w:r>
  </w:p>
  <w:p w:rsidR="00B865B8" w:rsidRPr="00B865B8" w:rsidRDefault="00B865B8" w:rsidP="00B865B8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A3" w:rsidRPr="00B865B8" w:rsidRDefault="005253A3" w:rsidP="005253A3">
    <w:pPr>
      <w:pStyle w:val="Header"/>
      <w:jc w:val="right"/>
      <w:rPr>
        <w:spacing w:val="0"/>
        <w:w w:val="100"/>
        <w:kern w:val="0"/>
      </w:rPr>
    </w:pPr>
    <w:r w:rsidRPr="00B865B8">
      <w:rPr>
        <w:spacing w:val="0"/>
        <w:w w:val="100"/>
        <w:kern w:val="0"/>
      </w:rPr>
      <w:fldChar w:fldCharType="begin"/>
    </w:r>
    <w:r w:rsidRPr="00B865B8">
      <w:rPr>
        <w:spacing w:val="0"/>
        <w:w w:val="100"/>
        <w:kern w:val="0"/>
      </w:rPr>
      <w:instrText xml:space="preserve"> TITLE  \* MERGEFORMAT </w:instrText>
    </w:r>
    <w:r w:rsidRPr="00B865B8">
      <w:rPr>
        <w:spacing w:val="0"/>
        <w:w w:val="100"/>
        <w:kern w:val="0"/>
      </w:rPr>
      <w:fldChar w:fldCharType="separate"/>
    </w:r>
    <w:r w:rsidR="00C6116F">
      <w:rPr>
        <w:spacing w:val="0"/>
        <w:w w:val="100"/>
        <w:kern w:val="0"/>
      </w:rPr>
      <w:t>E/ECE/324/Rev.1/Add.18/Rev.7/Amend.4</w:t>
    </w:r>
    <w:r w:rsidRPr="00B865B8">
      <w:rPr>
        <w:spacing w:val="0"/>
        <w:w w:val="100"/>
        <w:kern w:val="0"/>
      </w:rPr>
      <w:fldChar w:fldCharType="end"/>
    </w:r>
    <w:r w:rsidRPr="00B865B8">
      <w:rPr>
        <w:spacing w:val="0"/>
        <w:w w:val="100"/>
        <w:kern w:val="0"/>
      </w:rPr>
      <w:br/>
    </w:r>
    <w:r w:rsidRPr="00B865B8">
      <w:rPr>
        <w:spacing w:val="0"/>
        <w:w w:val="100"/>
        <w:kern w:val="0"/>
      </w:rPr>
      <w:fldChar w:fldCharType="begin"/>
    </w:r>
    <w:r w:rsidRPr="00B865B8">
      <w:rPr>
        <w:spacing w:val="0"/>
        <w:w w:val="100"/>
        <w:kern w:val="0"/>
      </w:rPr>
      <w:instrText xml:space="preserve"> KEYWORDS  \* MERGEFORMAT </w:instrText>
    </w:r>
    <w:r w:rsidRPr="00B865B8">
      <w:rPr>
        <w:spacing w:val="0"/>
        <w:w w:val="100"/>
        <w:kern w:val="0"/>
      </w:rPr>
      <w:fldChar w:fldCharType="separate"/>
    </w:r>
    <w:r w:rsidR="00C6116F">
      <w:rPr>
        <w:spacing w:val="0"/>
        <w:w w:val="100"/>
        <w:kern w:val="0"/>
      </w:rPr>
      <w:t>E/ECE/TRANS/505/Rev.1/Add.18/Rev.7/Amend.4</w:t>
    </w:r>
    <w:r w:rsidRPr="00B865B8">
      <w:rPr>
        <w:spacing w:val="0"/>
        <w:w w:val="100"/>
        <w:kern w:val="0"/>
      </w:rPr>
      <w:fldChar w:fldCharType="end"/>
    </w:r>
  </w:p>
  <w:p w:rsidR="00B865B8" w:rsidRPr="00B865B8" w:rsidRDefault="00B865B8" w:rsidP="00B865B8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1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32D1C"/>
    <w:rsid w:val="002528A0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4F5CF2"/>
    <w:rsid w:val="0050108D"/>
    <w:rsid w:val="00513081"/>
    <w:rsid w:val="00517901"/>
    <w:rsid w:val="005253A3"/>
    <w:rsid w:val="00526683"/>
    <w:rsid w:val="005709E0"/>
    <w:rsid w:val="00572E19"/>
    <w:rsid w:val="005961C8"/>
    <w:rsid w:val="005D7914"/>
    <w:rsid w:val="005E2B41"/>
    <w:rsid w:val="005F0B42"/>
    <w:rsid w:val="00640A5E"/>
    <w:rsid w:val="00681A10"/>
    <w:rsid w:val="006A1ED8"/>
    <w:rsid w:val="006B1A79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C3FAC"/>
    <w:rsid w:val="00B10CC7"/>
    <w:rsid w:val="00B539E7"/>
    <w:rsid w:val="00B62458"/>
    <w:rsid w:val="00B865B8"/>
    <w:rsid w:val="00BC18B2"/>
    <w:rsid w:val="00BD33EE"/>
    <w:rsid w:val="00C106D6"/>
    <w:rsid w:val="00C60F0C"/>
    <w:rsid w:val="00C6116F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449FBA-4B4C-42B9-9F06-7E7BB7E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E/ECE/324/Rev.1/Add.18/Rev.7/Amend.4</vt:lpstr>
      <vt:lpstr>E/ECE/324/Rev.1/Add.18/Rev.7/Amend.4</vt:lpstr>
      <vt:lpstr>A/</vt:lpstr>
    </vt:vector>
  </TitlesOfParts>
  <Company>DCM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E/ECE/324/Rev.1/Add.18/Rev.7/Amend.4</dc:title>
  <dc:creator>Anna PETELINA</dc:creator>
  <cp:keywords>E/ECE/TRANS/505/Rev.1/Add.18/Rev.7/Amend.4</cp:keywords>
  <cp:lastModifiedBy>Secretariat</cp:lastModifiedBy>
  <cp:revision>2</cp:revision>
  <cp:lastPrinted>2018-01-18T16:07:00Z</cp:lastPrinted>
  <dcterms:created xsi:type="dcterms:W3CDTF">2018-10-24T13:51:00Z</dcterms:created>
  <dcterms:modified xsi:type="dcterms:W3CDTF">2018-10-24T13:51:00Z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