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52826" w14:paraId="6AFEF0F2" w14:textId="77777777" w:rsidTr="00A27C92">
        <w:trPr>
          <w:trHeight w:hRule="exact" w:val="851"/>
        </w:trPr>
        <w:tc>
          <w:tcPr>
            <w:tcW w:w="9639" w:type="dxa"/>
            <w:gridSpan w:val="2"/>
            <w:tcBorders>
              <w:bottom w:val="single" w:sz="4" w:space="0" w:color="auto"/>
            </w:tcBorders>
            <w:shd w:val="clear" w:color="auto" w:fill="auto"/>
            <w:vAlign w:val="bottom"/>
          </w:tcPr>
          <w:p w14:paraId="14570F9F" w14:textId="77777777" w:rsidR="002A4A19" w:rsidRPr="002A4A19" w:rsidRDefault="002A4A19" w:rsidP="002A4A19">
            <w:pPr>
              <w:jc w:val="right"/>
              <w:rPr>
                <w:lang w:val="en-US"/>
              </w:rPr>
            </w:pPr>
            <w:bookmarkStart w:id="0" w:name="_GoBack"/>
            <w:bookmarkEnd w:id="0"/>
            <w:r w:rsidRPr="002A4A19">
              <w:rPr>
                <w:sz w:val="40"/>
                <w:lang w:val="en-US"/>
              </w:rPr>
              <w:t>E</w:t>
            </w:r>
            <w:r w:rsidRPr="002A4A19">
              <w:rPr>
                <w:lang w:val="en-US"/>
              </w:rPr>
              <w:t>/ECE/324/Rev.1/Add.15/Rev.9/Amend.2−</w:t>
            </w:r>
            <w:r w:rsidRPr="002A4A19">
              <w:rPr>
                <w:sz w:val="40"/>
                <w:lang w:val="en-US"/>
              </w:rPr>
              <w:t>E</w:t>
            </w:r>
            <w:r w:rsidRPr="002A4A19">
              <w:rPr>
                <w:lang w:val="en-US"/>
              </w:rPr>
              <w:t>/ECE/TRANS/505/Rev.1/Add.15/Rev.9/Amend.2</w:t>
            </w:r>
          </w:p>
        </w:tc>
      </w:tr>
      <w:tr w:rsidR="00421A10" w:rsidRPr="00DB58B5" w14:paraId="23FDAD64" w14:textId="77777777" w:rsidTr="00A27C92">
        <w:trPr>
          <w:trHeight w:hRule="exact" w:val="2835"/>
        </w:trPr>
        <w:tc>
          <w:tcPr>
            <w:tcW w:w="6804" w:type="dxa"/>
            <w:tcBorders>
              <w:top w:val="single" w:sz="4" w:space="0" w:color="auto"/>
              <w:bottom w:val="single" w:sz="12" w:space="0" w:color="auto"/>
            </w:tcBorders>
            <w:shd w:val="clear" w:color="auto" w:fill="auto"/>
          </w:tcPr>
          <w:p w14:paraId="516E57DE" w14:textId="77777777" w:rsidR="00421A10" w:rsidRPr="002A4A1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12DC57B" w14:textId="77777777" w:rsidR="00421A10" w:rsidRPr="00DB58B5" w:rsidRDefault="002A4A19" w:rsidP="00A27C92">
            <w:pPr>
              <w:spacing w:before="480" w:line="240" w:lineRule="exact"/>
            </w:pPr>
            <w:r>
              <w:t>10 août 2018</w:t>
            </w:r>
          </w:p>
        </w:tc>
      </w:tr>
    </w:tbl>
    <w:p w14:paraId="55F1A786" w14:textId="77777777" w:rsidR="00421A10" w:rsidRPr="006549FF" w:rsidRDefault="0029791D" w:rsidP="00FD64E8">
      <w:pPr>
        <w:pStyle w:val="HChG"/>
        <w:spacing w:before="240" w:after="200"/>
      </w:pPr>
      <w:r>
        <w:tab/>
      </w:r>
      <w:r>
        <w:tab/>
      </w:r>
      <w:r w:rsidR="00421A10" w:rsidRPr="006549FF">
        <w:t>Accord</w:t>
      </w:r>
    </w:p>
    <w:p w14:paraId="32B4A37C" w14:textId="77777777" w:rsidR="00421A10" w:rsidRPr="00583D68" w:rsidRDefault="0029791D" w:rsidP="00FD64E8">
      <w:pPr>
        <w:pStyle w:val="H1G"/>
        <w:spacing w:before="240" w:after="120"/>
      </w:pPr>
      <w:r>
        <w:tab/>
      </w:r>
      <w:r>
        <w:tab/>
      </w:r>
      <w:r w:rsidR="00421A10" w:rsidRPr="00583D68">
        <w:t xml:space="preserve">Concernant l’adoption </w:t>
      </w:r>
      <w:r w:rsidR="002A4A19">
        <w:rPr>
          <w:color w:val="000000"/>
          <w:sz w:val="27"/>
          <w:szCs w:val="27"/>
        </w:rPr>
        <w:t xml:space="preserve">de Règlements techniques harmonisés </w:t>
      </w:r>
      <w:r w:rsidR="00FD64E8">
        <w:rPr>
          <w:color w:val="000000"/>
          <w:sz w:val="27"/>
          <w:szCs w:val="27"/>
        </w:rPr>
        <w:br/>
      </w:r>
      <w:r w:rsidR="002A4A19">
        <w:rPr>
          <w:color w:val="000000"/>
          <w:sz w:val="27"/>
          <w:szCs w:val="27"/>
        </w:rPr>
        <w:t>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2A4A19">
        <w:rPr>
          <w:rStyle w:val="FootnoteReference"/>
          <w:b w:val="0"/>
          <w:sz w:val="20"/>
          <w:vertAlign w:val="baseline"/>
        </w:rPr>
        <w:footnoteReference w:customMarkFollows="1" w:id="2"/>
        <w:t>*</w:t>
      </w:r>
    </w:p>
    <w:p w14:paraId="56F0A3C9" w14:textId="77777777" w:rsidR="00421A10" w:rsidRPr="00A12483" w:rsidRDefault="00421A10" w:rsidP="0029791D">
      <w:pPr>
        <w:pStyle w:val="SingleTxtG"/>
        <w:jc w:val="left"/>
        <w:rPr>
          <w:b/>
          <w:sz w:val="24"/>
          <w:szCs w:val="24"/>
        </w:rPr>
      </w:pPr>
      <w:r w:rsidRPr="006549FF">
        <w:t xml:space="preserve">(Révision </w:t>
      </w:r>
      <w:r w:rsidR="002A4A19" w:rsidRPr="003F187C">
        <w:rPr>
          <w:lang w:val="fr-FR"/>
        </w:rPr>
        <w:t>3, comprenant les amendements entrés en vigueur le 14 septembre 2017</w:t>
      </w:r>
      <w:r w:rsidRPr="006549FF">
        <w:t>)</w:t>
      </w:r>
    </w:p>
    <w:p w14:paraId="68C84AC1" w14:textId="77777777" w:rsidR="00421A10" w:rsidRPr="006549FF" w:rsidRDefault="0029791D" w:rsidP="0029791D">
      <w:pPr>
        <w:jc w:val="center"/>
      </w:pPr>
      <w:r>
        <w:t>_______________</w:t>
      </w:r>
    </w:p>
    <w:p w14:paraId="66E8CE2A" w14:textId="77777777" w:rsidR="00421A10" w:rsidRPr="006549FF" w:rsidRDefault="0029791D" w:rsidP="00FD64E8">
      <w:pPr>
        <w:pStyle w:val="HChG"/>
        <w:spacing w:before="240" w:after="120"/>
      </w:pPr>
      <w:r>
        <w:tab/>
      </w:r>
      <w:r>
        <w:tab/>
      </w:r>
      <w:r w:rsidR="00421A10" w:rsidRPr="006549FF">
        <w:t xml:space="preserve">Additif </w:t>
      </w:r>
      <w:r w:rsidR="002A4A19">
        <w:t>15 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A4A19">
        <w:t>16</w:t>
      </w:r>
    </w:p>
    <w:p w14:paraId="0C3A0B5C" w14:textId="77777777" w:rsidR="00421A10" w:rsidRPr="006549FF" w:rsidRDefault="0029791D" w:rsidP="00FD64E8">
      <w:pPr>
        <w:pStyle w:val="H1G"/>
        <w:spacing w:before="240" w:after="200"/>
      </w:pPr>
      <w:r>
        <w:tab/>
      </w:r>
      <w:r>
        <w:tab/>
      </w:r>
      <w:r w:rsidR="00421A10" w:rsidRPr="006549FF">
        <w:t xml:space="preserve">Révision </w:t>
      </w:r>
      <w:r w:rsidR="002A4A19">
        <w:rPr>
          <w:szCs w:val="24"/>
        </w:rPr>
        <w:t>9 − Amendement 2</w:t>
      </w:r>
    </w:p>
    <w:p w14:paraId="29D283B1" w14:textId="77777777" w:rsidR="00421A10" w:rsidRPr="0029791D" w:rsidRDefault="002A4A19" w:rsidP="002A4A19">
      <w:pPr>
        <w:pStyle w:val="SingleTxtG"/>
        <w:spacing w:after="0"/>
      </w:pPr>
      <w:r w:rsidRPr="00ED5268">
        <w:rPr>
          <w:lang w:val="fr-FR"/>
        </w:rPr>
        <w:t>Complément 2 à la série 07 d</w:t>
      </w:r>
      <w:r w:rsidRPr="00FF55A5">
        <w:rPr>
          <w:lang w:val="fr-FR"/>
        </w:rPr>
        <w:t>’</w:t>
      </w:r>
      <w:r w:rsidRPr="00ED5268">
        <w:rPr>
          <w:lang w:val="fr-FR"/>
        </w:rPr>
        <w:t>amendements</w:t>
      </w:r>
      <w:r>
        <w:rPr>
          <w:lang w:val="fr-FR"/>
        </w:rPr>
        <w:t xml:space="preserve"> </w:t>
      </w:r>
      <w:r w:rsidR="00FF55A5">
        <w:rPr>
          <w:lang w:val="fr-FR"/>
        </w:rPr>
        <w:t>−</w:t>
      </w:r>
      <w:r>
        <w:rPr>
          <w:lang w:val="fr-FR"/>
        </w:rPr>
        <w:t xml:space="preserve"> Date d</w:t>
      </w:r>
      <w:r w:rsidRPr="00FF55A5">
        <w:rPr>
          <w:lang w:val="fr-FR"/>
        </w:rPr>
        <w:t>’</w:t>
      </w:r>
      <w:r>
        <w:rPr>
          <w:lang w:val="fr-FR"/>
        </w:rPr>
        <w:t>entrée en vigueur : 19 juillet 2018</w:t>
      </w:r>
    </w:p>
    <w:p w14:paraId="0C12EAC8" w14:textId="77777777" w:rsidR="00FD64E8" w:rsidRPr="00FD64E8" w:rsidRDefault="0029791D" w:rsidP="00FD64E8">
      <w:pPr>
        <w:pStyle w:val="H1G"/>
        <w:spacing w:before="240" w:after="200"/>
      </w:pPr>
      <w:r>
        <w:tab/>
      </w:r>
      <w:r>
        <w:tab/>
      </w:r>
      <w:r w:rsidR="00421A10" w:rsidRPr="007619D3">
        <w:t xml:space="preserve">Prescriptions uniformes relatives </w:t>
      </w:r>
      <w:r w:rsidR="00FD64E8" w:rsidRPr="00FD64E8">
        <w:t>à l’homologation des :</w:t>
      </w:r>
    </w:p>
    <w:p w14:paraId="4CC5A717" w14:textId="77777777" w:rsidR="00FD64E8" w:rsidRPr="00FD64E8" w:rsidRDefault="00FD64E8" w:rsidP="00FD64E8">
      <w:pPr>
        <w:pStyle w:val="H1G"/>
        <w:spacing w:before="240" w:after="120" w:line="250" w:lineRule="exact"/>
      </w:pPr>
      <w:r w:rsidRPr="00FD64E8">
        <w:tab/>
        <w:t>I.</w:t>
      </w:r>
      <w:r w:rsidRPr="00FD64E8">
        <w:tab/>
        <w:t xml:space="preserve">Ceintures de sécurité, systèmes de retenue, dispositifs de retenue </w:t>
      </w:r>
      <w:r w:rsidR="004A0948">
        <w:br/>
      </w:r>
      <w:r w:rsidRPr="00FD64E8">
        <w:t xml:space="preserve">pour enfants et dispositifs de retenue pour enfants ISOFIX </w:t>
      </w:r>
      <w:r w:rsidR="004A0948">
        <w:br/>
      </w:r>
      <w:r w:rsidRPr="00FD64E8">
        <w:t>pour les occupants des véhicules à moteur</w:t>
      </w:r>
    </w:p>
    <w:p w14:paraId="55A7EC2E" w14:textId="77777777" w:rsidR="00FD64E8" w:rsidRDefault="00FD64E8" w:rsidP="00FD64E8">
      <w:pPr>
        <w:pStyle w:val="H1G"/>
        <w:spacing w:before="120" w:after="120" w:line="250" w:lineRule="exact"/>
        <w:rPr>
          <w:spacing w:val="-4"/>
        </w:rPr>
      </w:pPr>
      <w:r>
        <w:tab/>
      </w:r>
      <w:r w:rsidRPr="00FD64E8">
        <w:t>II.</w:t>
      </w:r>
      <w:r w:rsidRPr="00FD64E8">
        <w:tab/>
      </w:r>
      <w:r w:rsidRPr="00FD64E8">
        <w:rPr>
          <w:spacing w:val="-4"/>
        </w:rPr>
        <w:t>Véhicules équipés de ceintures de sécurité, témoins de port de ceinture, systèmes de retenue, dispositifs de retenue pour enfants, dispositifs de retenue pour enfants ISOFIX et dispositifs de retenue pour enfants i-Size</w:t>
      </w:r>
    </w:p>
    <w:p w14:paraId="261C7DD9" w14:textId="77777777" w:rsidR="00FD64E8" w:rsidRDefault="00FD64E8" w:rsidP="00FD64E8">
      <w:pPr>
        <w:pStyle w:val="SingleTxtG"/>
        <w:rPr>
          <w:spacing w:val="-4"/>
          <w:lang w:eastAsia="en-GB"/>
        </w:rPr>
      </w:pPr>
      <w:r>
        <w:rPr>
          <w:spacing w:val="-4"/>
        </w:rPr>
        <w:tab/>
      </w:r>
      <w:r w:rsidRPr="00FD64E8">
        <w:rPr>
          <w:spacing w:val="-4"/>
        </w:rPr>
        <w:t>Le présent document est communiqué uniquement à titre d</w:t>
      </w:r>
      <w:r w:rsidRPr="00FD64E8">
        <w:rPr>
          <w:b/>
          <w:spacing w:val="-4"/>
        </w:rPr>
        <w:t>’</w:t>
      </w:r>
      <w:r w:rsidRPr="00FD64E8">
        <w:rPr>
          <w:spacing w:val="-4"/>
        </w:rPr>
        <w:t>information. Le texte authentique, juridiquement contraignant, est celui du document</w:t>
      </w:r>
      <w:r w:rsidRPr="00FD64E8">
        <w:rPr>
          <w:rStyle w:val="CommentReference"/>
          <w:spacing w:val="-4"/>
        </w:rPr>
        <w:t xml:space="preserve"> </w:t>
      </w:r>
      <w:r w:rsidRPr="007556B9">
        <w:rPr>
          <w:rStyle w:val="CommentReference"/>
          <w:spacing w:val="-4"/>
          <w:sz w:val="20"/>
          <w:szCs w:val="20"/>
        </w:rPr>
        <w:t>E</w:t>
      </w:r>
      <w:r w:rsidRPr="00FD64E8">
        <w:rPr>
          <w:spacing w:val="-4"/>
          <w:lang w:eastAsia="en-GB"/>
        </w:rPr>
        <w:t>CE/TRANS/WP.29/2017/120.</w:t>
      </w:r>
    </w:p>
    <w:p w14:paraId="2E14BF35" w14:textId="77777777" w:rsidR="00FD64E8" w:rsidRDefault="00FD64E8" w:rsidP="00FD64E8">
      <w:pPr>
        <w:pStyle w:val="SingleTxtG"/>
        <w:rPr>
          <w:spacing w:val="-4"/>
        </w:rPr>
      </w:pPr>
      <w:r w:rsidRPr="00FD64E8">
        <w:rPr>
          <w:noProof/>
          <w:spacing w:val="-4"/>
          <w:lang w:val="en-GB" w:eastAsia="zh-CN"/>
        </w:rPr>
        <mc:AlternateContent>
          <mc:Choice Requires="wps">
            <w:drawing>
              <wp:anchor distT="0" distB="0" distL="114300" distR="114300" simplePos="0" relativeHeight="251659264" behindDoc="0" locked="0" layoutInCell="1" allowOverlap="1" wp14:anchorId="5C57BCAC" wp14:editId="2CEDFFE2">
                <wp:simplePos x="0" y="0"/>
                <wp:positionH relativeFrom="margin">
                  <wp:posOffset>0</wp:posOffset>
                </wp:positionH>
                <wp:positionV relativeFrom="margin">
                  <wp:posOffset>6358255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1A61261F" w14:textId="77777777" w:rsidR="00FD64E8" w:rsidRPr="0029791D" w:rsidRDefault="00FD64E8" w:rsidP="00FD64E8">
                            <w:pPr>
                              <w:ind w:left="1134" w:right="1134"/>
                              <w:jc w:val="center"/>
                            </w:pPr>
                            <w:r>
                              <w:t>_______________</w:t>
                            </w:r>
                          </w:p>
                          <w:p w14:paraId="1C003966" w14:textId="77777777" w:rsidR="00FD64E8" w:rsidRDefault="00FD64E8" w:rsidP="00FD64E8">
                            <w:pPr>
                              <w:jc w:val="center"/>
                              <w:rPr>
                                <w:b/>
                                <w:bCs/>
                                <w:sz w:val="22"/>
                              </w:rPr>
                            </w:pPr>
                            <w:r>
                              <w:rPr>
                                <w:noProof/>
                                <w:lang w:val="en-GB" w:eastAsia="zh-CN"/>
                              </w:rPr>
                              <w:drawing>
                                <wp:inline distT="0" distB="0" distL="0" distR="0" wp14:anchorId="6C9B74E0" wp14:editId="22DFB1A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FA6B221" w14:textId="77777777" w:rsidR="00FD64E8" w:rsidRDefault="00FD64E8" w:rsidP="00FD64E8">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BCAC" id="_x0000_t202" coordsize="21600,21600" o:spt="202" path="m,l,21600r21600,l21600,xe">
                <v:stroke joinstyle="miter"/>
                <v:path gradientshapeok="t" o:connecttype="rect"/>
              </v:shapetype>
              <v:shape id="Zone de texte 4" o:spid="_x0000_s1026" type="#_x0000_t202" style="position:absolute;left:0;text-align:left;margin-left:0;margin-top:500.65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" stroked="f">
                <v:textbox inset="0,0,0,0">
                  <w:txbxContent>
                    <w:p w14:paraId="1A61261F" w14:textId="77777777" w:rsidR="00FD64E8" w:rsidRPr="0029791D" w:rsidRDefault="00FD64E8" w:rsidP="00FD64E8">
                      <w:pPr>
                        <w:ind w:left="1134" w:right="1134"/>
                        <w:jc w:val="center"/>
                      </w:pPr>
                      <w:r>
                        <w:t>_______________</w:t>
                      </w:r>
                    </w:p>
                    <w:p w14:paraId="1C003966" w14:textId="77777777" w:rsidR="00FD64E8" w:rsidRDefault="00FD64E8" w:rsidP="00FD64E8">
                      <w:pPr>
                        <w:jc w:val="center"/>
                        <w:rPr>
                          <w:b/>
                          <w:bCs/>
                          <w:sz w:val="22"/>
                        </w:rPr>
                      </w:pPr>
                      <w:r>
                        <w:rPr>
                          <w:noProof/>
                          <w:lang w:val="en-GB" w:eastAsia="zh-CN"/>
                        </w:rPr>
                        <w:drawing>
                          <wp:inline distT="0" distB="0" distL="0" distR="0" wp14:anchorId="6C9B74E0" wp14:editId="22DFB1A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FA6B221" w14:textId="77777777" w:rsidR="00FD64E8" w:rsidRDefault="00FD64E8" w:rsidP="00FD64E8">
                      <w:pPr>
                        <w:jc w:val="center"/>
                      </w:pPr>
                      <w:r w:rsidRPr="0029791D">
                        <w:rPr>
                          <w:b/>
                          <w:bCs/>
                          <w:sz w:val="24"/>
                          <w:szCs w:val="24"/>
                        </w:rPr>
                        <w:t>Nations Unies</w:t>
                      </w:r>
                    </w:p>
                  </w:txbxContent>
                </v:textbox>
                <w10:wrap anchorx="margin" anchory="margin"/>
              </v:shape>
            </w:pict>
          </mc:Fallback>
        </mc:AlternateContent>
      </w:r>
    </w:p>
    <w:p w14:paraId="6CF811C5" w14:textId="77777777" w:rsidR="00FD64E8" w:rsidRDefault="00FD64E8" w:rsidP="00FD64E8">
      <w:pPr>
        <w:pStyle w:val="SingleTxtG"/>
        <w:rPr>
          <w:spacing w:val="-4"/>
        </w:rPr>
      </w:pPr>
    </w:p>
    <w:p w14:paraId="03CE9148" w14:textId="77777777" w:rsidR="00FD64E8" w:rsidRDefault="00FD64E8" w:rsidP="00FD64E8">
      <w:pPr>
        <w:pStyle w:val="SingleTxtG"/>
        <w:rPr>
          <w:spacing w:val="-4"/>
        </w:rPr>
      </w:pPr>
    </w:p>
    <w:p w14:paraId="26A81B0C" w14:textId="77777777" w:rsidR="00FD64E8" w:rsidRDefault="00FD64E8" w:rsidP="00FD64E8">
      <w:pPr>
        <w:pStyle w:val="SingleTxtG"/>
        <w:rPr>
          <w:spacing w:val="-4"/>
        </w:rPr>
      </w:pPr>
    </w:p>
    <w:p w14:paraId="1A22756D" w14:textId="77777777" w:rsidR="00421A10" w:rsidRPr="00FD64E8" w:rsidRDefault="00421A10" w:rsidP="00FD64E8">
      <w:pPr>
        <w:pStyle w:val="SingleTxtG"/>
        <w:rPr>
          <w:spacing w:val="-4"/>
        </w:rPr>
      </w:pPr>
    </w:p>
    <w:p w14:paraId="36FF96D0" w14:textId="77777777" w:rsidR="00FD64E8" w:rsidRPr="00ED5268" w:rsidRDefault="00FD64E8" w:rsidP="00FD64E8">
      <w:pPr>
        <w:pStyle w:val="SingleTxtG"/>
      </w:pPr>
      <w:r w:rsidRPr="00ED5268">
        <w:rPr>
          <w:i/>
          <w:iCs/>
          <w:lang w:val="fr-FR"/>
        </w:rPr>
        <w:lastRenderedPageBreak/>
        <w:t>Paragraphe 2.30</w:t>
      </w:r>
      <w:r w:rsidRPr="00ED5268">
        <w:rPr>
          <w:lang w:val="fr-FR"/>
        </w:rPr>
        <w:t>, lire :</w:t>
      </w:r>
    </w:p>
    <w:p w14:paraId="06497698" w14:textId="77777777" w:rsidR="00FD64E8" w:rsidRPr="00ED5268" w:rsidRDefault="00FD64E8" w:rsidP="00FD64E8">
      <w:pPr>
        <w:pStyle w:val="SingleTxtG"/>
        <w:ind w:left="2268" w:hanging="1134"/>
      </w:pPr>
      <w:r w:rsidRPr="00ED5268">
        <w:rPr>
          <w:lang w:val="fr-FR"/>
        </w:rPr>
        <w:t>« 2.30</w:t>
      </w:r>
      <w:r w:rsidRPr="00ED5268">
        <w:rPr>
          <w:lang w:val="fr-FR"/>
        </w:rPr>
        <w:tab/>
        <w:t>“</w:t>
      </w:r>
      <w:r w:rsidRPr="00ED5268">
        <w:rPr>
          <w:i/>
          <w:iCs/>
          <w:lang w:val="fr-FR"/>
        </w:rPr>
        <w:t>Dispositif de retenue pour enfants ISOFIX</w:t>
      </w:r>
      <w:r w:rsidRPr="00ED5268">
        <w:rPr>
          <w:lang w:val="fr-FR"/>
        </w:rPr>
        <w:t>”, signifie un dispositif de retenue pour enfants conforme aux prescriptions du Règlement ONU n</w:t>
      </w:r>
      <w:r w:rsidRPr="00ED5268">
        <w:rPr>
          <w:vertAlign w:val="superscript"/>
          <w:lang w:val="fr-FR"/>
        </w:rPr>
        <w:t>o</w:t>
      </w:r>
      <w:r w:rsidRPr="00ED5268">
        <w:t> </w:t>
      </w:r>
      <w:r w:rsidRPr="00ED5268">
        <w:rPr>
          <w:lang w:val="fr-FR"/>
        </w:rPr>
        <w:t>44 ou à celles du Règlement ONU n</w:t>
      </w:r>
      <w:r w:rsidRPr="00ED5268">
        <w:rPr>
          <w:vertAlign w:val="superscript"/>
          <w:lang w:val="fr-FR"/>
        </w:rPr>
        <w:t>o</w:t>
      </w:r>
      <w:r w:rsidRPr="00ED5268">
        <w:t> </w:t>
      </w:r>
      <w:r w:rsidRPr="00ED5268">
        <w:rPr>
          <w:lang w:val="fr-FR"/>
        </w:rPr>
        <w:t>129, qui doit être fixé à un système d</w:t>
      </w:r>
      <w:r>
        <w:rPr>
          <w:lang w:val="fr-FR"/>
        </w:rPr>
        <w:t>’</w:t>
      </w:r>
      <w:r w:rsidRPr="00ED5268">
        <w:rPr>
          <w:lang w:val="fr-FR"/>
        </w:rPr>
        <w:t>ancrage ISOFIX conforme au Règlement ONU n</w:t>
      </w:r>
      <w:r w:rsidRPr="00ED5268">
        <w:rPr>
          <w:vertAlign w:val="superscript"/>
          <w:lang w:val="fr-FR"/>
        </w:rPr>
        <w:t>o</w:t>
      </w:r>
      <w:r w:rsidRPr="00ED5268">
        <w:t> </w:t>
      </w:r>
      <w:r w:rsidRPr="00ED5268">
        <w:rPr>
          <w:lang w:val="fr-FR"/>
        </w:rPr>
        <w:t>14</w:t>
      </w:r>
      <w:r w:rsidRPr="00ED5268">
        <w:rPr>
          <w:b/>
          <w:bCs/>
          <w:lang w:val="fr-FR"/>
        </w:rPr>
        <w:t xml:space="preserve"> </w:t>
      </w:r>
      <w:r w:rsidRPr="00ED5268">
        <w:rPr>
          <w:bCs/>
          <w:lang w:val="fr-FR"/>
        </w:rPr>
        <w:t xml:space="preserve">ou au Règlement </w:t>
      </w:r>
      <w:r w:rsidRPr="00ED5268">
        <w:rPr>
          <w:lang w:val="fr-FR"/>
        </w:rPr>
        <w:t xml:space="preserve">ONU </w:t>
      </w:r>
      <w:r w:rsidRPr="00ED5268">
        <w:rPr>
          <w:bCs/>
          <w:lang w:val="fr-FR"/>
        </w:rPr>
        <w:t>n</w:t>
      </w:r>
      <w:r w:rsidRPr="00ED5268">
        <w:rPr>
          <w:bCs/>
          <w:vertAlign w:val="superscript"/>
          <w:lang w:val="fr-FR"/>
        </w:rPr>
        <w:t>o</w:t>
      </w:r>
      <w:r w:rsidRPr="00ED5268">
        <w:rPr>
          <w:bCs/>
        </w:rPr>
        <w:t> </w:t>
      </w:r>
      <w:r w:rsidRPr="00ED5268">
        <w:rPr>
          <w:bCs/>
          <w:lang w:val="fr-FR"/>
        </w:rPr>
        <w:t>145</w:t>
      </w:r>
      <w:r w:rsidRPr="00ED5268">
        <w:rPr>
          <w:lang w:val="fr-FR"/>
        </w:rPr>
        <w:t>. ».</w:t>
      </w:r>
    </w:p>
    <w:p w14:paraId="4B574E34" w14:textId="77777777" w:rsidR="00FD64E8" w:rsidRPr="00ED5268" w:rsidRDefault="00FD64E8" w:rsidP="00FD64E8">
      <w:pPr>
        <w:pStyle w:val="SingleTxtG"/>
      </w:pPr>
      <w:r w:rsidRPr="00ED5268">
        <w:rPr>
          <w:i/>
          <w:iCs/>
          <w:lang w:val="fr-FR"/>
        </w:rPr>
        <w:t>Paragraphe 2.32</w:t>
      </w:r>
      <w:r w:rsidRPr="00ED5268">
        <w:rPr>
          <w:lang w:val="fr-FR"/>
        </w:rPr>
        <w:t>, lire :</w:t>
      </w:r>
    </w:p>
    <w:p w14:paraId="6F600870" w14:textId="77777777" w:rsidR="00FD64E8" w:rsidRPr="00ED5268" w:rsidRDefault="00FD64E8" w:rsidP="00FD64E8">
      <w:pPr>
        <w:pStyle w:val="SingleTxtG"/>
        <w:ind w:left="2268" w:hanging="1134"/>
      </w:pPr>
      <w:r w:rsidRPr="00ED5268">
        <w:rPr>
          <w:lang w:val="fr-FR"/>
        </w:rPr>
        <w:t>« 2.32</w:t>
      </w:r>
      <w:r w:rsidRPr="00ED5268">
        <w:rPr>
          <w:lang w:val="fr-FR"/>
        </w:rPr>
        <w:tab/>
        <w:t>“</w:t>
      </w:r>
      <w:r w:rsidRPr="00ED5268">
        <w:rPr>
          <w:i/>
          <w:iCs/>
          <w:lang w:val="fr-FR"/>
        </w:rPr>
        <w:t>Système d</w:t>
      </w:r>
      <w:r>
        <w:rPr>
          <w:i/>
          <w:iCs/>
          <w:lang w:val="fr-FR"/>
        </w:rPr>
        <w:t>’</w:t>
      </w:r>
      <w:r w:rsidRPr="00ED5268">
        <w:rPr>
          <w:i/>
          <w:iCs/>
          <w:lang w:val="fr-FR"/>
        </w:rPr>
        <w:t>ancrages ISOFIX</w:t>
      </w:r>
      <w:r w:rsidRPr="00ED5268">
        <w:rPr>
          <w:lang w:val="fr-FR"/>
        </w:rPr>
        <w:t>” : système composé de deux ancrages inférieurs ISOFIX, conformes au Règlement ONU n</w:t>
      </w:r>
      <w:r w:rsidRPr="00ED5268">
        <w:rPr>
          <w:vertAlign w:val="superscript"/>
          <w:lang w:val="fr-FR"/>
        </w:rPr>
        <w:t>o</w:t>
      </w:r>
      <w:r w:rsidRPr="00ED5268">
        <w:t> </w:t>
      </w:r>
      <w:r w:rsidRPr="00ED5268">
        <w:rPr>
          <w:lang w:val="fr-FR"/>
        </w:rPr>
        <w:t>14</w:t>
      </w:r>
      <w:r w:rsidRPr="00ED5268">
        <w:rPr>
          <w:b/>
          <w:bCs/>
          <w:lang w:val="fr-FR"/>
        </w:rPr>
        <w:t xml:space="preserve"> </w:t>
      </w:r>
      <w:r w:rsidRPr="00ED5268">
        <w:rPr>
          <w:bCs/>
          <w:lang w:val="fr-FR"/>
        </w:rPr>
        <w:t xml:space="preserve">ou au Règlement </w:t>
      </w:r>
      <w:r w:rsidRPr="00ED5268">
        <w:rPr>
          <w:lang w:val="fr-FR"/>
        </w:rPr>
        <w:t xml:space="preserve">ONU </w:t>
      </w:r>
      <w:r w:rsidRPr="00ED5268">
        <w:rPr>
          <w:bCs/>
          <w:lang w:val="fr-FR"/>
        </w:rPr>
        <w:t>n</w:t>
      </w:r>
      <w:r w:rsidRPr="00ED5268">
        <w:rPr>
          <w:bCs/>
          <w:vertAlign w:val="superscript"/>
          <w:lang w:val="fr-FR"/>
        </w:rPr>
        <w:t>o</w:t>
      </w:r>
      <w:r w:rsidRPr="00ED5268">
        <w:rPr>
          <w:bCs/>
        </w:rPr>
        <w:t> </w:t>
      </w:r>
      <w:r w:rsidRPr="00ED5268">
        <w:rPr>
          <w:bCs/>
          <w:lang w:val="fr-FR"/>
        </w:rPr>
        <w:t>145</w:t>
      </w:r>
      <w:r w:rsidRPr="00ED5268">
        <w:rPr>
          <w:lang w:val="fr-FR"/>
        </w:rPr>
        <w:t>, destiné à attacher un dispositif de retenue pour enfants ISOFIX, associé à un système antirotation. ».</w:t>
      </w:r>
    </w:p>
    <w:p w14:paraId="5230B1F0" w14:textId="77777777" w:rsidR="00FD64E8" w:rsidRPr="00ED5268" w:rsidRDefault="00FD64E8" w:rsidP="00FD64E8">
      <w:pPr>
        <w:pStyle w:val="SingleTxtG"/>
      </w:pPr>
      <w:r w:rsidRPr="00ED5268">
        <w:rPr>
          <w:i/>
          <w:iCs/>
          <w:lang w:val="fr-FR"/>
        </w:rPr>
        <w:t>Paragraphe 2.35</w:t>
      </w:r>
      <w:r w:rsidRPr="00ED5268">
        <w:rPr>
          <w:lang w:val="fr-FR"/>
        </w:rPr>
        <w:t>, lire :</w:t>
      </w:r>
    </w:p>
    <w:p w14:paraId="31272AC4" w14:textId="77777777" w:rsidR="00FD64E8" w:rsidRPr="00ED5268" w:rsidRDefault="00FD64E8" w:rsidP="00FD64E8">
      <w:pPr>
        <w:pStyle w:val="SingleTxtG"/>
        <w:ind w:left="2268" w:hanging="1134"/>
      </w:pPr>
      <w:r w:rsidRPr="00ED5268">
        <w:rPr>
          <w:lang w:val="fr-FR"/>
        </w:rPr>
        <w:t>« 2.35</w:t>
      </w:r>
      <w:r w:rsidRPr="00ED5268">
        <w:rPr>
          <w:lang w:val="fr-FR"/>
        </w:rPr>
        <w:tab/>
        <w:t>“</w:t>
      </w:r>
      <w:r w:rsidRPr="00ED5268">
        <w:rPr>
          <w:i/>
          <w:iCs/>
          <w:lang w:val="fr-FR"/>
        </w:rPr>
        <w:t>Ancrage pour fixation supérieure ISOFIX</w:t>
      </w:r>
      <w:r w:rsidRPr="00ED5268">
        <w:rPr>
          <w:lang w:val="fr-FR"/>
        </w:rPr>
        <w:t>” : dispositif, conforme aux prescriptions du Règlement ONU n</w:t>
      </w:r>
      <w:r w:rsidRPr="00ED5268">
        <w:rPr>
          <w:vertAlign w:val="superscript"/>
          <w:lang w:val="fr-FR"/>
        </w:rPr>
        <w:t>o</w:t>
      </w:r>
      <w:r w:rsidRPr="00ED5268">
        <w:t> </w:t>
      </w:r>
      <w:r w:rsidRPr="00ED5268">
        <w:rPr>
          <w:lang w:val="fr-FR"/>
        </w:rPr>
        <w:t>14</w:t>
      </w:r>
      <w:r w:rsidRPr="00ED5268">
        <w:rPr>
          <w:b/>
          <w:bCs/>
          <w:lang w:val="fr-FR"/>
        </w:rPr>
        <w:t xml:space="preserve"> </w:t>
      </w:r>
      <w:r w:rsidRPr="00ED5268">
        <w:rPr>
          <w:bCs/>
          <w:lang w:val="fr-FR"/>
        </w:rPr>
        <w:t xml:space="preserve">ou à celles du Règlement </w:t>
      </w:r>
      <w:r w:rsidRPr="00ED5268">
        <w:rPr>
          <w:lang w:val="fr-FR"/>
        </w:rPr>
        <w:t xml:space="preserve">ONU </w:t>
      </w:r>
      <w:r w:rsidRPr="00ED5268">
        <w:rPr>
          <w:bCs/>
          <w:lang w:val="fr-FR"/>
        </w:rPr>
        <w:t>n</w:t>
      </w:r>
      <w:r w:rsidRPr="00ED5268">
        <w:rPr>
          <w:bCs/>
          <w:vertAlign w:val="superscript"/>
          <w:lang w:val="fr-FR"/>
        </w:rPr>
        <w:t>o</w:t>
      </w:r>
      <w:r w:rsidRPr="00ED5268">
        <w:rPr>
          <w:bCs/>
        </w:rPr>
        <w:t> </w:t>
      </w:r>
      <w:r w:rsidRPr="00ED5268">
        <w:rPr>
          <w:bCs/>
          <w:lang w:val="fr-FR"/>
        </w:rPr>
        <w:t>145</w:t>
      </w:r>
      <w:r w:rsidRPr="00ED5268">
        <w:rPr>
          <w:lang w:val="fr-FR"/>
        </w:rPr>
        <w:t>, comme une barre, situé dans une zone définie, destiné à recevoir un connecteur d</w:t>
      </w:r>
      <w:r>
        <w:rPr>
          <w:lang w:val="fr-FR"/>
        </w:rPr>
        <w:t>’</w:t>
      </w:r>
      <w:r w:rsidRPr="00ED5268">
        <w:rPr>
          <w:lang w:val="fr-FR"/>
        </w:rPr>
        <w:t>ancrage pour fixation supérieure ISOFIX et à transférer son effort de rétention à la structure du véhicule. ».</w:t>
      </w:r>
    </w:p>
    <w:p w14:paraId="46A06E3B" w14:textId="77777777" w:rsidR="00FD64E8" w:rsidRPr="00ED5268" w:rsidRDefault="00FD64E8" w:rsidP="00FD64E8">
      <w:pPr>
        <w:pStyle w:val="SingleTxtG"/>
      </w:pPr>
      <w:r w:rsidRPr="00ED5268">
        <w:rPr>
          <w:i/>
          <w:iCs/>
          <w:lang w:val="fr-FR"/>
        </w:rPr>
        <w:t>Paragraphe 2.38</w:t>
      </w:r>
      <w:r w:rsidRPr="00ED5268">
        <w:rPr>
          <w:lang w:val="fr-FR"/>
        </w:rPr>
        <w:t>, lire :</w:t>
      </w:r>
    </w:p>
    <w:p w14:paraId="13B19CC9" w14:textId="77777777" w:rsidR="00FD64E8" w:rsidRPr="00ED5268" w:rsidRDefault="00FD64E8" w:rsidP="00FD64E8">
      <w:pPr>
        <w:pStyle w:val="SingleTxtG"/>
        <w:ind w:left="2268" w:hanging="1134"/>
      </w:pPr>
      <w:r w:rsidRPr="00ED5268">
        <w:t>« 2.38</w:t>
      </w:r>
      <w:r w:rsidRPr="00ED5268">
        <w:tab/>
        <w:t>Le “</w:t>
      </w:r>
      <w:r w:rsidRPr="00ED5268">
        <w:rPr>
          <w:i/>
          <w:iCs/>
        </w:rPr>
        <w:t>Système d</w:t>
      </w:r>
      <w:r>
        <w:rPr>
          <w:i/>
          <w:iCs/>
        </w:rPr>
        <w:t>’</w:t>
      </w:r>
      <w:r w:rsidRPr="00ED5268">
        <w:rPr>
          <w:i/>
          <w:iCs/>
        </w:rPr>
        <w:t>installation de retenue pour enfants</w:t>
      </w:r>
      <w:r w:rsidRPr="00ED5268">
        <w:t xml:space="preserve">” (SIRE) est un gabarit correspondant à </w:t>
      </w:r>
      <w:r w:rsidRPr="00ED5268">
        <w:rPr>
          <w:lang w:val="fr-FR"/>
        </w:rPr>
        <w:t>l</w:t>
      </w:r>
      <w:r>
        <w:rPr>
          <w:lang w:val="fr-FR"/>
        </w:rPr>
        <w:t>’</w:t>
      </w:r>
      <w:r w:rsidRPr="00ED5268">
        <w:rPr>
          <w:lang w:val="fr-FR"/>
        </w:rPr>
        <w:t>un</w:t>
      </w:r>
      <w:r w:rsidRPr="00ED5268">
        <w:t xml:space="preserve"> des dispositifs ISOFIX définis au paragraphe 4 de </w:t>
      </w:r>
      <w:r w:rsidRPr="00ED5268">
        <w:rPr>
          <w:spacing w:val="-2"/>
        </w:rPr>
        <w:t>l</w:t>
      </w:r>
      <w:r>
        <w:rPr>
          <w:spacing w:val="-2"/>
        </w:rPr>
        <w:t>’</w:t>
      </w:r>
      <w:r w:rsidRPr="00ED5268">
        <w:rPr>
          <w:spacing w:val="-2"/>
        </w:rPr>
        <w:t>appendice 2 de l</w:t>
      </w:r>
      <w:r>
        <w:rPr>
          <w:spacing w:val="-2"/>
        </w:rPr>
        <w:t>’</w:t>
      </w:r>
      <w:r w:rsidRPr="00ED5268">
        <w:rPr>
          <w:spacing w:val="-2"/>
        </w:rPr>
        <w:t>annexe 17 du présent Règlement</w:t>
      </w:r>
      <w:r w:rsidRPr="00ED5268">
        <w:rPr>
          <w:lang w:val="fr-FR"/>
        </w:rPr>
        <w:t xml:space="preserve"> ONU</w:t>
      </w:r>
      <w:r w:rsidRPr="00ED5268">
        <w:rPr>
          <w:spacing w:val="-2"/>
        </w:rPr>
        <w:t>, et dont les dimensions sont</w:t>
      </w:r>
      <w:r w:rsidRPr="00ED5268">
        <w:t xml:space="preserve"> </w:t>
      </w:r>
      <w:r w:rsidRPr="00ED5268">
        <w:rPr>
          <w:spacing w:val="-2"/>
        </w:rPr>
        <w:t>indiquées aux figures 1 à 8 du paragraphe 4 mentionné ci-dessus. Ces systèmes d</w:t>
      </w:r>
      <w:r>
        <w:rPr>
          <w:spacing w:val="-2"/>
        </w:rPr>
        <w:t>’</w:t>
      </w:r>
      <w:r w:rsidRPr="00ED5268">
        <w:rPr>
          <w:spacing w:val="-2"/>
        </w:rPr>
        <w:t>installation de retenue pour enfants (SIRE) sont utilisés, dans le présent Règlement</w:t>
      </w:r>
      <w:r w:rsidRPr="00ED5268">
        <w:rPr>
          <w:lang w:val="fr-FR"/>
        </w:rPr>
        <w:t xml:space="preserve"> ONU</w:t>
      </w:r>
      <w:r w:rsidRPr="00ED5268">
        <w:rPr>
          <w:spacing w:val="-2"/>
        </w:rPr>
        <w:t>, pour vérifier quelles sont les classes d</w:t>
      </w:r>
      <w:r>
        <w:rPr>
          <w:spacing w:val="-2"/>
        </w:rPr>
        <w:t>’</w:t>
      </w:r>
      <w:r w:rsidRPr="00ED5268">
        <w:rPr>
          <w:spacing w:val="-2"/>
        </w:rPr>
        <w:t xml:space="preserve">enveloppe de dispositifs de retenue pour enfants ISOFIX mentionnées dans le Règlement </w:t>
      </w:r>
      <w:r w:rsidRPr="00ED5268">
        <w:rPr>
          <w:lang w:val="fr-FR"/>
        </w:rPr>
        <w:t xml:space="preserve">ONU </w:t>
      </w:r>
      <w:r w:rsidRPr="00ED5268">
        <w:rPr>
          <w:bCs/>
          <w:spacing w:val="-2"/>
        </w:rPr>
        <w:t>n</w:t>
      </w:r>
      <w:r w:rsidRPr="00ED5268">
        <w:rPr>
          <w:bCs/>
          <w:spacing w:val="-2"/>
          <w:vertAlign w:val="superscript"/>
        </w:rPr>
        <w:t>o</w:t>
      </w:r>
      <w:r w:rsidRPr="00ED5268">
        <w:rPr>
          <w:spacing w:val="-2"/>
        </w:rPr>
        <w:t> 44</w:t>
      </w:r>
      <w:r w:rsidRPr="00ED5268">
        <w:t xml:space="preserve"> </w:t>
      </w:r>
      <w:r w:rsidRPr="00ED5268">
        <w:rPr>
          <w:bCs/>
        </w:rPr>
        <w:t xml:space="preserve">ou dans le Règlement </w:t>
      </w:r>
      <w:r w:rsidRPr="00ED5268">
        <w:rPr>
          <w:lang w:val="fr-FR"/>
        </w:rPr>
        <w:t xml:space="preserve">ONU </w:t>
      </w:r>
      <w:r w:rsidRPr="00ED5268">
        <w:rPr>
          <w:bCs/>
        </w:rPr>
        <w:t>n</w:t>
      </w:r>
      <w:r w:rsidRPr="00ED5268">
        <w:rPr>
          <w:bCs/>
          <w:vertAlign w:val="superscript"/>
        </w:rPr>
        <w:t>o</w:t>
      </w:r>
      <w:r w:rsidRPr="00ED5268">
        <w:t> </w:t>
      </w:r>
      <w:r w:rsidRPr="00ED5268">
        <w:rPr>
          <w:bCs/>
        </w:rPr>
        <w:t>129</w:t>
      </w:r>
      <w:r w:rsidRPr="00ED5268">
        <w:t xml:space="preserve"> qui peuvent être adaptées aux places ISOFIX du véhicule. De plus l</w:t>
      </w:r>
      <w:r>
        <w:t>’</w:t>
      </w:r>
      <w:r w:rsidRPr="00ED5268">
        <w:t xml:space="preserve">un des SIRE, le gabarit référencé ISO/F2, qui est décrit à la figure 2 du paragraphe 4 mentionné ci-dessus, est utilisé dans le Règlement </w:t>
      </w:r>
      <w:r w:rsidRPr="00ED5268">
        <w:rPr>
          <w:lang w:val="fr-FR"/>
        </w:rPr>
        <w:t xml:space="preserve">ONU </w:t>
      </w:r>
      <w:r w:rsidRPr="00ED5268">
        <w:rPr>
          <w:bCs/>
        </w:rPr>
        <w:t>n</w:t>
      </w:r>
      <w:r w:rsidRPr="00ED5268">
        <w:rPr>
          <w:bCs/>
          <w:vertAlign w:val="superscript"/>
        </w:rPr>
        <w:t>o</w:t>
      </w:r>
      <w:r w:rsidRPr="00ED5268">
        <w:t xml:space="preserve"> 14 ou dans le Règlement </w:t>
      </w:r>
      <w:r w:rsidRPr="00ED5268">
        <w:rPr>
          <w:lang w:val="fr-FR"/>
        </w:rPr>
        <w:t xml:space="preserve">ONU </w:t>
      </w:r>
      <w:r w:rsidRPr="00ED5268">
        <w:t>n</w:t>
      </w:r>
      <w:r w:rsidRPr="00ED5268">
        <w:rPr>
          <w:vertAlign w:val="superscript"/>
        </w:rPr>
        <w:t>o</w:t>
      </w:r>
      <w:r w:rsidRPr="00ED5268">
        <w:t> 145</w:t>
      </w:r>
      <w:r w:rsidRPr="00ED5268">
        <w:rPr>
          <w:b/>
        </w:rPr>
        <w:t xml:space="preserve"> </w:t>
      </w:r>
      <w:r w:rsidRPr="00ED5268">
        <w:t>pour vérifier la localisation et l</w:t>
      </w:r>
      <w:r>
        <w:t>’</w:t>
      </w:r>
      <w:r w:rsidRPr="00ED5268">
        <w:t>accessibilité de tous les systèmes d</w:t>
      </w:r>
      <w:r>
        <w:t>’</w:t>
      </w:r>
      <w:r w:rsidRPr="00ED5268">
        <w:t>ancrages ISOFIX.</w:t>
      </w:r>
    </w:p>
    <w:p w14:paraId="1FD88C36" w14:textId="77777777" w:rsidR="00FD64E8" w:rsidRPr="00ED5268" w:rsidRDefault="00FD64E8" w:rsidP="00FD64E8">
      <w:pPr>
        <w:pStyle w:val="SingleTxtG"/>
        <w:ind w:left="2268"/>
      </w:pPr>
      <w:r w:rsidRPr="00ED5268">
        <w:rPr>
          <w:lang w:val="fr-FR"/>
        </w:rPr>
        <w:t xml:space="preserve">Ou un </w:t>
      </w:r>
      <w:r w:rsidRPr="00ED5268">
        <w:rPr>
          <w:bCs/>
          <w:lang w:val="fr-FR"/>
        </w:rPr>
        <w:t>système correspondant à l</w:t>
      </w:r>
      <w:r>
        <w:rPr>
          <w:bCs/>
          <w:lang w:val="fr-FR"/>
        </w:rPr>
        <w:t>’</w:t>
      </w:r>
      <w:r w:rsidRPr="00ED5268">
        <w:rPr>
          <w:bCs/>
          <w:lang w:val="fr-FR"/>
        </w:rPr>
        <w:t>un des deux gabarits de “sièges rehausseurs”</w:t>
      </w:r>
      <w:r w:rsidRPr="00ED5268">
        <w:rPr>
          <w:lang w:val="fr-FR"/>
        </w:rPr>
        <w:t xml:space="preserve"> définis à</w:t>
      </w:r>
      <w:r w:rsidRPr="00ED5268">
        <w:rPr>
          <w:bCs/>
          <w:lang w:val="fr-FR"/>
        </w:rPr>
        <w:t xml:space="preserve"> l</w:t>
      </w:r>
      <w:r>
        <w:rPr>
          <w:bCs/>
          <w:lang w:val="fr-FR"/>
        </w:rPr>
        <w:t>’</w:t>
      </w:r>
      <w:r w:rsidRPr="00ED5268">
        <w:rPr>
          <w:bCs/>
          <w:lang w:val="fr-FR"/>
        </w:rPr>
        <w:t xml:space="preserve">appendice 5 </w:t>
      </w:r>
      <w:r w:rsidRPr="00ED5268">
        <w:rPr>
          <w:lang w:val="fr-FR"/>
        </w:rPr>
        <w:t>de l</w:t>
      </w:r>
      <w:r>
        <w:rPr>
          <w:lang w:val="fr-FR"/>
        </w:rPr>
        <w:t>’</w:t>
      </w:r>
      <w:r w:rsidRPr="00ED5268">
        <w:rPr>
          <w:lang w:val="fr-FR"/>
        </w:rPr>
        <w:t xml:space="preserve">annexe 17 du présent Règlement ONU et dont les dimensions sont indiquées aux figures 2 et 3 de ce même </w:t>
      </w:r>
      <w:r w:rsidRPr="00ED5268">
        <w:rPr>
          <w:bCs/>
          <w:lang w:val="fr-FR"/>
        </w:rPr>
        <w:t>appendice</w:t>
      </w:r>
      <w:r w:rsidRPr="00ED5268">
        <w:rPr>
          <w:lang w:val="fr-FR"/>
        </w:rPr>
        <w:t xml:space="preserve">. Dans le présent Règlement, ces gabarits sont utilisés </w:t>
      </w:r>
      <w:r w:rsidRPr="00ED5268">
        <w:rPr>
          <w:bCs/>
          <w:lang w:val="fr-FR"/>
        </w:rPr>
        <w:t xml:space="preserve">pour déterminer quelles enveloppes de sièges rehausseurs mentionnées dans le Règlement </w:t>
      </w:r>
      <w:r w:rsidRPr="00ED5268">
        <w:rPr>
          <w:lang w:val="fr-FR"/>
        </w:rPr>
        <w:t xml:space="preserve">ONU </w:t>
      </w:r>
      <w:r w:rsidRPr="00ED5268">
        <w:rPr>
          <w:bCs/>
        </w:rPr>
        <w:t>n</w:t>
      </w:r>
      <w:r w:rsidRPr="00ED5268">
        <w:rPr>
          <w:bCs/>
          <w:vertAlign w:val="superscript"/>
        </w:rPr>
        <w:t>o</w:t>
      </w:r>
      <w:r w:rsidRPr="00ED5268">
        <w:t> </w:t>
      </w:r>
      <w:r w:rsidRPr="00ED5268">
        <w:rPr>
          <w:bCs/>
          <w:lang w:val="fr-FR"/>
        </w:rPr>
        <w:t>129 p</w:t>
      </w:r>
      <w:r w:rsidRPr="00ED5268">
        <w:rPr>
          <w:lang w:val="fr-FR"/>
        </w:rPr>
        <w:t>euvent être adaptées aux places assises des véhicules, le cas échéant. ».</w:t>
      </w:r>
    </w:p>
    <w:p w14:paraId="5187A824" w14:textId="77777777" w:rsidR="00FD64E8" w:rsidRPr="00ED5268" w:rsidRDefault="00FD64E8" w:rsidP="00FD64E8">
      <w:pPr>
        <w:pStyle w:val="SingleTxtG"/>
      </w:pPr>
      <w:r w:rsidRPr="00ED5268">
        <w:rPr>
          <w:i/>
          <w:iCs/>
          <w:lang w:val="fr-FR"/>
        </w:rPr>
        <w:t>Paragraphe 8.2.1</w:t>
      </w:r>
      <w:r w:rsidRPr="00ED5268">
        <w:rPr>
          <w:lang w:val="fr-FR"/>
        </w:rPr>
        <w:t>, lire :</w:t>
      </w:r>
    </w:p>
    <w:p w14:paraId="5C4A5394" w14:textId="77777777" w:rsidR="00FD64E8" w:rsidRPr="00ED5268" w:rsidRDefault="00FD64E8" w:rsidP="00FD64E8">
      <w:pPr>
        <w:pStyle w:val="SingleTxtG"/>
        <w:ind w:left="2268" w:hanging="1134"/>
      </w:pPr>
      <w:r w:rsidRPr="00ED5268">
        <w:t>« 8.2.1</w:t>
      </w:r>
      <w:r w:rsidRPr="00ED5268">
        <w:tab/>
        <w:t>Les ceintures de sécurité, les dispositifs de retenue et les dispositifs de retenue pour enfants ISOFIX, ainsi que les dispositifs de retenue pour enfants de type i</w:t>
      </w:r>
      <w:r w:rsidRPr="00ED5268">
        <w:noBreakHyphen/>
        <w:t>Size visés à l</w:t>
      </w:r>
      <w:r>
        <w:t>’</w:t>
      </w:r>
      <w:r w:rsidRPr="00ED5268">
        <w:t>appendice 3 de l</w:t>
      </w:r>
      <w:r>
        <w:t>’</w:t>
      </w:r>
      <w:r w:rsidRPr="00ED5268">
        <w:t xml:space="preserve">annexe 17 doivent être fixés à des ancrages </w:t>
      </w:r>
      <w:r w:rsidRPr="00ED5268">
        <w:rPr>
          <w:bCs/>
        </w:rPr>
        <w:t>et,</w:t>
      </w:r>
      <w:r w:rsidRPr="00ED5268">
        <w:t xml:space="preserve"> dans le cas des dispositifs de retenue pour enfants de type i-Size, doivent s</w:t>
      </w:r>
      <w:r>
        <w:t>’</w:t>
      </w:r>
      <w:r w:rsidRPr="00ED5268">
        <w:t xml:space="preserve">appuyer sur une surface de contact au plancher, satisfaisant aux exigences formulées dans le Règlement </w:t>
      </w:r>
      <w:r w:rsidRPr="00ED5268">
        <w:rPr>
          <w:lang w:val="fr-FR"/>
        </w:rPr>
        <w:t xml:space="preserve">ONU </w:t>
      </w:r>
      <w:r w:rsidRPr="00ED5268">
        <w:rPr>
          <w:bCs/>
        </w:rPr>
        <w:t>n</w:t>
      </w:r>
      <w:r w:rsidRPr="00ED5268">
        <w:rPr>
          <w:bCs/>
          <w:vertAlign w:val="superscript"/>
        </w:rPr>
        <w:t>o</w:t>
      </w:r>
      <w:r w:rsidRPr="00ED5268">
        <w:t xml:space="preserve"> 14 </w:t>
      </w:r>
      <w:r w:rsidRPr="00ED5268">
        <w:rPr>
          <w:bCs/>
        </w:rPr>
        <w:t xml:space="preserve">ou dans le Règlement </w:t>
      </w:r>
      <w:r w:rsidRPr="00ED5268">
        <w:rPr>
          <w:lang w:val="fr-FR"/>
        </w:rPr>
        <w:t xml:space="preserve">ONU </w:t>
      </w:r>
      <w:r w:rsidRPr="00ED5268">
        <w:t>n</w:t>
      </w:r>
      <w:r w:rsidRPr="00ED5268">
        <w:rPr>
          <w:vertAlign w:val="superscript"/>
        </w:rPr>
        <w:t>o</w:t>
      </w:r>
      <w:r w:rsidRPr="00ED5268">
        <w:t> </w:t>
      </w:r>
      <w:r w:rsidRPr="00ED5268">
        <w:rPr>
          <w:bCs/>
        </w:rPr>
        <w:t>145</w:t>
      </w:r>
      <w:r w:rsidRPr="00ED5268">
        <w:t xml:space="preserve"> en ce qui concerne notamment les caractéristiques de conception et dimensionnelles, le nombre d</w:t>
      </w:r>
      <w:r>
        <w:t>’</w:t>
      </w:r>
      <w:r w:rsidRPr="00ED5268">
        <w:t>ancrages et les exigences de résistance. ».</w:t>
      </w:r>
    </w:p>
    <w:p w14:paraId="2A754130" w14:textId="77777777" w:rsidR="00FD64E8" w:rsidRPr="00ED5268" w:rsidRDefault="00FD64E8" w:rsidP="00FD64E8">
      <w:pPr>
        <w:pStyle w:val="SingleTxtG"/>
        <w:keepNext/>
        <w:keepLines/>
      </w:pPr>
      <w:r w:rsidRPr="00ED5268">
        <w:rPr>
          <w:i/>
          <w:iCs/>
          <w:lang w:val="fr-FR"/>
        </w:rPr>
        <w:lastRenderedPageBreak/>
        <w:t>Paragraphe 8.3.5</w:t>
      </w:r>
      <w:r w:rsidRPr="00ED5268">
        <w:rPr>
          <w:lang w:val="fr-FR"/>
        </w:rPr>
        <w:t>, lire :</w:t>
      </w:r>
    </w:p>
    <w:p w14:paraId="6F52A1E8" w14:textId="77777777" w:rsidR="00FD64E8" w:rsidRPr="00ED5268" w:rsidRDefault="00FD64E8" w:rsidP="00FD64E8">
      <w:pPr>
        <w:pStyle w:val="SingleTxtG"/>
        <w:keepNext/>
        <w:keepLines/>
        <w:ind w:left="2268" w:hanging="1134"/>
      </w:pPr>
      <w:r w:rsidRPr="00ED5268">
        <w:rPr>
          <w:lang w:val="fr-FR"/>
        </w:rPr>
        <w:t>« 8.3.5</w:t>
      </w:r>
      <w:r w:rsidRPr="00ED5268">
        <w:rPr>
          <w:lang w:val="fr-FR"/>
        </w:rPr>
        <w:tab/>
        <w:t>Afin d</w:t>
      </w:r>
      <w:r>
        <w:rPr>
          <w:lang w:val="fr-FR"/>
        </w:rPr>
        <w:t>’</w:t>
      </w:r>
      <w:r w:rsidRPr="00ED5268">
        <w:rPr>
          <w:lang w:val="fr-FR"/>
        </w:rPr>
        <w:t>informer le ou les utilisateurs du véhicule des dispositions prises relatives au transport d</w:t>
      </w:r>
      <w:r>
        <w:rPr>
          <w:lang w:val="fr-FR"/>
        </w:rPr>
        <w:t>’</w:t>
      </w:r>
      <w:r w:rsidRPr="00ED5268">
        <w:rPr>
          <w:lang w:val="fr-FR"/>
        </w:rPr>
        <w:t>enfants, les véhicules des catégories M</w:t>
      </w:r>
      <w:r w:rsidRPr="00ED5268">
        <w:rPr>
          <w:vertAlign w:val="subscript"/>
          <w:lang w:val="fr-FR"/>
        </w:rPr>
        <w:t>1</w:t>
      </w:r>
      <w:r w:rsidRPr="00ED5268">
        <w:rPr>
          <w:lang w:val="fr-FR"/>
        </w:rPr>
        <w:t>, M</w:t>
      </w:r>
      <w:r w:rsidRPr="00ED5268">
        <w:rPr>
          <w:vertAlign w:val="subscript"/>
          <w:lang w:val="fr-FR"/>
        </w:rPr>
        <w:t>2</w:t>
      </w:r>
      <w:r w:rsidRPr="00ED5268">
        <w:rPr>
          <w:lang w:val="fr-FR"/>
        </w:rPr>
        <w:t>, M</w:t>
      </w:r>
      <w:r w:rsidRPr="00ED5268">
        <w:rPr>
          <w:vertAlign w:val="subscript"/>
          <w:lang w:val="fr-FR"/>
        </w:rPr>
        <w:t>3</w:t>
      </w:r>
      <w:r w:rsidRPr="00ED5268">
        <w:rPr>
          <w:lang w:val="fr-FR"/>
        </w:rPr>
        <w:t xml:space="preserve"> et N</w:t>
      </w:r>
      <w:r w:rsidRPr="00ED5268">
        <w:rPr>
          <w:vertAlign w:val="subscript"/>
          <w:lang w:val="fr-FR"/>
        </w:rPr>
        <w:t>1</w:t>
      </w:r>
      <w:r w:rsidRPr="00ED5268">
        <w:rPr>
          <w:lang w:val="fr-FR"/>
        </w:rPr>
        <w:t xml:space="preserve"> doivent satisfaire aux prescriptions concernant l</w:t>
      </w:r>
      <w:r>
        <w:rPr>
          <w:lang w:val="fr-FR"/>
        </w:rPr>
        <w:t>’</w:t>
      </w:r>
      <w:r w:rsidRPr="00ED5268">
        <w:rPr>
          <w:lang w:val="fr-FR"/>
        </w:rPr>
        <w:t>information énoncées à l</w:t>
      </w:r>
      <w:r>
        <w:rPr>
          <w:lang w:val="fr-FR"/>
        </w:rPr>
        <w:t>’</w:t>
      </w:r>
      <w:r w:rsidRPr="00ED5268">
        <w:rPr>
          <w:lang w:val="fr-FR"/>
        </w:rPr>
        <w:t>annexe 17. Tout véhicule de la catégorie M</w:t>
      </w:r>
      <w:r w:rsidRPr="00ED5268">
        <w:rPr>
          <w:vertAlign w:val="subscript"/>
          <w:lang w:val="fr-FR"/>
        </w:rPr>
        <w:t>1</w:t>
      </w:r>
      <w:r w:rsidRPr="00ED5268">
        <w:rPr>
          <w:lang w:val="fr-FR"/>
        </w:rPr>
        <w:t xml:space="preserve"> doit être équipé de places ISOFIX conformément aux prescriptions applicables du Règlement ONU </w:t>
      </w:r>
      <w:r w:rsidRPr="00ED5268">
        <w:rPr>
          <w:bCs/>
        </w:rPr>
        <w:t>n</w:t>
      </w:r>
      <w:r w:rsidRPr="00ED5268">
        <w:rPr>
          <w:bCs/>
          <w:vertAlign w:val="superscript"/>
        </w:rPr>
        <w:t>o</w:t>
      </w:r>
      <w:r w:rsidRPr="00ED5268">
        <w:t> </w:t>
      </w:r>
      <w:r w:rsidRPr="00ED5268">
        <w:rPr>
          <w:lang w:val="fr-FR"/>
        </w:rPr>
        <w:t>14</w:t>
      </w:r>
      <w:r w:rsidRPr="00ED5268">
        <w:rPr>
          <w:b/>
          <w:bCs/>
          <w:lang w:val="fr-FR"/>
        </w:rPr>
        <w:t xml:space="preserve"> </w:t>
      </w:r>
      <w:r w:rsidRPr="00ED5268">
        <w:rPr>
          <w:bCs/>
          <w:lang w:val="fr-FR"/>
        </w:rPr>
        <w:t xml:space="preserve">ou du Règlement </w:t>
      </w:r>
      <w:r w:rsidRPr="00ED5268">
        <w:rPr>
          <w:lang w:val="fr-FR"/>
        </w:rPr>
        <w:t xml:space="preserve">ONU </w:t>
      </w:r>
      <w:r w:rsidRPr="00ED5268">
        <w:t>n</w:t>
      </w:r>
      <w:r w:rsidRPr="00ED5268">
        <w:rPr>
          <w:vertAlign w:val="superscript"/>
        </w:rPr>
        <w:t>o</w:t>
      </w:r>
      <w:r w:rsidRPr="00ED5268">
        <w:t> </w:t>
      </w:r>
      <w:r w:rsidRPr="00ED5268">
        <w:rPr>
          <w:bCs/>
          <w:lang w:val="fr-FR"/>
        </w:rPr>
        <w:t>145</w:t>
      </w:r>
      <w:r w:rsidRPr="00ED5268">
        <w:rPr>
          <w:lang w:val="fr-FR"/>
        </w:rPr>
        <w:t xml:space="preserve">. </w:t>
      </w:r>
    </w:p>
    <w:p w14:paraId="501A2875" w14:textId="77777777" w:rsidR="00FD64E8" w:rsidRPr="00ED5268" w:rsidRDefault="00FD64E8" w:rsidP="00FD64E8">
      <w:pPr>
        <w:pStyle w:val="SingleTxtG"/>
        <w:ind w:left="2268"/>
        <w:rPr>
          <w:lang w:val="fr-FR"/>
        </w:rPr>
      </w:pPr>
      <w:r w:rsidRPr="00ED5268">
        <w:rPr>
          <w:lang w:val="fr-FR"/>
        </w:rPr>
        <w:t>La première place ISOFIX doit permettre au moins l</w:t>
      </w:r>
      <w:r>
        <w:rPr>
          <w:lang w:val="fr-FR"/>
        </w:rPr>
        <w:t>’</w:t>
      </w:r>
      <w:r w:rsidRPr="00ED5268">
        <w:rPr>
          <w:lang w:val="fr-FR"/>
        </w:rPr>
        <w:t>installation d</w:t>
      </w:r>
      <w:r>
        <w:rPr>
          <w:lang w:val="fr-FR"/>
        </w:rPr>
        <w:t>’</w:t>
      </w:r>
      <w:r w:rsidRPr="00ED5268">
        <w:rPr>
          <w:lang w:val="fr-FR"/>
        </w:rPr>
        <w:t>un des trois gabarits orientés vers l</w:t>
      </w:r>
      <w:r>
        <w:rPr>
          <w:lang w:val="fr-FR"/>
        </w:rPr>
        <w:t>’</w:t>
      </w:r>
      <w:r w:rsidRPr="00ED5268">
        <w:rPr>
          <w:lang w:val="fr-FR"/>
        </w:rPr>
        <w:t>avant définis à l</w:t>
      </w:r>
      <w:r>
        <w:rPr>
          <w:lang w:val="fr-FR"/>
        </w:rPr>
        <w:t>’</w:t>
      </w:r>
      <w:r w:rsidRPr="00ED5268">
        <w:rPr>
          <w:lang w:val="fr-FR"/>
        </w:rPr>
        <w:t>appendice 2 de l</w:t>
      </w:r>
      <w:r>
        <w:rPr>
          <w:lang w:val="fr-FR"/>
        </w:rPr>
        <w:t>’</w:t>
      </w:r>
      <w:r w:rsidRPr="00ED5268">
        <w:rPr>
          <w:lang w:val="fr-FR"/>
        </w:rPr>
        <w:t>annexe 17 ; la deuxième place ISOFIX doit permettre au moins l</w:t>
      </w:r>
      <w:r>
        <w:rPr>
          <w:lang w:val="fr-FR"/>
        </w:rPr>
        <w:t>’</w:t>
      </w:r>
      <w:r w:rsidRPr="00ED5268">
        <w:rPr>
          <w:lang w:val="fr-FR"/>
        </w:rPr>
        <w:t>installation d</w:t>
      </w:r>
      <w:r>
        <w:rPr>
          <w:lang w:val="fr-FR"/>
        </w:rPr>
        <w:t>’</w:t>
      </w:r>
      <w:r w:rsidRPr="00ED5268">
        <w:rPr>
          <w:lang w:val="fr-FR"/>
        </w:rPr>
        <w:t>un des gabarits orientés vers l</w:t>
      </w:r>
      <w:r>
        <w:rPr>
          <w:lang w:val="fr-FR"/>
        </w:rPr>
        <w:t>’</w:t>
      </w:r>
      <w:r w:rsidRPr="00ED5268">
        <w:rPr>
          <w:lang w:val="fr-FR"/>
        </w:rPr>
        <w:t>arrière définis à l</w:t>
      </w:r>
      <w:r>
        <w:rPr>
          <w:lang w:val="fr-FR"/>
        </w:rPr>
        <w:t>’</w:t>
      </w:r>
      <w:r w:rsidRPr="00ED5268">
        <w:rPr>
          <w:lang w:val="fr-FR"/>
        </w:rPr>
        <w:t>appendice 2 de l</w:t>
      </w:r>
      <w:r>
        <w:rPr>
          <w:lang w:val="fr-FR"/>
        </w:rPr>
        <w:t>’</w:t>
      </w:r>
      <w:r w:rsidRPr="00ED5268">
        <w:rPr>
          <w:lang w:val="fr-FR"/>
        </w:rPr>
        <w:t>annexe 17. Pour cette deuxième place ISOFIX, au cas où l</w:t>
      </w:r>
      <w:r>
        <w:rPr>
          <w:lang w:val="fr-FR"/>
        </w:rPr>
        <w:t>’</w:t>
      </w:r>
      <w:r w:rsidRPr="00ED5268">
        <w:rPr>
          <w:lang w:val="fr-FR"/>
        </w:rPr>
        <w:t>installation d</w:t>
      </w:r>
      <w:r>
        <w:rPr>
          <w:lang w:val="fr-FR"/>
        </w:rPr>
        <w:t>’</w:t>
      </w:r>
      <w:r w:rsidRPr="00ED5268">
        <w:rPr>
          <w:lang w:val="fr-FR"/>
        </w:rPr>
        <w:t>un gabarit orienté vers l</w:t>
      </w:r>
      <w:r>
        <w:rPr>
          <w:lang w:val="fr-FR"/>
        </w:rPr>
        <w:t>’</w:t>
      </w:r>
      <w:r w:rsidRPr="00ED5268">
        <w:rPr>
          <w:lang w:val="fr-FR"/>
        </w:rPr>
        <w:t>arrière ne serait pas possible sur la deuxième rangée de sièges à cause de sa conception, l</w:t>
      </w:r>
      <w:r>
        <w:rPr>
          <w:lang w:val="fr-FR"/>
        </w:rPr>
        <w:t>’</w:t>
      </w:r>
      <w:r w:rsidRPr="00ED5268">
        <w:rPr>
          <w:lang w:val="fr-FR"/>
        </w:rPr>
        <w:t xml:space="preserve">installation </w:t>
      </w:r>
      <w:r w:rsidRPr="00ED5268">
        <w:rPr>
          <w:bCs/>
          <w:lang w:val="fr-FR"/>
        </w:rPr>
        <w:t>d</w:t>
      </w:r>
      <w:r>
        <w:rPr>
          <w:bCs/>
          <w:lang w:val="fr-FR"/>
        </w:rPr>
        <w:t>’</w:t>
      </w:r>
      <w:r w:rsidRPr="00ED5268">
        <w:rPr>
          <w:bCs/>
          <w:lang w:val="fr-FR"/>
        </w:rPr>
        <w:t xml:space="preserve">un tel gabarit </w:t>
      </w:r>
      <w:r w:rsidRPr="00ED5268">
        <w:rPr>
          <w:lang w:val="fr-FR"/>
        </w:rPr>
        <w:t xml:space="preserve">est </w:t>
      </w:r>
      <w:proofErr w:type="gramStart"/>
      <w:r w:rsidRPr="00ED5268">
        <w:rPr>
          <w:lang w:val="fr-FR"/>
        </w:rPr>
        <w:t>autorisée</w:t>
      </w:r>
      <w:proofErr w:type="gramEnd"/>
      <w:r w:rsidRPr="00ED5268">
        <w:rPr>
          <w:lang w:val="fr-FR"/>
        </w:rPr>
        <w:t xml:space="preserve"> à n</w:t>
      </w:r>
      <w:r>
        <w:rPr>
          <w:lang w:val="fr-FR"/>
        </w:rPr>
        <w:t>’</w:t>
      </w:r>
      <w:r w:rsidRPr="00ED5268">
        <w:rPr>
          <w:lang w:val="fr-FR"/>
        </w:rPr>
        <w:t>importe quelle place du véhicule. ».</w:t>
      </w:r>
    </w:p>
    <w:p w14:paraId="168EEEFE" w14:textId="77777777" w:rsidR="00FD64E8" w:rsidRPr="00ED5268" w:rsidRDefault="00FD64E8" w:rsidP="00FD64E8">
      <w:pPr>
        <w:pStyle w:val="SingleTxtG"/>
        <w:rPr>
          <w:iCs/>
          <w:lang w:val="fr-FR"/>
        </w:rPr>
      </w:pPr>
      <w:r w:rsidRPr="00ED5268">
        <w:rPr>
          <w:i/>
          <w:iCs/>
          <w:lang w:val="fr-FR"/>
        </w:rPr>
        <w:t>Paragraphe 8.3.6</w:t>
      </w:r>
      <w:r w:rsidRPr="00ED5268">
        <w:rPr>
          <w:iCs/>
          <w:lang w:val="fr-FR"/>
        </w:rPr>
        <w:t>, lire :</w:t>
      </w:r>
    </w:p>
    <w:p w14:paraId="04733BA0" w14:textId="77777777" w:rsidR="00FD64E8" w:rsidRPr="00ED5268" w:rsidRDefault="00FD64E8" w:rsidP="00FD64E8">
      <w:pPr>
        <w:pStyle w:val="SingleTxtG"/>
        <w:ind w:left="2268" w:hanging="1134"/>
        <w:rPr>
          <w:iCs/>
          <w:lang w:val="fr-FR"/>
        </w:rPr>
      </w:pPr>
      <w:r w:rsidRPr="00ED5268">
        <w:rPr>
          <w:iCs/>
          <w:lang w:val="fr-FR"/>
        </w:rPr>
        <w:t>« 8.3.6</w:t>
      </w:r>
      <w:r w:rsidRPr="00ED5268">
        <w:rPr>
          <w:iCs/>
          <w:lang w:val="fr-FR"/>
        </w:rPr>
        <w:tab/>
        <w:t>…</w:t>
      </w:r>
    </w:p>
    <w:p w14:paraId="53C32930" w14:textId="77777777" w:rsidR="00FD64E8" w:rsidRPr="00ED5268" w:rsidRDefault="00FD64E8" w:rsidP="00FD64E8">
      <w:pPr>
        <w:pStyle w:val="SingleTxtG"/>
        <w:ind w:left="2268"/>
        <w:rPr>
          <w:lang w:val="fr-FR"/>
        </w:rPr>
      </w:pPr>
      <w:r w:rsidRPr="00ED5268">
        <w:rPr>
          <w:iCs/>
          <w:lang w:val="fr-FR"/>
        </w:rPr>
        <w:t>L</w:t>
      </w:r>
      <w:r>
        <w:rPr>
          <w:iCs/>
          <w:lang w:val="fr-FR"/>
        </w:rPr>
        <w:t>’</w:t>
      </w:r>
      <w:r w:rsidRPr="00ED5268">
        <w:rPr>
          <w:iCs/>
          <w:lang w:val="fr-FR"/>
        </w:rPr>
        <w:t>angle de tangage utilisé pour l</w:t>
      </w:r>
      <w:r>
        <w:rPr>
          <w:iCs/>
          <w:lang w:val="fr-FR"/>
        </w:rPr>
        <w:t>’</w:t>
      </w:r>
      <w:r w:rsidRPr="00ED5268">
        <w:rPr>
          <w:iCs/>
          <w:lang w:val="fr-FR"/>
        </w:rPr>
        <w:t xml:space="preserve">évaluation géométrique ci-dessus doit être mesuré comme indiqué au paragraphe 5.2.2.4 ou dans le Règlement </w:t>
      </w:r>
      <w:r w:rsidRPr="00ED5268">
        <w:rPr>
          <w:lang w:val="fr-FR"/>
        </w:rPr>
        <w:t xml:space="preserve">ONU </w:t>
      </w:r>
      <w:r w:rsidRPr="00ED5268">
        <w:rPr>
          <w:rFonts w:eastAsia="MS Mincho"/>
          <w:iCs/>
          <w:lang w:val="fr-FR"/>
        </w:rPr>
        <w:t>n</w:t>
      </w:r>
      <w:r w:rsidRPr="00ED5268">
        <w:rPr>
          <w:rFonts w:eastAsia="MS Mincho"/>
          <w:iCs/>
          <w:vertAlign w:val="superscript"/>
          <w:lang w:val="fr-FR"/>
        </w:rPr>
        <w:t>o</w:t>
      </w:r>
      <w:r w:rsidRPr="00ED5268">
        <w:rPr>
          <w:iCs/>
          <w:lang w:val="fr-FR"/>
        </w:rPr>
        <w:t> </w:t>
      </w:r>
      <w:r w:rsidRPr="00ED5268">
        <w:rPr>
          <w:bCs/>
          <w:lang w:val="fr-FR"/>
        </w:rPr>
        <w:t>145</w:t>
      </w:r>
      <w:r w:rsidRPr="00ED5268">
        <w:rPr>
          <w:lang w:val="fr-FR"/>
        </w:rPr>
        <w:t>.</w:t>
      </w:r>
    </w:p>
    <w:p w14:paraId="010FFBE5" w14:textId="77777777" w:rsidR="005F0207" w:rsidRDefault="00FD64E8" w:rsidP="00FD64E8">
      <w:pPr>
        <w:pStyle w:val="SingleTxtG"/>
        <w:ind w:left="2268"/>
        <w:rPr>
          <w:lang w:val="fr-FR"/>
        </w:rPr>
      </w:pPr>
      <w:r w:rsidRPr="00ED5268">
        <w:rPr>
          <w:lang w:val="fr-FR"/>
        </w:rPr>
        <w:t>… ».</w:t>
      </w:r>
    </w:p>
    <w:p w14:paraId="5D3F316B" w14:textId="77777777" w:rsidR="00FD64E8" w:rsidRPr="00FD64E8" w:rsidRDefault="00FD64E8" w:rsidP="00FD64E8">
      <w:pPr>
        <w:pStyle w:val="SingleTxtG"/>
        <w:spacing w:before="240" w:after="0"/>
        <w:jc w:val="center"/>
        <w:rPr>
          <w:u w:val="single"/>
        </w:rPr>
      </w:pPr>
      <w:r>
        <w:rPr>
          <w:u w:val="single"/>
        </w:rPr>
        <w:tab/>
      </w:r>
      <w:r>
        <w:rPr>
          <w:u w:val="single"/>
        </w:rPr>
        <w:tab/>
      </w:r>
      <w:r>
        <w:rPr>
          <w:u w:val="single"/>
        </w:rPr>
        <w:tab/>
      </w:r>
    </w:p>
    <w:sectPr w:rsidR="00FD64E8" w:rsidRPr="00FD64E8" w:rsidSect="002A4A1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F94B" w14:textId="77777777" w:rsidR="007F0CE4" w:rsidRDefault="007F0CE4"/>
  </w:endnote>
  <w:endnote w:type="continuationSeparator" w:id="0">
    <w:p w14:paraId="75F21DEE" w14:textId="77777777" w:rsidR="007F0CE4" w:rsidRDefault="007F0CE4">
      <w:pPr>
        <w:pStyle w:val="Footer"/>
      </w:pPr>
    </w:p>
  </w:endnote>
  <w:endnote w:type="continuationNotice" w:id="1">
    <w:p w14:paraId="2FE2D157" w14:textId="77777777" w:rsidR="007F0CE4" w:rsidRPr="00C451B9" w:rsidRDefault="007F0CE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6FBB" w14:textId="51E3F368" w:rsidR="002A4A19" w:rsidRPr="002A4A19" w:rsidRDefault="002A4A19" w:rsidP="002A4A19">
    <w:pPr>
      <w:pStyle w:val="Footer"/>
      <w:tabs>
        <w:tab w:val="right" w:pos="9638"/>
      </w:tabs>
    </w:pPr>
    <w:r w:rsidRPr="002A4A19">
      <w:rPr>
        <w:b/>
        <w:sz w:val="18"/>
      </w:rPr>
      <w:fldChar w:fldCharType="begin"/>
    </w:r>
    <w:r w:rsidRPr="002A4A19">
      <w:rPr>
        <w:b/>
        <w:sz w:val="18"/>
      </w:rPr>
      <w:instrText xml:space="preserve"> PAGE  \* MERGEFORMAT </w:instrText>
    </w:r>
    <w:r w:rsidRPr="002A4A19">
      <w:rPr>
        <w:b/>
        <w:sz w:val="18"/>
      </w:rPr>
      <w:fldChar w:fldCharType="separate"/>
    </w:r>
    <w:r w:rsidR="000B2F04">
      <w:rPr>
        <w:b/>
        <w:noProof/>
        <w:sz w:val="18"/>
      </w:rPr>
      <w:t>2</w:t>
    </w:r>
    <w:r w:rsidRPr="002A4A19">
      <w:rPr>
        <w:b/>
        <w:sz w:val="18"/>
      </w:rPr>
      <w:fldChar w:fldCharType="end"/>
    </w:r>
    <w:r>
      <w:rPr>
        <w:b/>
        <w:sz w:val="18"/>
      </w:rPr>
      <w:tab/>
    </w:r>
    <w:r>
      <w:t>GE.18-13174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78EE" w14:textId="1C765EA5" w:rsidR="002A4A19" w:rsidRPr="002A4A19" w:rsidRDefault="002A4A19" w:rsidP="002A4A19">
    <w:pPr>
      <w:pStyle w:val="Footer"/>
      <w:tabs>
        <w:tab w:val="right" w:pos="9638"/>
      </w:tabs>
      <w:rPr>
        <w:b/>
        <w:sz w:val="18"/>
      </w:rPr>
    </w:pPr>
    <w:r>
      <w:t>GE.18-13174</w:t>
    </w:r>
    <w:r>
      <w:tab/>
    </w:r>
    <w:r w:rsidRPr="002A4A19">
      <w:rPr>
        <w:b/>
        <w:sz w:val="18"/>
      </w:rPr>
      <w:fldChar w:fldCharType="begin"/>
    </w:r>
    <w:r w:rsidRPr="002A4A19">
      <w:rPr>
        <w:b/>
        <w:sz w:val="18"/>
      </w:rPr>
      <w:instrText xml:space="preserve"> PAGE  \* MERGEFORMAT </w:instrText>
    </w:r>
    <w:r w:rsidRPr="002A4A19">
      <w:rPr>
        <w:b/>
        <w:sz w:val="18"/>
      </w:rPr>
      <w:fldChar w:fldCharType="separate"/>
    </w:r>
    <w:r w:rsidR="000B2F04">
      <w:rPr>
        <w:b/>
        <w:noProof/>
        <w:sz w:val="18"/>
      </w:rPr>
      <w:t>3</w:t>
    </w:r>
    <w:r w:rsidRPr="002A4A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EE5F" w14:textId="77777777" w:rsidR="00467F2C" w:rsidRPr="002A4A19" w:rsidRDefault="002A4A19" w:rsidP="002A4A19">
    <w:pPr>
      <w:pStyle w:val="Footer"/>
      <w:spacing w:before="120"/>
      <w:rPr>
        <w:sz w:val="20"/>
      </w:rPr>
    </w:pPr>
    <w:r>
      <w:rPr>
        <w:sz w:val="20"/>
      </w:rPr>
      <w:t>GE.</w:t>
    </w:r>
    <w:r w:rsidR="00467F2C">
      <w:rPr>
        <w:noProof/>
        <w:lang w:val="en-GB" w:eastAsia="zh-CN"/>
      </w:rPr>
      <w:drawing>
        <wp:anchor distT="0" distB="0" distL="114300" distR="114300" simplePos="0" relativeHeight="251659264" behindDoc="0" locked="0" layoutInCell="1" allowOverlap="1" wp14:anchorId="50F19836" wp14:editId="5F69221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13174  (</w:t>
    </w:r>
    <w:proofErr w:type="gramEnd"/>
    <w:r>
      <w:rPr>
        <w:sz w:val="20"/>
      </w:rPr>
      <w:t>F)    080319    110319</w:t>
    </w:r>
    <w:r>
      <w:rPr>
        <w:sz w:val="20"/>
      </w:rPr>
      <w:br/>
    </w:r>
    <w:r w:rsidRPr="002A4A19">
      <w:rPr>
        <w:rFonts w:ascii="C39T30Lfz" w:hAnsi="C39T30Lfz"/>
        <w:sz w:val="56"/>
      </w:rPr>
      <w:t></w:t>
    </w:r>
    <w:r w:rsidRPr="002A4A19">
      <w:rPr>
        <w:rFonts w:ascii="C39T30Lfz" w:hAnsi="C39T30Lfz"/>
        <w:sz w:val="56"/>
      </w:rPr>
      <w:t></w:t>
    </w:r>
    <w:r w:rsidRPr="002A4A19">
      <w:rPr>
        <w:rFonts w:ascii="C39T30Lfz" w:hAnsi="C39T30Lfz"/>
        <w:sz w:val="56"/>
      </w:rPr>
      <w:t></w:t>
    </w:r>
    <w:r w:rsidRPr="002A4A19">
      <w:rPr>
        <w:rFonts w:ascii="C39T30Lfz" w:hAnsi="C39T30Lfz"/>
        <w:sz w:val="56"/>
      </w:rPr>
      <w:t></w:t>
    </w:r>
    <w:r w:rsidRPr="002A4A19">
      <w:rPr>
        <w:rFonts w:ascii="C39T30Lfz" w:hAnsi="C39T30Lfz"/>
        <w:sz w:val="56"/>
      </w:rPr>
      <w:t></w:t>
    </w:r>
    <w:r w:rsidRPr="002A4A19">
      <w:rPr>
        <w:rFonts w:ascii="C39T30Lfz" w:hAnsi="C39T30Lfz"/>
        <w:sz w:val="56"/>
      </w:rPr>
      <w:t></w:t>
    </w:r>
    <w:r w:rsidRPr="002A4A19">
      <w:rPr>
        <w:rFonts w:ascii="C39T30Lfz" w:hAnsi="C39T30Lfz"/>
        <w:sz w:val="56"/>
      </w:rPr>
      <w:t></w:t>
    </w:r>
    <w:r w:rsidRPr="002A4A19">
      <w:rPr>
        <w:rFonts w:ascii="C39T30Lfz" w:hAnsi="C39T30Lfz"/>
        <w:sz w:val="56"/>
      </w:rPr>
      <w:t></w:t>
    </w:r>
    <w:r w:rsidRPr="002A4A19">
      <w:rPr>
        <w:rFonts w:ascii="C39T30Lfz" w:hAnsi="C39T30Lfz"/>
        <w:sz w:val="56"/>
      </w:rPr>
      <w:t></w:t>
    </w:r>
    <w:r>
      <w:rPr>
        <w:noProof/>
        <w:sz w:val="20"/>
        <w:lang w:val="en-GB" w:eastAsia="zh-CN"/>
      </w:rPr>
      <w:drawing>
        <wp:anchor distT="0" distB="0" distL="114300" distR="114300" simplePos="0" relativeHeight="251658240" behindDoc="0" locked="0" layoutInCell="1" allowOverlap="1" wp14:anchorId="44D39450" wp14:editId="03EDAAB7">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9/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9/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76D2" w14:textId="77777777" w:rsidR="007F0CE4" w:rsidRPr="00D27D5E" w:rsidRDefault="007F0CE4" w:rsidP="00D27D5E">
      <w:pPr>
        <w:tabs>
          <w:tab w:val="right" w:pos="2155"/>
        </w:tabs>
        <w:spacing w:after="80"/>
        <w:ind w:left="680"/>
        <w:rPr>
          <w:u w:val="single"/>
        </w:rPr>
      </w:pPr>
      <w:r>
        <w:rPr>
          <w:u w:val="single"/>
        </w:rPr>
        <w:tab/>
      </w:r>
    </w:p>
  </w:footnote>
  <w:footnote w:type="continuationSeparator" w:id="0">
    <w:p w14:paraId="645B9A4F" w14:textId="77777777" w:rsidR="007F0CE4" w:rsidRPr="00D171D4" w:rsidRDefault="007F0CE4" w:rsidP="00D171D4">
      <w:pPr>
        <w:tabs>
          <w:tab w:val="right" w:pos="2155"/>
        </w:tabs>
        <w:spacing w:after="80"/>
        <w:ind w:left="680"/>
        <w:rPr>
          <w:u w:val="single"/>
        </w:rPr>
      </w:pPr>
      <w:r w:rsidRPr="00D171D4">
        <w:rPr>
          <w:u w:val="single"/>
        </w:rPr>
        <w:tab/>
      </w:r>
    </w:p>
  </w:footnote>
  <w:footnote w:type="continuationNotice" w:id="1">
    <w:p w14:paraId="75355BFC" w14:textId="77777777" w:rsidR="007F0CE4" w:rsidRPr="00C451B9" w:rsidRDefault="007F0CE4" w:rsidP="00C451B9">
      <w:pPr>
        <w:spacing w:line="240" w:lineRule="auto"/>
        <w:rPr>
          <w:sz w:val="2"/>
          <w:szCs w:val="2"/>
        </w:rPr>
      </w:pPr>
    </w:p>
  </w:footnote>
  <w:footnote w:id="2">
    <w:p w14:paraId="4FBAE64D"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w:t>
      </w:r>
      <w:r w:rsidR="007F59D6">
        <w:t>’</w:t>
      </w:r>
      <w:r w:rsidR="00591072" w:rsidRPr="00591072">
        <w:t>Accord :</w:t>
      </w:r>
    </w:p>
    <w:p w14:paraId="5021FE2D" w14:textId="77777777" w:rsidR="00591072" w:rsidRPr="00591072" w:rsidRDefault="00591072" w:rsidP="00591072">
      <w:pPr>
        <w:pStyle w:val="FootnoteText"/>
      </w:pPr>
      <w:r w:rsidRPr="002A4A19">
        <w:tab/>
      </w:r>
      <w:r w:rsidRPr="002A4A19">
        <w:tab/>
        <w:t xml:space="preserve">Accord </w:t>
      </w:r>
      <w:r w:rsidRPr="00591072">
        <w:t>concernant l</w:t>
      </w:r>
      <w:r w:rsidR="007F59D6">
        <w:t>’</w:t>
      </w:r>
      <w:r w:rsidRPr="00591072">
        <w:t>adoption de conditions uniformes d</w:t>
      </w:r>
      <w:r w:rsidR="007F59D6">
        <w:t>’</w:t>
      </w:r>
      <w:r w:rsidRPr="00591072">
        <w:t>homologation et la reconnaissance réciproque de l</w:t>
      </w:r>
      <w:r w:rsidR="007F59D6">
        <w:t>’</w:t>
      </w:r>
      <w:r w:rsidRPr="00591072">
        <w:t>homologation des équipements et pièces de véhicules à moteur, en date, à Genève, du 20 mars 1958 (version originale) ;</w:t>
      </w:r>
    </w:p>
    <w:p w14:paraId="4320D4E5" w14:textId="77777777" w:rsidR="002A4A19" w:rsidRPr="00442E31" w:rsidRDefault="00591072">
      <w:pPr>
        <w:pStyle w:val="FootnoteText"/>
      </w:pPr>
      <w:r>
        <w:tab/>
      </w:r>
      <w:r>
        <w:tab/>
      </w:r>
      <w:r w:rsidRPr="00591072">
        <w:t>Accord concernant l</w:t>
      </w:r>
      <w:r w:rsidR="007F59D6">
        <w:t>’</w:t>
      </w:r>
      <w:r w:rsidRPr="00591072">
        <w:t>adoption de prescriptions techniques uniformes applicables aux véhicules à</w:t>
      </w:r>
      <w:r>
        <w:t> </w:t>
      </w:r>
      <w:r w:rsidRPr="00591072">
        <w:t>roues, aux équipements et aux pièces susceptibles d</w:t>
      </w:r>
      <w:r w:rsidR="007F59D6">
        <w:t>’</w:t>
      </w:r>
      <w:r w:rsidRPr="00591072">
        <w:t>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2D76" w14:textId="58D364A5" w:rsidR="002A4A19" w:rsidRPr="002A4A19" w:rsidRDefault="002A4A19">
    <w:pPr>
      <w:pStyle w:val="Header"/>
      <w:rPr>
        <w:lang w:val="en-US"/>
      </w:rPr>
    </w:pPr>
    <w:r>
      <w:fldChar w:fldCharType="begin"/>
    </w:r>
    <w:r w:rsidRPr="002A4A19">
      <w:rPr>
        <w:lang w:val="en-US"/>
      </w:rPr>
      <w:instrText xml:space="preserve"> TITLE  \* MERGEFORMAT </w:instrText>
    </w:r>
    <w:r>
      <w:fldChar w:fldCharType="separate"/>
    </w:r>
    <w:r w:rsidR="000B2F04">
      <w:rPr>
        <w:lang w:val="en-US"/>
      </w:rPr>
      <w:t>E/ECE/324/Rev.1/Add.15/Rev.9/Amend.2</w:t>
    </w:r>
    <w:r>
      <w:fldChar w:fldCharType="end"/>
    </w:r>
    <w:r w:rsidRPr="002A4A19">
      <w:rPr>
        <w:lang w:val="en-US"/>
      </w:rPr>
      <w:br/>
    </w:r>
    <w:r>
      <w:fldChar w:fldCharType="begin"/>
    </w:r>
    <w:r w:rsidRPr="002A4A19">
      <w:rPr>
        <w:lang w:val="en-US"/>
      </w:rPr>
      <w:instrText xml:space="preserve"> KEYWORDS  \* MERGEFORMAT </w:instrText>
    </w:r>
    <w:r>
      <w:fldChar w:fldCharType="separate"/>
    </w:r>
    <w:r w:rsidR="000B2F04">
      <w:rPr>
        <w:lang w:val="en-US"/>
      </w:rPr>
      <w:t>E/ECE/TRANS/505/Rev.1/Add.15/Rev.9/Amend.2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2AC0" w14:textId="66F1907F" w:rsidR="002A4A19" w:rsidRPr="002A4A19" w:rsidRDefault="002A4A19" w:rsidP="002A4A19">
    <w:pPr>
      <w:pStyle w:val="Header"/>
      <w:jc w:val="right"/>
      <w:rPr>
        <w:lang w:val="en-US"/>
      </w:rPr>
    </w:pPr>
    <w:r>
      <w:fldChar w:fldCharType="begin"/>
    </w:r>
    <w:r w:rsidRPr="002A4A19">
      <w:rPr>
        <w:lang w:val="en-US"/>
      </w:rPr>
      <w:instrText xml:space="preserve"> TITLE  \* MERGEFORMAT </w:instrText>
    </w:r>
    <w:r>
      <w:fldChar w:fldCharType="separate"/>
    </w:r>
    <w:r w:rsidR="000B2F04">
      <w:rPr>
        <w:lang w:val="en-US"/>
      </w:rPr>
      <w:t>E/ECE/324/Rev.1/Add.15/Rev.9/Amend.2</w:t>
    </w:r>
    <w:r>
      <w:fldChar w:fldCharType="end"/>
    </w:r>
    <w:r w:rsidRPr="002A4A19">
      <w:rPr>
        <w:lang w:val="en-US"/>
      </w:rPr>
      <w:br/>
    </w:r>
    <w:r>
      <w:fldChar w:fldCharType="begin"/>
    </w:r>
    <w:r w:rsidRPr="002A4A19">
      <w:rPr>
        <w:lang w:val="en-US"/>
      </w:rPr>
      <w:instrText xml:space="preserve"> KEYWORDS  \* MERGEFORMAT </w:instrText>
    </w:r>
    <w:r>
      <w:fldChar w:fldCharType="separate"/>
    </w:r>
    <w:r w:rsidR="000B2F04">
      <w:rPr>
        <w:lang w:val="en-US"/>
      </w:rPr>
      <w:t>E/ECE/TRANS/505/Rev.1/Add.15/Rev.9/Amend.2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E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2F04"/>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4A19"/>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52826"/>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0948"/>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C74A5"/>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6B9"/>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0CE4"/>
    <w:rsid w:val="007F1867"/>
    <w:rsid w:val="007F1EC4"/>
    <w:rsid w:val="007F55CB"/>
    <w:rsid w:val="007F59D6"/>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5A0D"/>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0C80"/>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64E8"/>
    <w:rsid w:val="00FD7985"/>
    <w:rsid w:val="00FE6526"/>
    <w:rsid w:val="00FF1DBD"/>
    <w:rsid w:val="00FF1E4B"/>
    <w:rsid w:val="00FF33E4"/>
    <w:rsid w:val="00FF55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ACB2820"/>
  <w15:docId w15:val="{7F36218C-A6E8-4A20-BFB0-8143E206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styleId="CommentReference">
    <w:name w:val="annotation reference"/>
    <w:rsid w:val="00FD64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E/ECE/324/Rev.1/Add.15/Rev.9/Amend.2</vt:lpstr>
      <vt:lpstr>E/ECE/324/Rev.1/Add.15/Rev.9/Amend.2</vt:lpstr>
    </vt:vector>
  </TitlesOfParts>
  <Company>CSD</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E/ECE/324/Rev.1/Add.15/Rev.9/Amend.2</dc:title>
  <dc:creator>Maud DARICHE</dc:creator>
  <cp:keywords>E/ECE/TRANS/505/Rev.1/Add.15/Rev.9/Amend.2</cp:keywords>
  <cp:lastModifiedBy>Marie-Claude Collet</cp:lastModifiedBy>
  <cp:revision>3</cp:revision>
  <cp:lastPrinted>2019-03-12T13:51:00Z</cp:lastPrinted>
  <dcterms:created xsi:type="dcterms:W3CDTF">2019-03-12T13:51:00Z</dcterms:created>
  <dcterms:modified xsi:type="dcterms:W3CDTF">2019-03-12T13:51:00Z</dcterms:modified>
</cp:coreProperties>
</file>