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86FE9" w14:paraId="1840220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873E31" w14:textId="77777777" w:rsidR="002D5AAC" w:rsidRPr="008C1A9B" w:rsidRDefault="002D5AAC" w:rsidP="00B731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F69982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0FF9691" w14:textId="77777777" w:rsidR="00B731AA" w:rsidRPr="00B731AA" w:rsidRDefault="00B731AA" w:rsidP="00B731AA">
            <w:pPr>
              <w:jc w:val="right"/>
              <w:rPr>
                <w:lang w:val="en-US"/>
              </w:rPr>
            </w:pPr>
            <w:r w:rsidRPr="00B731AA">
              <w:rPr>
                <w:sz w:val="40"/>
                <w:lang w:val="en-US"/>
              </w:rPr>
              <w:t>E</w:t>
            </w:r>
            <w:r w:rsidRPr="00B731AA">
              <w:rPr>
                <w:lang w:val="en-US"/>
              </w:rPr>
              <w:t>/ECE/324/Rev.1/Add.12/Rev.8/Amend.5</w:t>
            </w:r>
            <w:r w:rsidRPr="00B731AA">
              <w:rPr>
                <w:rFonts w:cs="Times New Roman"/>
                <w:lang w:val="en-US"/>
              </w:rPr>
              <w:t>−</w:t>
            </w:r>
            <w:r w:rsidRPr="00B731AA">
              <w:rPr>
                <w:sz w:val="40"/>
                <w:lang w:val="en-US"/>
              </w:rPr>
              <w:t>E</w:t>
            </w:r>
            <w:r w:rsidRPr="00B731AA">
              <w:rPr>
                <w:lang w:val="en-US"/>
              </w:rPr>
              <w:t>/ECE/TRANS/505/Rev.1/Add.12/Rev.8/Amend.5</w:t>
            </w:r>
          </w:p>
        </w:tc>
      </w:tr>
      <w:tr w:rsidR="002D5AAC" w:rsidRPr="009D084C" w14:paraId="04E09D5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662900" w14:textId="77777777" w:rsidR="002D5AAC" w:rsidRPr="00B731A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D3FE9A0" w14:textId="77777777" w:rsidR="002D5AAC" w:rsidRPr="00B731A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7F26615" w14:textId="77777777" w:rsidR="00B731AA" w:rsidRDefault="00B731AA" w:rsidP="00B731A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9430DFF" w14:textId="77777777" w:rsidR="00B731AA" w:rsidRDefault="00B731AA" w:rsidP="00B731A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C7CA55C" w14:textId="77777777" w:rsidR="00B731AA" w:rsidRPr="009D084C" w:rsidRDefault="00B731AA" w:rsidP="00B731AA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 November 2018 </w:t>
            </w:r>
          </w:p>
        </w:tc>
      </w:tr>
    </w:tbl>
    <w:p w14:paraId="3800705D" w14:textId="77777777" w:rsidR="00B731AA" w:rsidRPr="009A0776" w:rsidRDefault="00B731AA" w:rsidP="007673D2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03E37941" w14:textId="77777777" w:rsidR="00B731AA" w:rsidRPr="00F90F71" w:rsidRDefault="00B731AA" w:rsidP="007673D2">
      <w:pPr>
        <w:pStyle w:val="H1GR"/>
        <w:spacing w:before="240" w:line="260" w:lineRule="exact"/>
      </w:pPr>
      <w:r w:rsidRPr="000D3524">
        <w:tab/>
      </w:r>
      <w:r w:rsidRPr="000D3524">
        <w:tab/>
      </w:r>
      <w:r w:rsidR="007673D2" w:rsidRPr="007673D2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48AF6171" w14:textId="77777777" w:rsidR="00B731AA" w:rsidRPr="00F90F71" w:rsidRDefault="00B731AA" w:rsidP="00B731AA">
      <w:pPr>
        <w:pStyle w:val="SingleTxtGR"/>
      </w:pPr>
      <w:r w:rsidRPr="000D3524">
        <w:t>(Пересмотр 3, включающий поправки, вступившие в силу 14 сентября 2017 года)</w:t>
      </w:r>
    </w:p>
    <w:p w14:paraId="0B3A1A0D" w14:textId="77777777" w:rsidR="00B731AA" w:rsidRPr="000D3524" w:rsidRDefault="00B731AA" w:rsidP="00B731AA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F060AB6" w14:textId="77777777" w:rsidR="00B731AA" w:rsidRPr="00F90F71" w:rsidRDefault="00B731AA" w:rsidP="007673D2">
      <w:pPr>
        <w:pStyle w:val="H1GR"/>
        <w:spacing w:before="240" w:line="260" w:lineRule="exact"/>
      </w:pPr>
      <w:r w:rsidRPr="00F90F71">
        <w:tab/>
      </w:r>
      <w:r w:rsidRPr="00F90F71">
        <w:tab/>
      </w:r>
      <w:r w:rsidR="007673D2" w:rsidRPr="007673D2">
        <w:rPr>
          <w:bCs/>
        </w:rPr>
        <w:t>Добавление 12 – Правила № 13 ООН</w:t>
      </w:r>
    </w:p>
    <w:p w14:paraId="35D5C57B" w14:textId="77777777" w:rsidR="00B731AA" w:rsidRPr="00F90F71" w:rsidRDefault="00B731AA" w:rsidP="007673D2">
      <w:pPr>
        <w:pStyle w:val="H1GR"/>
        <w:spacing w:before="240" w:line="260" w:lineRule="exact"/>
      </w:pPr>
      <w:r w:rsidRPr="00F90F71">
        <w:tab/>
      </w:r>
      <w:r w:rsidRPr="00F90F71">
        <w:tab/>
      </w:r>
      <w:r w:rsidR="007673D2" w:rsidRPr="007673D2">
        <w:rPr>
          <w:bCs/>
        </w:rPr>
        <w:t>Пересмотр 8 – Поправка 5</w:t>
      </w:r>
    </w:p>
    <w:p w14:paraId="6505BF98" w14:textId="77777777" w:rsidR="00B731AA" w:rsidRPr="00F90F71" w:rsidRDefault="007673D2" w:rsidP="00B731AA">
      <w:pPr>
        <w:pStyle w:val="SingleTxtGR"/>
      </w:pPr>
      <w:r w:rsidRPr="007673D2">
        <w:t>Дополнение 15 к поправкам серии 11 − Дата вступления в силу: 16 октября 2018 года</w:t>
      </w:r>
    </w:p>
    <w:p w14:paraId="2894281A" w14:textId="77777777" w:rsidR="00B731AA" w:rsidRPr="00F90F71" w:rsidRDefault="00B731AA" w:rsidP="007673D2">
      <w:pPr>
        <w:pStyle w:val="H1GR"/>
        <w:spacing w:before="240" w:line="260" w:lineRule="exact"/>
      </w:pPr>
      <w:r w:rsidRPr="00F90F71">
        <w:tab/>
      </w:r>
      <w:r w:rsidRPr="00F90F71">
        <w:tab/>
      </w:r>
      <w:r w:rsidR="007673D2" w:rsidRPr="007673D2">
        <w:rPr>
          <w:bCs/>
        </w:rPr>
        <w:t>Единообразные предписания, касающиеся официального утверждения транспортных средств катег</w:t>
      </w:r>
      <w:r w:rsidR="007673D2">
        <w:rPr>
          <w:bCs/>
        </w:rPr>
        <w:t>орий M, N и O в </w:t>
      </w:r>
      <w:r w:rsidR="007673D2" w:rsidRPr="007673D2">
        <w:rPr>
          <w:bCs/>
        </w:rPr>
        <w:t>отношении торможения</w:t>
      </w:r>
    </w:p>
    <w:p w14:paraId="56D326EA" w14:textId="77777777" w:rsidR="00B731AA" w:rsidRPr="000D3524" w:rsidRDefault="007673D2" w:rsidP="007673D2">
      <w:pPr>
        <w:pStyle w:val="SingleTxtGR"/>
        <w:spacing w:after="80" w:line="230" w:lineRule="atLeast"/>
        <w:rPr>
          <w:w w:val="102"/>
        </w:rPr>
      </w:pPr>
      <w:r w:rsidRPr="007673D2">
        <w:rPr>
          <w:w w:val="102"/>
        </w:rPr>
        <w:t>Данный документ опубликован исключительно в информационных целях. Аутентичным и юридически обязательным текстом является документ ECE/TRANS/WP.29/2018/9 (с поправками, содержащимися в пункте 90 доклада ECE/TRANS/WP.29/1137).</w:t>
      </w:r>
    </w:p>
    <w:p w14:paraId="7D88C50F" w14:textId="77777777" w:rsidR="00B731AA" w:rsidRPr="000D3524" w:rsidRDefault="00B731AA" w:rsidP="00B731AA">
      <w:pPr>
        <w:pStyle w:val="SingleTxtGR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02FCB96E" w14:textId="77777777" w:rsidR="00B731AA" w:rsidRDefault="00B731AA" w:rsidP="007673D2">
      <w:pPr>
        <w:pStyle w:val="SingleTxtGR"/>
        <w:spacing w:after="0"/>
        <w:jc w:val="center"/>
        <w:rPr>
          <w:w w:val="102"/>
          <w:lang w:val="en-US"/>
        </w:rPr>
      </w:pPr>
      <w:r w:rsidRPr="008873E8">
        <w:rPr>
          <w:noProof/>
          <w:lang w:val="en-US"/>
        </w:rPr>
        <w:drawing>
          <wp:inline distT="0" distB="0" distL="0" distR="0" wp14:anchorId="6C1FBBFA" wp14:editId="187B61AE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5082" w14:textId="77777777" w:rsidR="00B731AA" w:rsidRPr="00F200F5" w:rsidRDefault="00B731AA" w:rsidP="00B731AA">
      <w:pPr>
        <w:pStyle w:val="SingleTxtGR"/>
        <w:jc w:val="center"/>
        <w:rPr>
          <w:w w:val="102"/>
        </w:rPr>
      </w:pPr>
      <w:r w:rsidRPr="008873E8">
        <w:rPr>
          <w:b/>
          <w:bCs/>
        </w:rPr>
        <w:lastRenderedPageBreak/>
        <w:t>ОРГАНИЗАЦИЯ ОБЪЕДИНЕННЫХ НАЦИЙ</w:t>
      </w:r>
    </w:p>
    <w:p w14:paraId="3AB750C3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 xml:space="preserve">Сноску 12 </w:t>
      </w:r>
      <w:r w:rsidRPr="007673D2">
        <w:t>изменить следующим образом:</w:t>
      </w:r>
    </w:p>
    <w:p w14:paraId="25A228E6" w14:textId="77777777" w:rsidR="007673D2" w:rsidRPr="007673D2" w:rsidRDefault="007673D2" w:rsidP="00425268">
      <w:pPr>
        <w:pStyle w:val="SingleTxtGR"/>
        <w:tabs>
          <w:tab w:val="clear" w:pos="1701"/>
          <w:tab w:val="clear" w:pos="2268"/>
          <w:tab w:val="left" w:pos="2552"/>
        </w:tabs>
      </w:pPr>
      <w:r>
        <w:t>«</w:t>
      </w:r>
      <w:r w:rsidR="00425268" w:rsidRPr="00712DB5">
        <w:rPr>
          <w:u w:val="single"/>
        </w:rPr>
        <w:tab/>
      </w:r>
    </w:p>
    <w:p w14:paraId="5907D426" w14:textId="77777777" w:rsidR="007673D2" w:rsidRPr="007673D2" w:rsidRDefault="007673D2" w:rsidP="00425268">
      <w:pPr>
        <w:pStyle w:val="FootnoteText"/>
        <w:tabs>
          <w:tab w:val="clear" w:pos="1021"/>
          <w:tab w:val="right" w:pos="1588"/>
        </w:tabs>
        <w:kinsoku w:val="0"/>
        <w:overflowPunct w:val="0"/>
        <w:autoSpaceDE w:val="0"/>
        <w:autoSpaceDN w:val="0"/>
        <w:adjustRightInd w:val="0"/>
        <w:snapToGrid w:val="0"/>
        <w:ind w:left="1701" w:hanging="1701"/>
      </w:pPr>
      <w:r w:rsidRPr="007673D2">
        <w:tab/>
      </w:r>
      <w:r w:rsidRPr="007673D2">
        <w:rPr>
          <w:vertAlign w:val="superscript"/>
        </w:rPr>
        <w:t>12</w:t>
      </w:r>
      <w:r w:rsidRPr="007673D2">
        <w:tab/>
        <w:t>Это требование не распространяется на транспортные средства повышенной проходимости, транспортные средства специального назначения (например, подвижные установки на нестандартном шасси, подвижные краны, транспортные средства с гидростатическим приводом, на которых система гидравлического привода используется также для торможения и вспомогательных функций, транспортные средства на нестандартном шасси, на которых датчик(и) для определения значений поперечной составляющей ускорения и/или угловой скорости рыскания, необходимый(е) для функционирования контроля устойчивости, не может (не могут) быть установлен(ы) в конкретной зоне поблизости от центра тяжести транспортного средства без ущерба для специального назначения транспортного средства), транспортные средства категории N</w:t>
      </w:r>
      <w:r w:rsidRPr="007673D2">
        <w:rPr>
          <w:vertAlign w:val="subscript"/>
        </w:rPr>
        <w:t>2</w:t>
      </w:r>
      <w:r w:rsidRPr="007673D2">
        <w:t>, которые обладают всеми перечисленными далее конструктивными особенностями: полная масса транс</w:t>
      </w:r>
      <w:r w:rsidR="00425268">
        <w:t>портного средства от 3,5 до 7,5 </w:t>
      </w:r>
      <w:r w:rsidRPr="007673D2">
        <w:t>тонн, нестандартные низкорамные шасси, более двух осей и гидропривод, автобусы класса I и класса А, относящиеся к категориям М</w:t>
      </w:r>
      <w:r w:rsidRPr="007673D2">
        <w:rPr>
          <w:vertAlign w:val="subscript"/>
        </w:rPr>
        <w:t>2</w:t>
      </w:r>
      <w:r w:rsidRPr="007673D2">
        <w:t xml:space="preserve"> и М</w:t>
      </w:r>
      <w:r w:rsidRPr="007673D2">
        <w:rPr>
          <w:vertAlign w:val="subscript"/>
        </w:rPr>
        <w:t>3</w:t>
      </w:r>
      <w:r w:rsidRPr="007673D2">
        <w:t>, сочлененные городские и междугородные автобусы, тягачи категории N</w:t>
      </w:r>
      <w:r w:rsidRPr="007673D2">
        <w:rPr>
          <w:vertAlign w:val="subscript"/>
        </w:rPr>
        <w:t>2</w:t>
      </w:r>
      <w:r w:rsidRPr="007673D2">
        <w:t xml:space="preserve"> для полуприцепов с полной массой транспортного средства (ПМТС) от 3,5 до 7,5 тонн».</w:t>
      </w:r>
    </w:p>
    <w:p w14:paraId="1C62926B" w14:textId="77777777" w:rsidR="007673D2" w:rsidRPr="007673D2" w:rsidRDefault="007673D2" w:rsidP="00425268">
      <w:pPr>
        <w:pStyle w:val="SingleTxtGR"/>
        <w:spacing w:before="120"/>
        <w:rPr>
          <w:i/>
        </w:rPr>
      </w:pPr>
      <w:r w:rsidRPr="007673D2">
        <w:rPr>
          <w:i/>
          <w:iCs/>
        </w:rPr>
        <w:t>Приложение 5</w:t>
      </w:r>
    </w:p>
    <w:p w14:paraId="0C97D9D5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 xml:space="preserve">Пункты 2.2 и 2.2.1 </w:t>
      </w:r>
      <w:r w:rsidRPr="007673D2">
        <w:t>исключить.</w:t>
      </w:r>
    </w:p>
    <w:p w14:paraId="388C7461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>Пункты 2.3−2.4.1 (прежние)</w:t>
      </w:r>
      <w:r w:rsidRPr="007673D2">
        <w:t>, изменить нумерацию на 2.2−2.3.1.</w:t>
      </w:r>
    </w:p>
    <w:p w14:paraId="7F598952" w14:textId="77777777" w:rsidR="007673D2" w:rsidRPr="007673D2" w:rsidRDefault="007673D2" w:rsidP="007673D2">
      <w:pPr>
        <w:pStyle w:val="SingleTxtGR"/>
        <w:rPr>
          <w:i/>
        </w:rPr>
      </w:pPr>
      <w:r w:rsidRPr="007673D2">
        <w:rPr>
          <w:i/>
          <w:iCs/>
        </w:rPr>
        <w:t>Приложение 12</w:t>
      </w:r>
      <w:r w:rsidRPr="007673D2">
        <w:t xml:space="preserve"> </w:t>
      </w:r>
    </w:p>
    <w:p w14:paraId="28F6180F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>Пункты 2.3.10 и 2.3.11</w:t>
      </w:r>
      <w:r w:rsidRPr="007673D2">
        <w:t xml:space="preserve"> исключить.</w:t>
      </w:r>
    </w:p>
    <w:p w14:paraId="0405C84D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>Пункт 2.3.12 (прежний)</w:t>
      </w:r>
      <w:r w:rsidRPr="007673D2">
        <w:t>, изменить текст и нумерацию следующим образом:</w:t>
      </w:r>
    </w:p>
    <w:p w14:paraId="6CE1E512" w14:textId="77777777" w:rsidR="007673D2" w:rsidRPr="007673D2" w:rsidRDefault="00425268" w:rsidP="00425268">
      <w:pPr>
        <w:pStyle w:val="SingleTxtGR"/>
        <w:ind w:left="2835" w:hanging="1701"/>
      </w:pPr>
      <w:r>
        <w:t>«</w:t>
      </w:r>
      <w:r w:rsidR="007673D2" w:rsidRPr="007673D2">
        <w:t>2.3.1</w:t>
      </w:r>
      <w:r>
        <w:t>0</w:t>
      </w:r>
      <w:r w:rsidR="007673D2" w:rsidRPr="007673D2">
        <w:tab/>
      </w:r>
      <w:proofErr w:type="spellStart"/>
      <w:r w:rsidR="007673D2" w:rsidRPr="007673D2">
        <w:t>s</w:t>
      </w:r>
      <w:r w:rsidR="007673D2" w:rsidRPr="007673D2">
        <w:rPr>
          <w:vertAlign w:val="subscript"/>
        </w:rPr>
        <w:t>cd</w:t>
      </w:r>
      <w:proofErr w:type="spellEnd"/>
      <w:r w:rsidR="007673D2" w:rsidRPr="007673D2">
        <w:tab/>
      </w:r>
      <w:proofErr w:type="spellStart"/>
      <w:r w:rsidR="007673D2" w:rsidRPr="007673D2">
        <w:t>мaксимальный</w:t>
      </w:r>
      <w:proofErr w:type="spellEnd"/>
      <w:r w:rsidR="007673D2" w:rsidRPr="007673D2">
        <w:t xml:space="preserve"> дифференциальный ход, приемлемый для компенсатора в силу его геометрических и конструктивных характеристик, когда только один тормоз приводится в действие при движении вперед, а другой − при движении назад, допуская одинаковое напряжение обоих тросов/обеих тяг.</w:t>
      </w:r>
    </w:p>
    <w:p w14:paraId="311DDF19" w14:textId="77777777" w:rsidR="007673D2" w:rsidRPr="007673D2" w:rsidRDefault="00425268" w:rsidP="007673D2">
      <w:pPr>
        <w:pStyle w:val="SingleTxtGR"/>
      </w:pPr>
      <w:r>
        <w:tab/>
      </w:r>
      <w:r>
        <w:tab/>
      </w:r>
      <w:r>
        <w:tab/>
      </w:r>
      <w:r w:rsidR="005B485C">
        <w:t>(См. рис</w:t>
      </w:r>
      <w:r w:rsidR="00811C42" w:rsidRPr="009A526C">
        <w:t>.</w:t>
      </w:r>
      <w:r w:rsidR="005B485C">
        <w:t xml:space="preserve"> 5A добавления 1</w:t>
      </w:r>
      <w:r w:rsidR="007673D2" w:rsidRPr="007673D2">
        <w:t>)».</w:t>
      </w:r>
    </w:p>
    <w:p w14:paraId="620489C9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 xml:space="preserve">Сноску 1 </w:t>
      </w:r>
      <w:r w:rsidRPr="007673D2">
        <w:t>исключить.</w:t>
      </w:r>
    </w:p>
    <w:p w14:paraId="6326DDB4" w14:textId="77777777" w:rsidR="007673D2" w:rsidRPr="007673D2" w:rsidRDefault="007673D2" w:rsidP="007673D2">
      <w:pPr>
        <w:pStyle w:val="SingleTxtGR"/>
      </w:pPr>
      <w:r w:rsidRPr="007673D2">
        <w:rPr>
          <w:i/>
          <w:iCs/>
        </w:rPr>
        <w:t xml:space="preserve">Пункт 8.1.2 </w:t>
      </w:r>
      <w:r w:rsidRPr="007673D2">
        <w:t>изменить следующим образом:</w:t>
      </w:r>
    </w:p>
    <w:p w14:paraId="65141BA1" w14:textId="77777777" w:rsidR="007673D2" w:rsidRPr="007673D2" w:rsidRDefault="00425268" w:rsidP="00425268">
      <w:pPr>
        <w:pStyle w:val="SingleTxtGR"/>
        <w:ind w:left="2268" w:hanging="1134"/>
      </w:pPr>
      <w:r>
        <w:t>«</w:t>
      </w:r>
      <w:r w:rsidR="007673D2" w:rsidRPr="007673D2">
        <w:t>8.1.2</w:t>
      </w:r>
      <w:r w:rsidR="007673D2" w:rsidRPr="007673D2">
        <w:tab/>
      </w:r>
      <w:r>
        <w:tab/>
      </w:r>
      <w:r w:rsidR="007673D2" w:rsidRPr="007673D2">
        <w:t>Должны предоставляться детали рисунка с целью продемонстрировать, что сочленение компенсатора достаточно для обеспечения приложения равного натяжения к каждому из задних тросов. Компенсатор должен иметь достаточную ширину, чтобы облегчить дифференциальный ход слева направо. Зажимы хомута также должны быть достаточно глубокими по сравнению с их шириной, с тем чтобы они не препятствовали работе сочленения, когда компенсатор находится под углом.</w:t>
      </w:r>
    </w:p>
    <w:p w14:paraId="4F74D624" w14:textId="77777777" w:rsidR="007673D2" w:rsidRPr="007673D2" w:rsidRDefault="00425268" w:rsidP="007673D2">
      <w:pPr>
        <w:pStyle w:val="SingleTxtGR"/>
      </w:pPr>
      <w:r>
        <w:tab/>
      </w:r>
      <w:r>
        <w:tab/>
      </w:r>
      <w:r w:rsidR="007673D2" w:rsidRPr="007673D2">
        <w:t>Дифференциальный ход компенсатора (</w:t>
      </w:r>
      <w:proofErr w:type="spellStart"/>
      <w:r w:rsidR="007673D2" w:rsidRPr="007673D2">
        <w:t>s</w:t>
      </w:r>
      <w:r w:rsidR="007673D2" w:rsidRPr="007673D2">
        <w:rPr>
          <w:vertAlign w:val="subscript"/>
        </w:rPr>
        <w:t>cd</w:t>
      </w:r>
      <w:proofErr w:type="spellEnd"/>
      <w:r w:rsidR="007673D2" w:rsidRPr="007673D2">
        <w:t>) определяют по формуле:</w:t>
      </w:r>
    </w:p>
    <w:p w14:paraId="5047F712" w14:textId="77777777" w:rsidR="007673D2" w:rsidRPr="007673D2" w:rsidRDefault="00425268" w:rsidP="007673D2">
      <w:pPr>
        <w:pStyle w:val="SingleTxtGR"/>
        <w:rPr>
          <w:b/>
          <w:vertAlign w:val="subscript"/>
        </w:rPr>
      </w:pPr>
      <w:r>
        <w:tab/>
      </w:r>
      <w:r>
        <w:tab/>
      </w:r>
      <w:proofErr w:type="spellStart"/>
      <w:r w:rsidR="007673D2" w:rsidRPr="007673D2">
        <w:t>s</w:t>
      </w:r>
      <w:r w:rsidR="007673D2" w:rsidRPr="007673D2">
        <w:rPr>
          <w:vertAlign w:val="subscript"/>
        </w:rPr>
        <w:t>cd</w:t>
      </w:r>
      <w:proofErr w:type="spellEnd"/>
      <w:r w:rsidR="007673D2" w:rsidRPr="007673D2">
        <w:t xml:space="preserve"> ≥ 1,2 • </w:t>
      </w:r>
      <w:proofErr w:type="spellStart"/>
      <w:r w:rsidR="007673D2" w:rsidRPr="007673D2">
        <w:t>s</w:t>
      </w:r>
      <w:r w:rsidR="007673D2" w:rsidRPr="007673D2">
        <w:rPr>
          <w:vertAlign w:val="subscript"/>
        </w:rPr>
        <w:t>r</w:t>
      </w:r>
      <w:proofErr w:type="spellEnd"/>
      <w:r>
        <w:t>»</w:t>
      </w:r>
      <w:r w:rsidR="007673D2" w:rsidRPr="007673D2">
        <w:t>.</w:t>
      </w:r>
    </w:p>
    <w:p w14:paraId="73DE5F21" w14:textId="77777777" w:rsidR="007673D2" w:rsidRPr="007673D2" w:rsidRDefault="007673D2" w:rsidP="00425268">
      <w:pPr>
        <w:pStyle w:val="SingleTxtGR"/>
        <w:pageBreakBefore/>
      </w:pPr>
      <w:r w:rsidRPr="007673D2">
        <w:rPr>
          <w:i/>
          <w:iCs/>
        </w:rPr>
        <w:lastRenderedPageBreak/>
        <w:t>Приложение 12, добавление 1, рис. 5A</w:t>
      </w:r>
      <w:r w:rsidRPr="007673D2">
        <w:t xml:space="preserve"> изменить следующим образом:</w:t>
      </w:r>
    </w:p>
    <w:p w14:paraId="34F45CEA" w14:textId="77777777" w:rsidR="00381C24" w:rsidRPr="00425268" w:rsidRDefault="007673D2" w:rsidP="00425268">
      <w:pPr>
        <w:pStyle w:val="H23GR"/>
        <w:rPr>
          <w:b w:val="0"/>
        </w:rPr>
      </w:pPr>
      <w:r w:rsidRPr="007673D2">
        <w:tab/>
      </w:r>
      <w:r w:rsidRPr="007673D2">
        <w:tab/>
      </w:r>
      <w:r w:rsidRPr="00425268">
        <w:rPr>
          <w:b w:val="0"/>
        </w:rPr>
        <w:t xml:space="preserve">«Рис. 5А </w:t>
      </w:r>
      <w:r w:rsidRPr="007673D2">
        <w:br/>
        <w:t xml:space="preserve">Тормозная система с механическим приводом </w:t>
      </w:r>
      <w:r w:rsidRPr="007673D2">
        <w:br/>
      </w:r>
      <w:r w:rsidRPr="00425268">
        <w:rPr>
          <w:b w:val="0"/>
        </w:rPr>
        <w:t>(см. пункт 2.3 настоящего приложения)</w:t>
      </w:r>
    </w:p>
    <w:p w14:paraId="1D9D5474" w14:textId="77777777" w:rsidR="00425268" w:rsidRPr="00557A69" w:rsidRDefault="00052F0D" w:rsidP="00425268">
      <w:pPr>
        <w:pStyle w:val="SingleTxtG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0D6D" wp14:editId="6992F7CB">
                <wp:simplePos x="0" y="0"/>
                <wp:positionH relativeFrom="column">
                  <wp:posOffset>4034790</wp:posOffset>
                </wp:positionH>
                <wp:positionV relativeFrom="paragraph">
                  <wp:posOffset>788439</wp:posOffset>
                </wp:positionV>
                <wp:extent cx="1978429" cy="548640"/>
                <wp:effectExtent l="0" t="0" r="3175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429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BC6F" w14:textId="77777777" w:rsidR="00425268" w:rsidRPr="009B756F" w:rsidRDefault="00425268" w:rsidP="00052F0D">
                            <w:pPr>
                              <w:spacing w:before="20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75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Увеличение хода только в одну </w:t>
                            </w:r>
                            <w:r w:rsidRPr="009B756F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сторону, когда при движении назад включается только один 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617F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17.7pt;margin-top:62.1pt;width:155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zojAIAAAgFAAAOAAAAZHJzL2Uyb0RvYy54bWysVNuO2yAQfa/Uf0C8Z21HTja21lntpakq&#10;bS/Sth9AAMeoGCiQ2Ntqv6Vf0adK/YZ8Ugccp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" stroked="f">
                <v:textbox inset="0,0,0,0">
                  <w:txbxContent>
                    <w:p w:rsidR="00425268" w:rsidRPr="009B756F" w:rsidRDefault="00425268" w:rsidP="00052F0D">
                      <w:pPr>
                        <w:spacing w:before="20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B756F">
                        <w:rPr>
                          <w:b/>
                          <w:sz w:val="16"/>
                          <w:szCs w:val="16"/>
                        </w:rPr>
                        <w:t xml:space="preserve">Увеличение хода только в одну </w:t>
                      </w:r>
                      <w:r w:rsidRPr="009B756F">
                        <w:rPr>
                          <w:b/>
                          <w:sz w:val="16"/>
                          <w:szCs w:val="16"/>
                        </w:rPr>
                        <w:br/>
                        <w:t>сторону, когда при движении назад включается только один тормоз</w:t>
                      </w:r>
                    </w:p>
                  </w:txbxContent>
                </v:textbox>
              </v:shape>
            </w:pict>
          </mc:Fallback>
        </mc:AlternateContent>
      </w:r>
      <w:r w:rsidR="004252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927D9" wp14:editId="19BA8866">
                <wp:simplePos x="0" y="0"/>
                <wp:positionH relativeFrom="column">
                  <wp:posOffset>880110</wp:posOffset>
                </wp:positionH>
                <wp:positionV relativeFrom="paragraph">
                  <wp:posOffset>1769201</wp:posOffset>
                </wp:positionV>
                <wp:extent cx="4335780" cy="272143"/>
                <wp:effectExtent l="0" t="0" r="762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A5B4A" w14:textId="77777777" w:rsidR="00425268" w:rsidRPr="009B756F" w:rsidRDefault="00425268" w:rsidP="0042526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756F">
                              <w:rPr>
                                <w:b/>
                                <w:sz w:val="16"/>
                                <w:szCs w:val="16"/>
                              </w:rPr>
                              <w:t>Конфигурация компенсатора обеспечивает равное натяжение обоих задних тросов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7739" id="Поле 9" o:spid="_x0000_s1027" type="#_x0000_t202" style="position:absolute;left:0;text-align:left;margin-left:69.3pt;margin-top:139.3pt;width:341.4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" stroked="f">
                <v:textbox inset="0,0,0,0">
                  <w:txbxContent>
                    <w:p w:rsidR="00425268" w:rsidRPr="009B756F" w:rsidRDefault="00425268" w:rsidP="0042526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B756F">
                        <w:rPr>
                          <w:b/>
                          <w:sz w:val="16"/>
                          <w:szCs w:val="16"/>
                        </w:rPr>
                        <w:t>Конфигурация компенсатора обеспечивает равное натяжение обоих задних тросов</w:t>
                      </w:r>
                    </w:p>
                  </w:txbxContent>
                </v:textbox>
              </v:shape>
            </w:pict>
          </mc:Fallback>
        </mc:AlternateContent>
      </w:r>
      <w:r w:rsidR="004252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F7F5B" wp14:editId="019598C9">
                <wp:simplePos x="0" y="0"/>
                <wp:positionH relativeFrom="column">
                  <wp:posOffset>2419350</wp:posOffset>
                </wp:positionH>
                <wp:positionV relativeFrom="paragraph">
                  <wp:posOffset>1231265</wp:posOffset>
                </wp:positionV>
                <wp:extent cx="565785" cy="207645"/>
                <wp:effectExtent l="0" t="0" r="571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5D5B6" w14:textId="77777777" w:rsidR="00425268" w:rsidRPr="00C73536" w:rsidRDefault="00425268" w:rsidP="00425268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8427" id="Поле 13" o:spid="_x0000_s1028" type="#_x0000_t202" style="position:absolute;left:0;text-align:left;margin-left:190.5pt;margin-top:96.95pt;width:44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" stroked="f">
                <v:textbox inset="0,0,0,0">
                  <w:txbxContent>
                    <w:p w:rsidR="00425268" w:rsidRPr="00C73536" w:rsidRDefault="00425268" w:rsidP="00425268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2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2F883" wp14:editId="69D49AD9">
                <wp:simplePos x="0" y="0"/>
                <wp:positionH relativeFrom="column">
                  <wp:posOffset>2207895</wp:posOffset>
                </wp:positionH>
                <wp:positionV relativeFrom="paragraph">
                  <wp:posOffset>835025</wp:posOffset>
                </wp:positionV>
                <wp:extent cx="565785" cy="202565"/>
                <wp:effectExtent l="0" t="0" r="571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43C2" w14:textId="77777777" w:rsidR="00425268" w:rsidRPr="00C73536" w:rsidRDefault="00425268" w:rsidP="00425268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4B2D" id="Поле 12" o:spid="_x0000_s1029" type="#_x0000_t202" style="position:absolute;left:0;text-align:left;margin-left:173.85pt;margin-top:65.75pt;width:44.5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" stroked="f">
                <v:textbox inset="0,0,0,0">
                  <w:txbxContent>
                    <w:p w:rsidR="00425268" w:rsidRPr="00C73536" w:rsidRDefault="00425268" w:rsidP="00425268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2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534C" wp14:editId="2A9943A2">
                <wp:simplePos x="0" y="0"/>
                <wp:positionH relativeFrom="column">
                  <wp:posOffset>2366671</wp:posOffset>
                </wp:positionH>
                <wp:positionV relativeFrom="paragraph">
                  <wp:posOffset>386161</wp:posOffset>
                </wp:positionV>
                <wp:extent cx="2167890" cy="337915"/>
                <wp:effectExtent l="0" t="0" r="381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3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102B" w14:textId="77777777" w:rsidR="00425268" w:rsidRPr="00C73536" w:rsidRDefault="00425268" w:rsidP="00425268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7962" id="Поле 10" o:spid="_x0000_s1030" type="#_x0000_t202" style="position:absolute;left:0;text-align:left;margin-left:186.35pt;margin-top:30.4pt;width:170.7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" stroked="f">
                <v:textbox inset="0,0,0,0">
                  <w:txbxContent>
                    <w:p w:rsidR="00425268" w:rsidRPr="00C73536" w:rsidRDefault="00425268" w:rsidP="00425268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268">
        <w:rPr>
          <w:noProof/>
          <w:lang w:val="en-US"/>
        </w:rPr>
        <w:drawing>
          <wp:inline distT="0" distB="0" distL="0" distR="0" wp14:anchorId="54C45A18" wp14:editId="0BC1260F">
            <wp:extent cx="5336540" cy="2040255"/>
            <wp:effectExtent l="0" t="0" r="0" b="0"/>
            <wp:docPr id="7" name="Рисунок 7" descr="fig 1a compen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1a compens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98A5" w14:textId="77777777" w:rsidR="00425268" w:rsidRPr="00557A69" w:rsidRDefault="00425268" w:rsidP="00425268">
      <w:pPr>
        <w:pStyle w:val="SingleTxtGR"/>
      </w:pPr>
      <w:r>
        <w:rPr>
          <w:noProof/>
          <w:lang w:val="en-US"/>
        </w:rPr>
        <w:drawing>
          <wp:inline distT="0" distB="0" distL="0" distR="0" wp14:anchorId="0BDDD10A" wp14:editId="57A919F7">
            <wp:extent cx="3834765" cy="1576070"/>
            <wp:effectExtent l="0" t="0" r="0" b="508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14:paraId="7F95B5BF" w14:textId="77777777" w:rsidR="00425268" w:rsidRPr="00425268" w:rsidRDefault="00425268" w:rsidP="00425268">
      <w:pPr>
        <w:pStyle w:val="SingleTxtGR"/>
        <w:rPr>
          <w:i/>
        </w:rPr>
      </w:pPr>
      <w:r w:rsidRPr="00425268">
        <w:rPr>
          <w:i/>
          <w:iCs/>
        </w:rPr>
        <w:t>Приложение 12, добавление 4</w:t>
      </w:r>
    </w:p>
    <w:p w14:paraId="2D6A6F5A" w14:textId="77777777" w:rsidR="00425268" w:rsidRPr="00425268" w:rsidRDefault="00425268" w:rsidP="00425268">
      <w:pPr>
        <w:pStyle w:val="SingleTxtGR"/>
      </w:pPr>
      <w:r w:rsidRPr="00425268">
        <w:rPr>
          <w:i/>
          <w:iCs/>
        </w:rPr>
        <w:t>Пункты 6.1.1–6.1.3</w:t>
      </w:r>
      <w:r w:rsidRPr="00425268">
        <w:t xml:space="preserve"> исключить.</w:t>
      </w:r>
    </w:p>
    <w:p w14:paraId="673E990C" w14:textId="77777777" w:rsidR="00425268" w:rsidRPr="00425268" w:rsidRDefault="00425268" w:rsidP="00425268">
      <w:pPr>
        <w:pStyle w:val="SingleTxtGR"/>
      </w:pPr>
      <w:r w:rsidRPr="00425268">
        <w:rPr>
          <w:i/>
          <w:iCs/>
        </w:rPr>
        <w:t>Включить новые пункты 6.1.1 и 6.1.2</w:t>
      </w:r>
      <w:r w:rsidRPr="00425268">
        <w:t xml:space="preserve"> следующего содержания:</w:t>
      </w:r>
    </w:p>
    <w:p w14:paraId="67825AE4" w14:textId="77777777" w:rsidR="00425268" w:rsidRDefault="00425268" w:rsidP="00425268">
      <w:pPr>
        <w:pStyle w:val="SingleTxtGR"/>
        <w:ind w:left="2268" w:hanging="1134"/>
        <w:jc w:val="left"/>
      </w:pPr>
      <w:r>
        <w:t>«</w:t>
      </w:r>
      <w:r w:rsidRPr="00425268">
        <w:t>6.1.1</w:t>
      </w:r>
      <w:r w:rsidRPr="00425268">
        <w:tab/>
      </w:r>
      <w:r>
        <w:tab/>
      </w:r>
      <w:proofErr w:type="spellStart"/>
      <w:r w:rsidRPr="00425268">
        <w:t>Maксимально</w:t>
      </w:r>
      <w:proofErr w:type="spellEnd"/>
      <w:r w:rsidRPr="00425268">
        <w:t xml:space="preserve"> возможный дифференциальный ход компенсатора</w:t>
      </w:r>
    </w:p>
    <w:p w14:paraId="0EE5CE7F" w14:textId="77777777" w:rsidR="00425268" w:rsidRPr="00425268" w:rsidRDefault="00425268" w:rsidP="00425268">
      <w:pPr>
        <w:pStyle w:val="SingleTxtGR"/>
        <w:ind w:left="2268" w:hanging="1134"/>
        <w:jc w:val="left"/>
      </w:pPr>
      <w:r>
        <w:tab/>
      </w:r>
      <w:r>
        <w:tab/>
      </w:r>
      <w:proofErr w:type="spellStart"/>
      <w:r w:rsidRPr="00425268">
        <w:t>s</w:t>
      </w:r>
      <w:r w:rsidRPr="00425268">
        <w:rPr>
          <w:vertAlign w:val="subscript"/>
        </w:rPr>
        <w:t>cd</w:t>
      </w:r>
      <w:proofErr w:type="spellEnd"/>
      <w:r w:rsidRPr="00425268">
        <w:t>=</w:t>
      </w:r>
      <w:r w:rsidRPr="00425268">
        <w:tab/>
      </w:r>
      <w:r w:rsidRPr="00425268">
        <w:tab/>
        <w:t>мм</w:t>
      </w:r>
    </w:p>
    <w:p w14:paraId="212FA6AB" w14:textId="77777777" w:rsidR="00425268" w:rsidRDefault="00425268" w:rsidP="00425268">
      <w:pPr>
        <w:pStyle w:val="SingleTxtGR"/>
      </w:pPr>
      <w:r w:rsidRPr="00425268">
        <w:t>6.1.2</w:t>
      </w:r>
      <w:r w:rsidRPr="00425268">
        <w:tab/>
      </w:r>
      <w:r w:rsidRPr="00425268">
        <w:tab/>
        <w:t xml:space="preserve">Отношение 1,2 * </w:t>
      </w:r>
      <w:proofErr w:type="spellStart"/>
      <w:r w:rsidRPr="00425268">
        <w:t>s</w:t>
      </w:r>
      <w:r w:rsidRPr="00425268">
        <w:rPr>
          <w:vertAlign w:val="subscript"/>
        </w:rPr>
        <w:t>r</w:t>
      </w:r>
      <w:proofErr w:type="spellEnd"/>
      <w:r w:rsidRPr="00425268">
        <w:t xml:space="preserve"> = ___________ мм</w:t>
      </w:r>
    </w:p>
    <w:p w14:paraId="3C19C15E" w14:textId="77777777" w:rsidR="00425268" w:rsidRPr="00425268" w:rsidRDefault="00425268" w:rsidP="00425268">
      <w:pPr>
        <w:pStyle w:val="SingleTxtGR"/>
      </w:pPr>
      <w:r>
        <w:tab/>
      </w:r>
      <w:r>
        <w:tab/>
      </w:r>
      <w:r w:rsidRPr="00425268">
        <w:t xml:space="preserve">(не должно превышать </w:t>
      </w:r>
      <w:proofErr w:type="spellStart"/>
      <w:r w:rsidRPr="00425268">
        <w:t>s</w:t>
      </w:r>
      <w:r w:rsidRPr="00425268">
        <w:rPr>
          <w:vertAlign w:val="subscript"/>
        </w:rPr>
        <w:t>cd</w:t>
      </w:r>
      <w:proofErr w:type="spellEnd"/>
      <w:r w:rsidRPr="00425268">
        <w:t>)».</w:t>
      </w:r>
    </w:p>
    <w:p w14:paraId="431C056B" w14:textId="77777777" w:rsidR="00425268" w:rsidRPr="00425268" w:rsidRDefault="00425268" w:rsidP="00425268">
      <w:pPr>
        <w:pStyle w:val="SingleTxtGR"/>
        <w:rPr>
          <w:i/>
        </w:rPr>
      </w:pPr>
      <w:r w:rsidRPr="00425268">
        <w:rPr>
          <w:i/>
          <w:iCs/>
        </w:rPr>
        <w:t>Приложение 21</w:t>
      </w:r>
    </w:p>
    <w:p w14:paraId="2508C4A5" w14:textId="77777777" w:rsidR="00425268" w:rsidRPr="00425268" w:rsidRDefault="00425268" w:rsidP="00425268">
      <w:pPr>
        <w:pStyle w:val="SingleTxtGR"/>
      </w:pPr>
      <w:r w:rsidRPr="00425268">
        <w:rPr>
          <w:i/>
          <w:iCs/>
        </w:rPr>
        <w:t xml:space="preserve">Пункт 2.1.4, второй абзац </w:t>
      </w:r>
      <w:r w:rsidRPr="00425268">
        <w:t>изменить следующим образом:</w:t>
      </w:r>
    </w:p>
    <w:p w14:paraId="5C6CC18F" w14:textId="77777777" w:rsidR="00425268" w:rsidRDefault="00425268" w:rsidP="00425268">
      <w:pPr>
        <w:pStyle w:val="SingleTxtGR"/>
        <w:ind w:left="1701" w:hanging="567"/>
      </w:pPr>
      <w:r>
        <w:tab/>
      </w:r>
      <w:r w:rsidRPr="00425268">
        <w:t xml:space="preserve">«Помимо этого, задействование систем, связанных с функцией обеспечения устойчивости транспортного средства (включая </w:t>
      </w:r>
      <w:proofErr w:type="spellStart"/>
      <w:r w:rsidRPr="00425268">
        <w:t>антибуксовочное</w:t>
      </w:r>
      <w:proofErr w:type="spellEnd"/>
      <w:r w:rsidRPr="00425268">
        <w:t xml:space="preserve"> устройство, устройство стабилизации прицепа, блок управления тормозами на поворотах, другие аналогичные функции, которые срабатывают в зависимости от режима работы двигателя, тормозного момента на отдельном колесе и имеют общие компоненты с функцией обеспечения устойчивости, и то обстоятельство, что функцией ЭКУ или ФОУТС оказывается воздействие на угол поворота одного или более колес для обеспечения устойчивости транспортного средства), может также указываться водителю при помощи мигающего оптического предупреждающего сигнала».</w:t>
      </w:r>
    </w:p>
    <w:p w14:paraId="534A8010" w14:textId="77777777" w:rsidR="00425268" w:rsidRPr="00425268" w:rsidRDefault="00425268" w:rsidP="0042526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5268" w:rsidRPr="00425268" w:rsidSect="00B731A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D098" w14:textId="77777777" w:rsidR="005A2B78" w:rsidRPr="00A312BC" w:rsidRDefault="005A2B78" w:rsidP="00A312BC"/>
  </w:endnote>
  <w:endnote w:type="continuationSeparator" w:id="0">
    <w:p w14:paraId="3AB31015" w14:textId="77777777" w:rsidR="005A2B78" w:rsidRPr="00A312BC" w:rsidRDefault="005A2B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AD98" w14:textId="77777777" w:rsidR="00B731AA" w:rsidRPr="00B731AA" w:rsidRDefault="00B731AA">
    <w:pPr>
      <w:pStyle w:val="Footer"/>
    </w:pPr>
    <w:r w:rsidRPr="00B731AA">
      <w:rPr>
        <w:b/>
        <w:sz w:val="18"/>
      </w:rPr>
      <w:fldChar w:fldCharType="begin"/>
    </w:r>
    <w:r w:rsidRPr="00B731AA">
      <w:rPr>
        <w:b/>
        <w:sz w:val="18"/>
      </w:rPr>
      <w:instrText xml:space="preserve"> PAGE  \* MERGEFORMAT </w:instrText>
    </w:r>
    <w:r w:rsidRPr="00B731AA">
      <w:rPr>
        <w:b/>
        <w:sz w:val="18"/>
      </w:rPr>
      <w:fldChar w:fldCharType="separate"/>
    </w:r>
    <w:r w:rsidR="001444CA">
      <w:rPr>
        <w:b/>
        <w:noProof/>
        <w:sz w:val="18"/>
      </w:rPr>
      <w:t>2</w:t>
    </w:r>
    <w:r w:rsidRPr="00B731AA">
      <w:rPr>
        <w:b/>
        <w:sz w:val="18"/>
      </w:rPr>
      <w:fldChar w:fldCharType="end"/>
    </w:r>
    <w:r>
      <w:rPr>
        <w:b/>
        <w:sz w:val="18"/>
      </w:rPr>
      <w:tab/>
    </w:r>
    <w:r>
      <w:t>GE.18-18480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133B" w14:textId="77777777" w:rsidR="00B731AA" w:rsidRPr="00B731AA" w:rsidRDefault="00B731AA" w:rsidP="00B731A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GE.18-18480</w:t>
    </w:r>
    <w:r>
      <w:tab/>
    </w:r>
    <w:r w:rsidRPr="00B731AA">
      <w:rPr>
        <w:b/>
        <w:sz w:val="18"/>
      </w:rPr>
      <w:fldChar w:fldCharType="begin"/>
    </w:r>
    <w:r w:rsidRPr="00B731AA">
      <w:rPr>
        <w:b/>
        <w:sz w:val="18"/>
      </w:rPr>
      <w:instrText xml:space="preserve"> PAGE  \* MERGEFORMAT </w:instrText>
    </w:r>
    <w:r w:rsidRPr="00B731AA">
      <w:rPr>
        <w:b/>
        <w:sz w:val="18"/>
      </w:rPr>
      <w:fldChar w:fldCharType="separate"/>
    </w:r>
    <w:r w:rsidR="001444CA">
      <w:rPr>
        <w:b/>
        <w:noProof/>
        <w:sz w:val="18"/>
      </w:rPr>
      <w:t>3</w:t>
    </w:r>
    <w:r w:rsidRPr="00B731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CA77" w14:textId="77777777" w:rsidR="00042B72" w:rsidRPr="00B731AA" w:rsidRDefault="00B731AA" w:rsidP="00B731A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C6DEA66" wp14:editId="1FC649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18480  (</w:t>
    </w:r>
    <w:proofErr w:type="gramEnd"/>
    <w:r>
      <w:t>R)</w:t>
    </w:r>
    <w:r w:rsidR="009A526C">
      <w:rPr>
        <w:lang w:val="en-US"/>
      </w:rPr>
      <w:t xml:space="preserve">  120219   130219</w:t>
    </w:r>
    <w:r>
      <w:br/>
    </w:r>
    <w:r w:rsidRPr="00B731AA">
      <w:rPr>
        <w:rFonts w:ascii="C39T30Lfz" w:hAnsi="C39T30Lfz"/>
        <w:kern w:val="14"/>
        <w:sz w:val="56"/>
      </w:rPr>
      <w:t></w:t>
    </w:r>
    <w:r w:rsidRPr="00B731AA">
      <w:rPr>
        <w:rFonts w:ascii="C39T30Lfz" w:hAnsi="C39T30Lfz"/>
        <w:kern w:val="14"/>
        <w:sz w:val="56"/>
      </w:rPr>
      <w:t></w:t>
    </w:r>
    <w:r w:rsidRPr="00B731AA">
      <w:rPr>
        <w:rFonts w:ascii="C39T30Lfz" w:hAnsi="C39T30Lfz"/>
        <w:kern w:val="14"/>
        <w:sz w:val="56"/>
      </w:rPr>
      <w:t></w:t>
    </w:r>
    <w:r w:rsidRPr="00B731AA">
      <w:rPr>
        <w:rFonts w:ascii="C39T30Lfz" w:hAnsi="C39T30Lfz"/>
        <w:kern w:val="14"/>
        <w:sz w:val="56"/>
      </w:rPr>
      <w:t></w:t>
    </w:r>
    <w:r w:rsidRPr="00B731AA">
      <w:rPr>
        <w:rFonts w:ascii="C39T30Lfz" w:hAnsi="C39T30Lfz"/>
        <w:kern w:val="14"/>
        <w:sz w:val="56"/>
      </w:rPr>
      <w:t></w:t>
    </w:r>
    <w:r w:rsidRPr="00B731AA">
      <w:rPr>
        <w:rFonts w:ascii="C39T30Lfz" w:hAnsi="C39T30Lfz"/>
        <w:kern w:val="14"/>
        <w:sz w:val="56"/>
      </w:rPr>
      <w:t></w:t>
    </w:r>
    <w:r w:rsidRPr="00B731AA">
      <w:rPr>
        <w:rFonts w:ascii="C39T30Lfz" w:hAnsi="C39T30Lfz"/>
        <w:kern w:val="14"/>
        <w:sz w:val="56"/>
      </w:rPr>
      <w:t></w:t>
    </w:r>
    <w:r w:rsidRPr="00B731AA">
      <w:rPr>
        <w:rFonts w:ascii="C39T30Lfz" w:hAnsi="C39T30Lfz"/>
        <w:kern w:val="14"/>
        <w:sz w:val="56"/>
      </w:rPr>
      <w:t></w:t>
    </w:r>
    <w:r w:rsidRPr="00B731A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111700" wp14:editId="4BAC15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2/Rev.8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2/Rev.8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EE74" w14:textId="77777777" w:rsidR="005A2B78" w:rsidRPr="001075E9" w:rsidRDefault="005A2B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330B85" w14:textId="77777777" w:rsidR="005A2B78" w:rsidRDefault="005A2B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B9C43A" w14:textId="77777777" w:rsidR="00B731AA" w:rsidRPr="000D3524" w:rsidRDefault="00B731AA" w:rsidP="00B731AA">
      <w:pPr>
        <w:pStyle w:val="FootnoteText"/>
        <w:spacing w:line="210" w:lineRule="exact"/>
      </w:pPr>
      <w:r>
        <w:tab/>
      </w:r>
      <w:r w:rsidRPr="00F90F71">
        <w:rPr>
          <w:rStyle w:val="FootnoteReference"/>
          <w:sz w:val="20"/>
          <w:vertAlign w:val="baseline"/>
        </w:rPr>
        <w:t>*</w:t>
      </w:r>
      <w:r w:rsidRPr="00F90F71">
        <w:rPr>
          <w:rStyle w:val="FootnoteReference"/>
          <w:vertAlign w:val="baseline"/>
        </w:rPr>
        <w:tab/>
      </w:r>
      <w:r w:rsidRPr="000D3524">
        <w:t>Прежние названия Соглашения:</w:t>
      </w:r>
    </w:p>
    <w:p w14:paraId="28A9A0B7" w14:textId="77777777" w:rsidR="00B731AA" w:rsidRPr="000D3524" w:rsidRDefault="00B731AA" w:rsidP="00B731AA">
      <w:pPr>
        <w:pStyle w:val="FootnoteText"/>
        <w:spacing w:line="210" w:lineRule="exact"/>
      </w:pPr>
      <w:r w:rsidRPr="000D3524">
        <w:tab/>
      </w:r>
      <w:r w:rsidRPr="000D3524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E875670" w14:textId="77777777" w:rsidR="00B731AA" w:rsidRPr="000D3524" w:rsidRDefault="00B731AA" w:rsidP="00B731AA">
      <w:pPr>
        <w:pStyle w:val="FootnoteText"/>
        <w:spacing w:line="210" w:lineRule="exact"/>
        <w:rPr>
          <w:sz w:val="20"/>
        </w:rPr>
      </w:pPr>
      <w:r w:rsidRPr="000D3524">
        <w:tab/>
      </w:r>
      <w:r w:rsidRPr="000D3524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0D3524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8D42" w14:textId="68468041" w:rsidR="00B731AA" w:rsidRPr="00B731AA" w:rsidRDefault="001444CA">
    <w:pPr>
      <w:pStyle w:val="Header"/>
    </w:pPr>
    <w:fldSimple w:instr=" TITLE  \* MERGEFORMAT ">
      <w:r w:rsidR="00186FE9">
        <w:t>E/ECE/324/Rev.1/Add.12/Rev.8/Amend.5</w:t>
      </w:r>
    </w:fldSimple>
    <w:r w:rsidR="00B731AA">
      <w:br/>
    </w:r>
    <w:fldSimple w:instr=" KEYWORDS  \* MERGEFORMAT ">
      <w:r w:rsidR="00186FE9">
        <w:t>E/ECE/TRANS/505/Rev.1/Add.12/Rev.8/Amend.5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2DBE" w14:textId="428FC6BA" w:rsidR="00B731AA" w:rsidRPr="00B731AA" w:rsidRDefault="001444CA" w:rsidP="00B731AA">
    <w:pPr>
      <w:pStyle w:val="Header"/>
      <w:jc w:val="right"/>
    </w:pPr>
    <w:fldSimple w:instr=" TITLE  \* MERGEFORMAT ">
      <w:r w:rsidR="00186FE9">
        <w:t>E/ECE/324/Rev.1/Add.12/Rev.8/Amend.5</w:t>
      </w:r>
    </w:fldSimple>
    <w:r w:rsidR="00B731AA">
      <w:br/>
    </w:r>
    <w:fldSimple w:instr=" KEYWORDS  \* MERGEFORMAT ">
      <w:r w:rsidR="00186FE9">
        <w:t>E/ECE/TRANS/505/Rev.1/Add.12/Rev.8/Amend.5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78"/>
    <w:rsid w:val="00033EE1"/>
    <w:rsid w:val="00042B72"/>
    <w:rsid w:val="00052F0D"/>
    <w:rsid w:val="000558BD"/>
    <w:rsid w:val="00061280"/>
    <w:rsid w:val="000B57E7"/>
    <w:rsid w:val="000B6373"/>
    <w:rsid w:val="000F09DF"/>
    <w:rsid w:val="000F61B2"/>
    <w:rsid w:val="000F6F41"/>
    <w:rsid w:val="001075E9"/>
    <w:rsid w:val="001444CA"/>
    <w:rsid w:val="00180183"/>
    <w:rsid w:val="0018024D"/>
    <w:rsid w:val="0018649F"/>
    <w:rsid w:val="00186FE9"/>
    <w:rsid w:val="00196389"/>
    <w:rsid w:val="001B3EF6"/>
    <w:rsid w:val="001C7A89"/>
    <w:rsid w:val="001F7D2A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25268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4180"/>
    <w:rsid w:val="005961C8"/>
    <w:rsid w:val="005A2B78"/>
    <w:rsid w:val="005B485C"/>
    <w:rsid w:val="005D7914"/>
    <w:rsid w:val="005E2B41"/>
    <w:rsid w:val="005F0B42"/>
    <w:rsid w:val="00681A10"/>
    <w:rsid w:val="006A1ED8"/>
    <w:rsid w:val="006B5249"/>
    <w:rsid w:val="006C2031"/>
    <w:rsid w:val="006D461A"/>
    <w:rsid w:val="006E5645"/>
    <w:rsid w:val="006F35EE"/>
    <w:rsid w:val="007021FF"/>
    <w:rsid w:val="00712895"/>
    <w:rsid w:val="00757357"/>
    <w:rsid w:val="007673D2"/>
    <w:rsid w:val="00811C42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526C"/>
    <w:rsid w:val="009D084C"/>
    <w:rsid w:val="009D18B1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731AA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EDEF4"/>
  <w15:docId w15:val="{3EA80E0B-0F95-49DE-AE5D-B608815E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E/ECE/324/Rev.1/Add.12/Rev.8/Amend.5</vt:lpstr>
      <vt:lpstr>E/ECE/324/Rev.1/Add.12/Rev.8/Amend.5</vt:lpstr>
      <vt:lpstr>A/</vt:lpstr>
    </vt:vector>
  </TitlesOfParts>
  <Company>DCM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E/ECE/324/Rev.1/Add.12/Rev.8/Amend.5</dc:title>
  <dc:creator>Uliana ANTIPOVA</dc:creator>
  <cp:keywords>E/ECE/TRANS/505/Rev.1/Add.12/Rev.8/Amend.5</cp:keywords>
  <cp:lastModifiedBy>Marie-Claude Collet</cp:lastModifiedBy>
  <cp:revision>3</cp:revision>
  <cp:lastPrinted>2019-02-13T16:07:00Z</cp:lastPrinted>
  <dcterms:created xsi:type="dcterms:W3CDTF">2019-02-13T16:06:00Z</dcterms:created>
  <dcterms:modified xsi:type="dcterms:W3CDTF">2019-02-13T16:07:00Z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