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2"/>
        <w:gridCol w:w="6"/>
        <w:gridCol w:w="5666"/>
        <w:gridCol w:w="2693"/>
      </w:tblGrid>
      <w:tr w:rsidR="002D5AAC" w:rsidRPr="00CD2216" w:rsidTr="007C503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581144" w:rsidRDefault="002D5AAC" w:rsidP="00581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:rsidR="002D5AAC" w:rsidRPr="00581144" w:rsidRDefault="002D5AAC" w:rsidP="00581144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</w:p>
        </w:tc>
        <w:tc>
          <w:tcPr>
            <w:tcW w:w="8365" w:type="dxa"/>
            <w:gridSpan w:val="3"/>
            <w:tcBorders>
              <w:bottom w:val="single" w:sz="4" w:space="0" w:color="auto"/>
            </w:tcBorders>
            <w:vAlign w:val="bottom"/>
          </w:tcPr>
          <w:p w:rsidR="00A948BF" w:rsidRPr="00581144" w:rsidRDefault="00A948BF" w:rsidP="00581144">
            <w:pPr>
              <w:suppressAutoHyphens/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581144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581144">
              <w:rPr>
                <w:spacing w:val="0"/>
                <w:w w:val="100"/>
                <w:kern w:val="0"/>
                <w:lang w:val="en-US"/>
              </w:rPr>
              <w:t>/ECE/324/Add.5/Rev.6/Amend.3</w:t>
            </w:r>
            <w:r w:rsidRPr="00581144">
              <w:rPr>
                <w:rFonts w:cs="Times New Roman"/>
                <w:spacing w:val="0"/>
                <w:w w:val="100"/>
                <w:kern w:val="0"/>
                <w:lang w:val="en-US"/>
              </w:rPr>
              <w:t>−</w:t>
            </w:r>
            <w:r w:rsidRPr="00581144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581144">
              <w:rPr>
                <w:spacing w:val="0"/>
                <w:w w:val="100"/>
                <w:kern w:val="0"/>
                <w:lang w:val="en-US"/>
              </w:rPr>
              <w:t>/ECE/TRANS/505/Add.5/Rev.6/Amend.3</w:t>
            </w:r>
          </w:p>
        </w:tc>
      </w:tr>
      <w:tr w:rsidR="000478D1" w:rsidRPr="00581144" w:rsidTr="00387CD4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478D1" w:rsidRPr="00CD2216" w:rsidRDefault="000478D1" w:rsidP="00581144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0478D1" w:rsidRPr="00CD2216" w:rsidRDefault="000478D1" w:rsidP="00581144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0478D1" w:rsidRPr="00CD2216" w:rsidRDefault="000478D1" w:rsidP="00581144">
            <w:pPr>
              <w:suppressAutoHyphens/>
              <w:spacing w:before="120"/>
              <w:rPr>
                <w:spacing w:val="0"/>
                <w:w w:val="100"/>
                <w:kern w:val="0"/>
                <w:lang w:val="en-US"/>
              </w:rPr>
            </w:pPr>
          </w:p>
          <w:p w:rsidR="000478D1" w:rsidRPr="00CD2216" w:rsidRDefault="000478D1" w:rsidP="00581144">
            <w:pPr>
              <w:suppressAutoHyphens/>
              <w:spacing w:before="120"/>
              <w:rPr>
                <w:spacing w:val="0"/>
                <w:w w:val="100"/>
                <w:kern w:val="0"/>
                <w:lang w:val="en-US"/>
              </w:rPr>
            </w:pPr>
          </w:p>
          <w:p w:rsidR="000478D1" w:rsidRPr="00581144" w:rsidRDefault="000478D1" w:rsidP="00581144">
            <w:pPr>
              <w:suppressAutoHyphens/>
              <w:spacing w:before="120"/>
              <w:rPr>
                <w:spacing w:val="0"/>
                <w:w w:val="100"/>
                <w:kern w:val="0"/>
              </w:rPr>
            </w:pPr>
            <w:r w:rsidRPr="00581144">
              <w:rPr>
                <w:spacing w:val="0"/>
                <w:w w:val="100"/>
                <w:kern w:val="0"/>
              </w:rPr>
              <w:t xml:space="preserve">26 </w:t>
            </w:r>
            <w:proofErr w:type="spellStart"/>
            <w:r w:rsidRPr="00581144">
              <w:rPr>
                <w:spacing w:val="0"/>
                <w:w w:val="100"/>
                <w:kern w:val="0"/>
              </w:rPr>
              <w:t>March</w:t>
            </w:r>
            <w:proofErr w:type="spellEnd"/>
            <w:r w:rsidRPr="00581144">
              <w:rPr>
                <w:spacing w:val="0"/>
                <w:w w:val="100"/>
                <w:kern w:val="0"/>
              </w:rPr>
              <w:t xml:space="preserve"> 2018</w:t>
            </w:r>
          </w:p>
        </w:tc>
      </w:tr>
    </w:tbl>
    <w:p w:rsidR="00A948BF" w:rsidRPr="00A948BF" w:rsidRDefault="00A948BF" w:rsidP="00581144">
      <w:pPr>
        <w:pStyle w:val="HChG"/>
        <w:spacing w:before="120" w:after="120"/>
        <w:rPr>
          <w:lang w:val="ru-RU"/>
        </w:rPr>
      </w:pPr>
      <w:r w:rsidRPr="00A948BF">
        <w:tab/>
      </w:r>
      <w:r w:rsidRPr="00A948BF"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A948BF" w:rsidRPr="00CD2216" w:rsidRDefault="00A948BF" w:rsidP="00581144">
      <w:pPr>
        <w:pStyle w:val="H1G"/>
        <w:spacing w:before="120" w:after="120"/>
        <w:rPr>
          <w:lang w:val="ru-RU"/>
        </w:rPr>
      </w:pPr>
      <w:r w:rsidRPr="00A948BF">
        <w:tab/>
      </w:r>
      <w:r w:rsidRPr="00A948BF">
        <w:tab/>
      </w:r>
      <w:r w:rsidRPr="00A948BF">
        <w:tab/>
      </w:r>
      <w:r w:rsidRPr="00CD2216">
        <w:rPr>
          <w:lang w:val="ru-RU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948BF">
        <w:rPr>
          <w:b w:val="0"/>
          <w:sz w:val="20"/>
          <w:lang w:val="ru-RU" w:eastAsia="ru-RU"/>
        </w:rPr>
        <w:footnoteReference w:customMarkFollows="1" w:id="1"/>
        <w:t>*</w:t>
      </w:r>
    </w:p>
    <w:p w:rsidR="00A948BF" w:rsidRPr="00CD2216" w:rsidRDefault="00A948BF" w:rsidP="00581144">
      <w:pPr>
        <w:pStyle w:val="SingleTxtG"/>
        <w:spacing w:before="120"/>
        <w:rPr>
          <w:lang w:val="ru-RU"/>
        </w:rPr>
      </w:pPr>
      <w:r w:rsidRPr="00CD2216">
        <w:rPr>
          <w:lang w:val="ru-RU"/>
        </w:rPr>
        <w:t>(Пересмотр 3, включающий поправки, вступившие в силу 14 сентября 2017 года)</w:t>
      </w:r>
    </w:p>
    <w:p w:rsidR="00A948BF" w:rsidRPr="00CD2216" w:rsidRDefault="00A948BF" w:rsidP="00581144">
      <w:pPr>
        <w:keepNext/>
        <w:keepLines/>
        <w:tabs>
          <w:tab w:val="right" w:pos="851"/>
        </w:tabs>
        <w:suppressAutoHyphens/>
        <w:spacing w:before="80" w:after="120" w:line="270" w:lineRule="exact"/>
        <w:jc w:val="center"/>
        <w:rPr>
          <w:rFonts w:eastAsia="Times New Roman" w:cs="Times New Roman"/>
          <w:spacing w:val="0"/>
          <w:w w:val="100"/>
          <w:kern w:val="0"/>
          <w:sz w:val="24"/>
          <w:szCs w:val="20"/>
          <w:lang w:eastAsia="en-US"/>
        </w:rPr>
      </w:pPr>
      <w:r w:rsidRPr="00CD2216">
        <w:rPr>
          <w:rFonts w:eastAsia="Times New Roman" w:cs="Times New Roman"/>
          <w:spacing w:val="0"/>
          <w:w w:val="100"/>
          <w:kern w:val="0"/>
          <w:sz w:val="24"/>
          <w:szCs w:val="20"/>
          <w:lang w:eastAsia="en-US"/>
        </w:rPr>
        <w:t>_________</w:t>
      </w:r>
    </w:p>
    <w:p w:rsidR="00A948BF" w:rsidRPr="00CD2216" w:rsidRDefault="00A948BF" w:rsidP="00581144">
      <w:pPr>
        <w:pStyle w:val="H1G"/>
        <w:spacing w:before="120" w:after="120"/>
        <w:rPr>
          <w:lang w:val="ru-RU"/>
        </w:rPr>
      </w:pPr>
      <w:r w:rsidRPr="00CD2216">
        <w:rPr>
          <w:lang w:val="ru-RU"/>
        </w:rPr>
        <w:tab/>
      </w:r>
      <w:r w:rsidRPr="00CD2216">
        <w:rPr>
          <w:lang w:val="ru-RU"/>
        </w:rPr>
        <w:tab/>
        <w:t>Добавление 5 – Правила № 6 ООН</w:t>
      </w:r>
    </w:p>
    <w:p w:rsidR="00A948BF" w:rsidRPr="00CD2216" w:rsidRDefault="00A948BF" w:rsidP="00581144">
      <w:pPr>
        <w:pStyle w:val="H1G"/>
        <w:spacing w:before="120" w:after="120"/>
        <w:rPr>
          <w:lang w:val="ru-RU"/>
        </w:rPr>
      </w:pPr>
      <w:r w:rsidRPr="00CD2216">
        <w:rPr>
          <w:lang w:val="ru-RU"/>
        </w:rPr>
        <w:tab/>
      </w:r>
      <w:r w:rsidRPr="00CD2216">
        <w:rPr>
          <w:lang w:val="ru-RU"/>
        </w:rPr>
        <w:tab/>
        <w:t>Пересмотр 6 – Поправка 3</w:t>
      </w:r>
    </w:p>
    <w:p w:rsidR="00A948BF" w:rsidRPr="00A948BF" w:rsidRDefault="00A948BF" w:rsidP="00581144">
      <w:pPr>
        <w:suppressAutoHyphens/>
        <w:spacing w:after="360"/>
        <w:ind w:left="1134" w:right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CD2216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Дополнение</w:t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28 к поправкам серии 1 − Дата вступления в силу: 10 февраля 2018 года</w:t>
      </w:r>
    </w:p>
    <w:p w:rsidR="00A948BF" w:rsidRPr="00CD2216" w:rsidRDefault="00A948BF" w:rsidP="00581144">
      <w:pPr>
        <w:pStyle w:val="H1G"/>
        <w:spacing w:before="120" w:after="120" w:line="240" w:lineRule="exact"/>
        <w:rPr>
          <w:lang w:val="ru-RU"/>
        </w:rPr>
      </w:pPr>
      <w:r w:rsidRPr="00CD2216">
        <w:rPr>
          <w:lang w:val="ru-RU"/>
        </w:rPr>
        <w:tab/>
      </w:r>
      <w:r w:rsidRPr="00CD2216">
        <w:rPr>
          <w:lang w:val="ru-RU"/>
        </w:rPr>
        <w:tab/>
        <w:t>Единообразные предписания, касающиеся официального утверждения указателей поворота механических транспортных средств и их прицепов</w:t>
      </w:r>
    </w:p>
    <w:p w:rsidR="00A948BF" w:rsidRPr="00CD2216" w:rsidRDefault="00A948BF" w:rsidP="00581144">
      <w:pPr>
        <w:pStyle w:val="SingleTxtG"/>
        <w:spacing w:after="0"/>
        <w:rPr>
          <w:lang w:val="ru-RU"/>
        </w:rPr>
      </w:pPr>
      <w:r w:rsidRPr="00CD2216">
        <w:rPr>
          <w:lang w:val="ru-RU"/>
        </w:rPr>
        <w:t xml:space="preserve">Настоящий </w:t>
      </w:r>
      <w:r w:rsidRPr="00CD2216">
        <w:rPr>
          <w:lang w:val="ru-RU" w:eastAsia="en-GB"/>
        </w:rPr>
        <w:t>документ</w:t>
      </w:r>
      <w:r w:rsidRPr="00CD2216">
        <w:rPr>
          <w:lang w:val="ru-RU"/>
        </w:rPr>
        <w:t xml:space="preserve"> опубликован исключительно в информационных целях. Аутентичным и юридически обязательным текстом являются документы:</w:t>
      </w:r>
    </w:p>
    <w:p w:rsidR="00A948BF" w:rsidRPr="00CD2216" w:rsidRDefault="00A948BF" w:rsidP="00581144">
      <w:pPr>
        <w:pStyle w:val="SingleTxtG"/>
        <w:spacing w:after="0"/>
        <w:rPr>
          <w:lang w:val="ru-RU"/>
        </w:rPr>
      </w:pPr>
      <w:r w:rsidRPr="00CD2216">
        <w:rPr>
          <w:lang w:val="ru-RU"/>
        </w:rPr>
        <w:t>-</w:t>
      </w:r>
      <w:r w:rsidRPr="00CD2216">
        <w:rPr>
          <w:lang w:val="ru-RU"/>
        </w:rPr>
        <w:tab/>
      </w:r>
      <w:r w:rsidRPr="00A948BF">
        <w:t>ECE</w:t>
      </w:r>
      <w:r w:rsidRPr="00CD2216">
        <w:rPr>
          <w:lang w:val="ru-RU"/>
        </w:rPr>
        <w:t>/</w:t>
      </w:r>
      <w:r w:rsidRPr="00A948BF">
        <w:t>TRANS</w:t>
      </w:r>
      <w:r w:rsidRPr="00CD2216">
        <w:rPr>
          <w:lang w:val="ru-RU"/>
        </w:rPr>
        <w:t>/</w:t>
      </w:r>
      <w:r w:rsidRPr="00A948BF">
        <w:t>WP</w:t>
      </w:r>
      <w:r w:rsidRPr="00CD2216">
        <w:rPr>
          <w:lang w:val="ru-RU"/>
        </w:rPr>
        <w:t>.29/2017/73</w:t>
      </w:r>
    </w:p>
    <w:p w:rsidR="00A948BF" w:rsidRPr="00A948BF" w:rsidRDefault="00A948BF" w:rsidP="00581144">
      <w:pPr>
        <w:numPr>
          <w:ilvl w:val="0"/>
          <w:numId w:val="19"/>
        </w:numPr>
        <w:suppressAutoHyphens/>
        <w:ind w:left="1701" w:right="1134" w:hanging="567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ECE/TRANS/WP.29/2017/74 (с поправкой, содержащейся в пункте 75 доклада ECE/TRANS/WP.29/1131)</w:t>
      </w:r>
    </w:p>
    <w:p w:rsidR="00A948BF" w:rsidRPr="00CD2216" w:rsidRDefault="00315A12" w:rsidP="00581144">
      <w:pPr>
        <w:suppressAutoHyphens/>
        <w:spacing w:line="240" w:lineRule="auto"/>
        <w:jc w:val="center"/>
        <w:rPr>
          <w:rFonts w:eastAsia="Times New Roman" w:cs="Times New Roman"/>
          <w:spacing w:val="0"/>
          <w:w w:val="100"/>
          <w:kern w:val="0"/>
          <w:sz w:val="24"/>
          <w:szCs w:val="20"/>
          <w:lang w:eastAsia="en-US"/>
        </w:rPr>
      </w:pPr>
      <w:r w:rsidRPr="00A948BF">
        <w:rPr>
          <w:rFonts w:eastAsia="Times New Roman" w:cs="Times New Roman"/>
          <w:b/>
          <w:noProof/>
          <w:spacing w:val="0"/>
          <w:w w:val="100"/>
          <w:kern w:val="0"/>
          <w:sz w:val="24"/>
          <w:szCs w:val="20"/>
          <w:lang w:eastAsia="ru-RU"/>
        </w:rPr>
        <w:drawing>
          <wp:anchor distT="0" distB="137160" distL="114300" distR="114300" simplePos="0" relativeHeight="251659264" behindDoc="0" locked="0" layoutInCell="1" allowOverlap="1" wp14:anchorId="74B183C3" wp14:editId="5918BF68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16" w:rsidRPr="00CD2216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_________</w:t>
      </w:r>
    </w:p>
    <w:p w:rsidR="00A948BF" w:rsidRPr="00A948BF" w:rsidRDefault="00A948BF" w:rsidP="00581144">
      <w:pPr>
        <w:suppressAutoHyphens/>
        <w:spacing w:after="120"/>
        <w:ind w:left="1134" w:right="1134"/>
        <w:jc w:val="center"/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</w:pPr>
      <w:r w:rsidRPr="00A948BF">
        <w:rPr>
          <w:rFonts w:eastAsia="Times New Roman" w:cs="Times New Roman"/>
          <w:b/>
          <w:bCs/>
          <w:spacing w:val="0"/>
          <w:w w:val="100"/>
          <w:kern w:val="0"/>
          <w:szCs w:val="20"/>
          <w:lang w:eastAsia="en-US"/>
        </w:rPr>
        <w:t>ОРГАНИЗАЦИЯ ОБЪЕДИНЕННЫХ НАЦИЙ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1134" w:right="1134"/>
        <w:jc w:val="both"/>
        <w:rPr>
          <w:rFonts w:ascii="Arial" w:eastAsia="Times New Roman" w:hAnsi="Arial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i/>
          <w:iCs/>
          <w:spacing w:val="0"/>
          <w:w w:val="100"/>
          <w:kern w:val="0"/>
          <w:szCs w:val="20"/>
        </w:rPr>
        <w:lastRenderedPageBreak/>
        <w:t xml:space="preserve">Пункт 1.3 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изменить следующим образом:</w:t>
      </w:r>
    </w:p>
    <w:p w:rsidR="00A948BF" w:rsidRPr="00A948BF" w:rsidRDefault="00A948BF" w:rsidP="00581144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 w:hanging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 xml:space="preserve">«1.3 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"</w:t>
      </w:r>
      <w:r w:rsidRPr="00A948BF">
        <w:rPr>
          <w:rFonts w:eastAsia="Times New Roman" w:cs="Times New Roman"/>
          <w:i/>
          <w:iCs/>
          <w:spacing w:val="0"/>
          <w:w w:val="100"/>
          <w:kern w:val="0"/>
          <w:szCs w:val="20"/>
        </w:rPr>
        <w:t>указатели поворота различных типов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>" означает огни, которые различаются по таким существенным аспектам, как: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a)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торговое наименование или товарный знак;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835" w:right="1134" w:hanging="567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b)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характеристики оптической системы (уровни силы света, углы распределения света, категория источника света, модуль источника света и т.</w:t>
      </w:r>
      <w:r w:rsidR="00581144" w:rsidRPr="00581144">
        <w:rPr>
          <w:rFonts w:eastAsia="Times New Roman" w:cs="Times New Roman"/>
          <w:spacing w:val="0"/>
          <w:w w:val="100"/>
          <w:kern w:val="0"/>
          <w:szCs w:val="20"/>
        </w:rPr>
        <w:t> 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д.);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c)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категория ламп указателей поворота;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d)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регулятор силы света, при наличии;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е)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последовательная активация источников света, при наличии.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Вместе с тем указатели поворота, которые могут быть активированы в различных режимах (последовательном или ином) без каких-либо изменений оптических характеристик огня, не считаются "</w:t>
      </w:r>
      <w:r w:rsidRPr="00A948BF">
        <w:rPr>
          <w:rFonts w:eastAsia="Times New Roman" w:cs="Times New Roman"/>
          <w:i/>
          <w:iCs/>
          <w:spacing w:val="0"/>
          <w:w w:val="100"/>
          <w:kern w:val="0"/>
          <w:szCs w:val="20"/>
        </w:rPr>
        <w:t>указателями поворота различных типов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>".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/>
        <w:jc w:val="both"/>
        <w:rPr>
          <w:rFonts w:eastAsia="Times New Roman" w:cs="Times New Roman"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Изменение цвета источника света или цвета любого фильтра не означает изменения типа».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1134" w:right="1134"/>
        <w:jc w:val="both"/>
        <w:rPr>
          <w:rFonts w:eastAsia="Times New Roman" w:cs="Times New Roman"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i/>
          <w:iCs/>
          <w:spacing w:val="0"/>
          <w:w w:val="100"/>
          <w:kern w:val="0"/>
          <w:szCs w:val="20"/>
        </w:rPr>
        <w:t>Пункт 5.5.1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 xml:space="preserve"> изменить следующим образом:</w:t>
      </w:r>
    </w:p>
    <w:p w:rsidR="00A948BF" w:rsidRPr="00A948BF" w:rsidRDefault="00A948BF" w:rsidP="00581144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 w:hanging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«5.5.1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Устройство оснащают только источником(</w:t>
      </w:r>
      <w:proofErr w:type="spellStart"/>
      <w:r w:rsidRPr="00A948BF">
        <w:rPr>
          <w:rFonts w:eastAsia="Times New Roman" w:cs="Times New Roman"/>
          <w:spacing w:val="0"/>
          <w:w w:val="100"/>
          <w:kern w:val="0"/>
          <w:szCs w:val="20"/>
        </w:rPr>
        <w:t>ами</w:t>
      </w:r>
      <w:proofErr w:type="spellEnd"/>
      <w:r w:rsidRPr="00A948BF">
        <w:rPr>
          <w:rFonts w:eastAsia="Times New Roman" w:cs="Times New Roman"/>
          <w:spacing w:val="0"/>
          <w:w w:val="100"/>
          <w:kern w:val="0"/>
          <w:szCs w:val="20"/>
        </w:rPr>
        <w:t xml:space="preserve">) света, официально утвержденным(и) на основании Правил № 37 ООН и/или </w:t>
      </w:r>
      <w:r w:rsidR="001D7A08">
        <w:rPr>
          <w:rFonts w:eastAsia="Times New Roman" w:cs="Times New Roman"/>
          <w:spacing w:val="0"/>
          <w:w w:val="100"/>
          <w:kern w:val="0"/>
          <w:szCs w:val="20"/>
        </w:rPr>
        <w:br/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Правил № 128 ООН, при условии, что в Правилах № 37 ООН и сериях поправок к ним, действующих на момент подачи заявки на официальное утверждение типа, либо в Правилах № 128 ООН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1134" w:right="1134"/>
        <w:jc w:val="both"/>
        <w:rPr>
          <w:rFonts w:ascii="Arial" w:eastAsia="Times New Roman" w:hAnsi="Arial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i/>
          <w:iCs/>
          <w:spacing w:val="0"/>
          <w:w w:val="100"/>
          <w:kern w:val="0"/>
          <w:szCs w:val="20"/>
        </w:rPr>
        <w:t>Пункт 5.6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 xml:space="preserve"> изменить следующим образом:</w:t>
      </w:r>
    </w:p>
    <w:p w:rsidR="00A948BF" w:rsidRPr="00A948BF" w:rsidRDefault="00A948BF" w:rsidP="00581144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 w:hanging="1134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«5.6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Для огней указателя поворота категорий 1, 1а, 1b, 2а или 2b мигание может производиться с помощью последовательной активации источников света, если соблюдены следующие условия: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835" w:right="1134" w:hanging="567"/>
        <w:jc w:val="both"/>
        <w:rPr>
          <w:rFonts w:eastAsia="SimSun" w:cs="Times New Roman"/>
          <w:bCs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a)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после активации каждый источник света должен оставаться включенным до конца цикла "включено";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835" w:right="1134" w:hanging="567"/>
        <w:jc w:val="both"/>
        <w:rPr>
          <w:rFonts w:eastAsia="Times New Roman" w:cs="Times New Roman"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b)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последовательность активации источников света должна обеспечивать сигнал, который подается единообразно и поступательно в направлении от внутреннего края к внешнему краю светоизлучающей поверхности;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835" w:right="1134" w:hanging="567"/>
        <w:jc w:val="both"/>
        <w:rPr>
          <w:rFonts w:eastAsia="Times New Roman" w:cs="Times New Roman"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c)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>должен подаваться один сигнал без каких-либо перерывов и вертикальных колебаний (т.</w:t>
      </w:r>
      <w:r w:rsidR="00581144" w:rsidRPr="00581144">
        <w:rPr>
          <w:rFonts w:eastAsia="Times New Roman" w:cs="Times New Roman"/>
          <w:spacing w:val="0"/>
          <w:w w:val="100"/>
          <w:kern w:val="0"/>
          <w:szCs w:val="20"/>
        </w:rPr>
        <w:t> 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е. не более одного изменения направления относительно вертикальной оси). Расстояние между двумя смежными/прилегающими друг к другу отдельными частями светоизлучающей поверхности последовательного указателя поворота, измеренное перпендикулярно исходной оси, не должно превышать 50 мм, вмес</w:t>
      </w:r>
      <w:r w:rsidR="001D7A08">
        <w:rPr>
          <w:rFonts w:eastAsia="Times New Roman" w:cs="Times New Roman"/>
          <w:spacing w:val="0"/>
          <w:w w:val="100"/>
          <w:kern w:val="0"/>
          <w:szCs w:val="20"/>
        </w:rPr>
        <w:t>то значений, указанных в пункте 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 xml:space="preserve">5.7.2 Правил № 48 ООН. Эти перерывы сигнала не должны создавать какого-либо дублирования по вертикальной оси между различными частями от внутреннего края к внешнему краю транспортного средства и не должны использоваться для </w:t>
      </w:r>
      <w:r w:rsidR="003C6771">
        <w:rPr>
          <w:rFonts w:eastAsia="Times New Roman" w:cs="Times New Roman"/>
          <w:spacing w:val="0"/>
          <w:w w:val="100"/>
          <w:kern w:val="0"/>
          <w:szCs w:val="20"/>
        </w:rPr>
        <w:br/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каких-либо других функций освещения или световой сигнализации;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835" w:right="1134" w:hanging="567"/>
        <w:jc w:val="both"/>
        <w:rPr>
          <w:rFonts w:eastAsia="Times New Roman" w:cs="Times New Roman"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d)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 xml:space="preserve">вариация должна завершаться не позднее чем через 200 </w:t>
      </w:r>
      <w:proofErr w:type="spellStart"/>
      <w:r w:rsidRPr="00A948BF">
        <w:rPr>
          <w:rFonts w:eastAsia="Times New Roman" w:cs="Times New Roman"/>
          <w:spacing w:val="0"/>
          <w:w w:val="100"/>
          <w:kern w:val="0"/>
          <w:szCs w:val="20"/>
        </w:rPr>
        <w:t>мс</w:t>
      </w:r>
      <w:proofErr w:type="spellEnd"/>
      <w:r w:rsidRPr="00A948BF">
        <w:rPr>
          <w:rFonts w:eastAsia="Times New Roman" w:cs="Times New Roman"/>
          <w:spacing w:val="0"/>
          <w:w w:val="100"/>
          <w:kern w:val="0"/>
          <w:szCs w:val="20"/>
        </w:rPr>
        <w:t xml:space="preserve"> после начала цикла "включено";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835" w:right="1134" w:hanging="567"/>
        <w:jc w:val="both"/>
        <w:rPr>
          <w:rFonts w:eastAsia="Times New Roman" w:cs="Times New Roman"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>е)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 xml:space="preserve">ортогональная проекция светоизлучающих поверхностей указателя поворота в направлении исходной оси должна </w:t>
      </w:r>
      <w:r w:rsidRPr="00A948BF">
        <w:rPr>
          <w:rFonts w:eastAsia="Times New Roman" w:cs="Times New Roman"/>
          <w:spacing w:val="0"/>
          <w:w w:val="100"/>
          <w:kern w:val="0"/>
          <w:szCs w:val="20"/>
        </w:rPr>
        <w:lastRenderedPageBreak/>
        <w:t>ограничиваться в плоскости, перпендикулярной исходной оси, прямоугольником, длинные стороны которого должны быть параллельны плоскости H. Соотношение горизонтальной и вертикальной сторон должно составлять не менее 1,7.</w:t>
      </w:r>
    </w:p>
    <w:p w:rsidR="00A948BF" w:rsidRPr="00A948BF" w:rsidRDefault="00A948BF" w:rsidP="00581144">
      <w:pPr>
        <w:tabs>
          <w:tab w:val="left" w:pos="2268"/>
          <w:tab w:val="left" w:pos="2835"/>
          <w:tab w:val="left" w:pos="3402"/>
          <w:tab w:val="left" w:pos="3969"/>
        </w:tabs>
        <w:suppressAutoHyphens/>
        <w:spacing w:after="120"/>
        <w:ind w:left="2268" w:right="1134" w:hanging="1134"/>
        <w:jc w:val="both"/>
        <w:rPr>
          <w:rFonts w:eastAsia="Times New Roman" w:cs="Times New Roman"/>
          <w:spacing w:val="0"/>
          <w:w w:val="100"/>
          <w:kern w:val="0"/>
          <w:szCs w:val="20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</w:rPr>
        <w:tab/>
        <w:t xml:space="preserve">Соответствие указанным выше условиям проверяют в режиме мигания». </w:t>
      </w:r>
    </w:p>
    <w:p w:rsidR="00A948BF" w:rsidRPr="00A948BF" w:rsidRDefault="00A948BF" w:rsidP="00581144">
      <w:pPr>
        <w:suppressAutoHyphens/>
        <w:spacing w:after="120"/>
        <w:ind w:left="1134" w:right="1134"/>
        <w:rPr>
          <w:rFonts w:ascii="Arial" w:eastAsia="Times New Roman" w:hAnsi="Arial" w:cs="Times New Roman"/>
          <w:bCs/>
          <w:spacing w:val="0"/>
          <w:w w:val="100"/>
          <w:kern w:val="0"/>
          <w:szCs w:val="20"/>
          <w:lang w:eastAsia="en-US"/>
        </w:rPr>
      </w:pPr>
      <w:r w:rsidRPr="00A948BF">
        <w:rPr>
          <w:rFonts w:eastAsia="Times New Roman" w:cs="Times New Roman"/>
          <w:i/>
          <w:iCs/>
          <w:spacing w:val="0"/>
          <w:w w:val="100"/>
          <w:kern w:val="0"/>
          <w:szCs w:val="20"/>
          <w:lang w:eastAsia="en-US"/>
        </w:rPr>
        <w:t>Включить новые пункты 14.15–14.17</w:t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 xml:space="preserve"> следующего содержания:</w:t>
      </w:r>
    </w:p>
    <w:p w:rsidR="00A948BF" w:rsidRPr="00A948BF" w:rsidRDefault="00A948BF" w:rsidP="00581144">
      <w:pPr>
        <w:suppressAutoHyphens/>
        <w:spacing w:after="120"/>
        <w:ind w:left="2268" w:rightChars="567" w:right="1183" w:hanging="1134"/>
        <w:jc w:val="both"/>
        <w:rPr>
          <w:rFonts w:eastAsia="SimSun" w:cs="Times New Roman"/>
          <w:bCs/>
          <w:spacing w:val="0"/>
          <w:w w:val="100"/>
          <w:kern w:val="0"/>
          <w:szCs w:val="20"/>
          <w:lang w:eastAsia="en-US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«14.15</w:t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>Начиная с официальной даты вступления в силу дополнения 28 к поправкам серии 01 ни одна из Договаривающихся сторон, применяющих настоящие Правила, не отказывает в предоставлении официального утверждения на основании настоящих Правил с поправками, внесенными в соответствии с настоящим дополнением.</w:t>
      </w:r>
    </w:p>
    <w:p w:rsidR="00A948BF" w:rsidRPr="00A948BF" w:rsidRDefault="00A948BF" w:rsidP="00581144">
      <w:pPr>
        <w:suppressAutoHyphens/>
        <w:spacing w:after="120"/>
        <w:ind w:left="2268" w:rightChars="567" w:right="1183" w:hanging="1134"/>
        <w:jc w:val="both"/>
        <w:rPr>
          <w:rFonts w:eastAsia="SimSun" w:cs="Times New Roman"/>
          <w:bCs/>
          <w:spacing w:val="0"/>
          <w:w w:val="100"/>
          <w:kern w:val="0"/>
          <w:szCs w:val="20"/>
          <w:lang w:eastAsia="en-US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14.16</w:t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>С 1 сентября 2018 года Договаривающиеся стороны, применяющие настоящие Правила, предоставляют официальные утверждения только в том случае, если подлежащий официальному утверждению тип указателя поворота отвечает требованиям настоящих Правил с поправками, внесенными в соответствии с дополнением</w:t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val="en-US" w:eastAsia="en-US"/>
        </w:rPr>
        <w:t> </w:t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28 к поправкам серии 01.</w:t>
      </w:r>
    </w:p>
    <w:p w:rsidR="00A948BF" w:rsidRPr="00A948BF" w:rsidRDefault="00A948BF" w:rsidP="00581144">
      <w:pPr>
        <w:suppressAutoHyphens/>
        <w:spacing w:after="120"/>
        <w:ind w:left="2268" w:rightChars="567" w:right="1183" w:hanging="1134"/>
        <w:jc w:val="both"/>
        <w:rPr>
          <w:rFonts w:eastAsia="Times New Roman" w:cs="Times New Roman"/>
          <w:spacing w:val="0"/>
          <w:w w:val="100"/>
          <w:kern w:val="0"/>
          <w:szCs w:val="20"/>
          <w:lang w:eastAsia="en-US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>14.17</w:t>
      </w:r>
      <w:r w:rsidRPr="00A948BF">
        <w:rPr>
          <w:rFonts w:eastAsia="Times New Roman" w:cs="Times New Roman"/>
          <w:spacing w:val="0"/>
          <w:w w:val="100"/>
          <w:kern w:val="0"/>
          <w:szCs w:val="20"/>
          <w:lang w:eastAsia="en-US"/>
        </w:rPr>
        <w:tab/>
        <w:t>Договаривающиеся стороны, применяющие настоящие Правила, не отказывают в распространении официального утверждения, предоставленного до даты вступления в силу дополнения 28 к поправкам серии 01 к настоящим Правилам».</w:t>
      </w:r>
    </w:p>
    <w:p w:rsidR="00A948BF" w:rsidRPr="00A948BF" w:rsidRDefault="00A948BF" w:rsidP="0058114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uppressAutoHyphens/>
        <w:spacing w:before="240"/>
        <w:ind w:left="1134" w:right="1134"/>
        <w:jc w:val="center"/>
        <w:rPr>
          <w:rFonts w:eastAsia="Times New Roman" w:cs="Times New Roman"/>
          <w:spacing w:val="0"/>
          <w:w w:val="100"/>
          <w:kern w:val="0"/>
          <w:szCs w:val="20"/>
          <w:u w:val="single"/>
        </w:rPr>
      </w:pPr>
      <w:r w:rsidRPr="00A948BF">
        <w:rPr>
          <w:rFonts w:eastAsia="Times New Roman" w:cs="Times New Roman"/>
          <w:spacing w:val="0"/>
          <w:w w:val="100"/>
          <w:kern w:val="0"/>
          <w:szCs w:val="20"/>
          <w:u w:val="single"/>
        </w:rPr>
        <w:tab/>
      </w:r>
      <w:r w:rsidRPr="00A948BF">
        <w:rPr>
          <w:rFonts w:eastAsia="Times New Roman" w:cs="Times New Roman"/>
          <w:spacing w:val="0"/>
          <w:w w:val="100"/>
          <w:kern w:val="0"/>
          <w:szCs w:val="20"/>
          <w:u w:val="single"/>
        </w:rPr>
        <w:tab/>
      </w:r>
      <w:r w:rsidRPr="00A948BF">
        <w:rPr>
          <w:rFonts w:eastAsia="Times New Roman" w:cs="Times New Roman"/>
          <w:spacing w:val="0"/>
          <w:w w:val="100"/>
          <w:kern w:val="0"/>
          <w:szCs w:val="20"/>
          <w:u w:val="single"/>
        </w:rPr>
        <w:tab/>
      </w:r>
    </w:p>
    <w:sectPr w:rsidR="00A948BF" w:rsidRPr="00A948BF" w:rsidSect="00A948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93" w:rsidRPr="00A312BC" w:rsidRDefault="00F01F93" w:rsidP="00A312BC"/>
  </w:endnote>
  <w:endnote w:type="continuationSeparator" w:id="0">
    <w:p w:rsidR="00F01F93" w:rsidRPr="00A312BC" w:rsidRDefault="00F01F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BF" w:rsidRPr="00A948BF" w:rsidRDefault="00A948BF">
    <w:pPr>
      <w:pStyle w:val="Footer"/>
    </w:pPr>
    <w:r w:rsidRPr="00A948BF">
      <w:rPr>
        <w:b/>
        <w:sz w:val="18"/>
      </w:rPr>
      <w:fldChar w:fldCharType="begin"/>
    </w:r>
    <w:r w:rsidRPr="00A948BF">
      <w:rPr>
        <w:b/>
        <w:sz w:val="18"/>
      </w:rPr>
      <w:instrText xml:space="preserve"> PAGE  \* MERGEFORMAT </w:instrText>
    </w:r>
    <w:r w:rsidRPr="00A948BF">
      <w:rPr>
        <w:b/>
        <w:sz w:val="18"/>
      </w:rPr>
      <w:fldChar w:fldCharType="separate"/>
    </w:r>
    <w:r w:rsidR="00093E52">
      <w:rPr>
        <w:b/>
        <w:noProof/>
        <w:sz w:val="18"/>
      </w:rPr>
      <w:t>2</w:t>
    </w:r>
    <w:r w:rsidRPr="00A948BF">
      <w:rPr>
        <w:b/>
        <w:sz w:val="18"/>
      </w:rPr>
      <w:fldChar w:fldCharType="end"/>
    </w:r>
    <w:r>
      <w:rPr>
        <w:b/>
        <w:sz w:val="18"/>
      </w:rPr>
      <w:tab/>
    </w:r>
    <w:r>
      <w:t>GE.18-04694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BF" w:rsidRPr="00A948BF" w:rsidRDefault="00A948BF" w:rsidP="00A948B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GE.18-04694</w:t>
    </w:r>
    <w:r>
      <w:tab/>
    </w:r>
    <w:r w:rsidRPr="00A948BF">
      <w:rPr>
        <w:b/>
        <w:sz w:val="18"/>
      </w:rPr>
      <w:fldChar w:fldCharType="begin"/>
    </w:r>
    <w:r w:rsidRPr="00A948BF">
      <w:rPr>
        <w:b/>
        <w:sz w:val="18"/>
      </w:rPr>
      <w:instrText xml:space="preserve"> PAGE  \* MERGEFORMAT </w:instrText>
    </w:r>
    <w:r w:rsidRPr="00A948BF">
      <w:rPr>
        <w:b/>
        <w:sz w:val="18"/>
      </w:rPr>
      <w:fldChar w:fldCharType="separate"/>
    </w:r>
    <w:r w:rsidR="00093E52">
      <w:rPr>
        <w:b/>
        <w:noProof/>
        <w:sz w:val="18"/>
      </w:rPr>
      <w:t>3</w:t>
    </w:r>
    <w:r w:rsidRPr="00A948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948BF" w:rsidRDefault="00A948BF" w:rsidP="00A948B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18-04694  (R)</w:t>
    </w:r>
    <w:r>
      <w:rPr>
        <w:lang w:val="en-US"/>
      </w:rPr>
      <w:t xml:space="preserve">  250418  250418</w:t>
    </w:r>
    <w:r>
      <w:br/>
    </w:r>
    <w:r w:rsidRPr="00A948BF">
      <w:rPr>
        <w:rFonts w:ascii="C39T30Lfz" w:hAnsi="C39T30Lfz"/>
        <w:spacing w:val="0"/>
        <w:w w:val="100"/>
        <w:sz w:val="56"/>
      </w:rPr>
      <w:t></w:t>
    </w:r>
    <w:r w:rsidRPr="00A948BF">
      <w:rPr>
        <w:rFonts w:ascii="C39T30Lfz" w:hAnsi="C39T30Lfz"/>
        <w:spacing w:val="0"/>
        <w:w w:val="100"/>
        <w:sz w:val="56"/>
      </w:rPr>
      <w:t></w:t>
    </w:r>
    <w:r w:rsidRPr="00A948BF">
      <w:rPr>
        <w:rFonts w:ascii="C39T30Lfz" w:hAnsi="C39T30Lfz"/>
        <w:spacing w:val="0"/>
        <w:w w:val="100"/>
        <w:sz w:val="56"/>
      </w:rPr>
      <w:t></w:t>
    </w:r>
    <w:r w:rsidRPr="00A948BF">
      <w:rPr>
        <w:rFonts w:ascii="C39T30Lfz" w:hAnsi="C39T30Lfz"/>
        <w:spacing w:val="0"/>
        <w:w w:val="100"/>
        <w:sz w:val="56"/>
      </w:rPr>
      <w:t></w:t>
    </w:r>
    <w:r w:rsidRPr="00A948BF">
      <w:rPr>
        <w:rFonts w:ascii="C39T30Lfz" w:hAnsi="C39T30Lfz"/>
        <w:spacing w:val="0"/>
        <w:w w:val="100"/>
        <w:sz w:val="56"/>
      </w:rPr>
      <w:t></w:t>
    </w:r>
    <w:r w:rsidRPr="00A948BF">
      <w:rPr>
        <w:rFonts w:ascii="C39T30Lfz" w:hAnsi="C39T30Lfz"/>
        <w:spacing w:val="0"/>
        <w:w w:val="100"/>
        <w:sz w:val="56"/>
      </w:rPr>
      <w:t></w:t>
    </w:r>
    <w:r w:rsidRPr="00A948BF">
      <w:rPr>
        <w:rFonts w:ascii="C39T30Lfz" w:hAnsi="C39T30Lfz"/>
        <w:spacing w:val="0"/>
        <w:w w:val="100"/>
        <w:sz w:val="56"/>
      </w:rPr>
      <w:t></w:t>
    </w:r>
    <w:r w:rsidRPr="00A948BF">
      <w:rPr>
        <w:rFonts w:ascii="C39T30Lfz" w:hAnsi="C39T30Lfz"/>
        <w:spacing w:val="0"/>
        <w:w w:val="100"/>
        <w:sz w:val="56"/>
      </w:rPr>
      <w:t></w:t>
    </w:r>
    <w:r w:rsidRPr="00A948B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5/Rev.6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5/Rev.6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93" w:rsidRPr="001075E9" w:rsidRDefault="00F01F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1F93" w:rsidRDefault="00F01F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948BF" w:rsidRPr="00581144" w:rsidRDefault="00A948BF" w:rsidP="00581144">
      <w:pPr>
        <w:pStyle w:val="FootnoteText"/>
        <w:rPr>
          <w:spacing w:val="0"/>
          <w:w w:val="100"/>
          <w:kern w:val="0"/>
          <w:lang w:val="ru-RU"/>
        </w:rPr>
      </w:pPr>
      <w:r w:rsidRPr="00581144">
        <w:rPr>
          <w:spacing w:val="0"/>
          <w:w w:val="100"/>
          <w:kern w:val="0"/>
          <w:lang w:val="ru-RU"/>
        </w:rPr>
        <w:tab/>
      </w:r>
      <w:r w:rsidRPr="00581144">
        <w:rPr>
          <w:spacing w:val="0"/>
          <w:w w:val="100"/>
          <w:kern w:val="0"/>
          <w:sz w:val="20"/>
          <w:lang w:val="ru-RU"/>
        </w:rPr>
        <w:t>*</w:t>
      </w:r>
      <w:r w:rsidRPr="00581144">
        <w:rPr>
          <w:spacing w:val="0"/>
          <w:w w:val="100"/>
          <w:kern w:val="0"/>
          <w:lang w:val="ru-RU"/>
        </w:rPr>
        <w:tab/>
        <w:t>Прежние названия Соглашения:</w:t>
      </w:r>
    </w:p>
    <w:p w:rsidR="00A948BF" w:rsidRPr="00581144" w:rsidRDefault="00A948BF" w:rsidP="00581144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581144">
        <w:rPr>
          <w:spacing w:val="0"/>
          <w:w w:val="100"/>
          <w:kern w:val="0"/>
          <w:lang w:val="ru-RU"/>
        </w:rPr>
        <w:tab/>
      </w:r>
      <w:r w:rsidRPr="00581144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A948BF" w:rsidRPr="00581144" w:rsidRDefault="00A948BF" w:rsidP="00581144">
      <w:pPr>
        <w:pStyle w:val="FootnoteText"/>
        <w:rPr>
          <w:spacing w:val="0"/>
          <w:w w:val="100"/>
          <w:kern w:val="0"/>
          <w:lang w:val="ru-RU"/>
        </w:rPr>
      </w:pPr>
      <w:r w:rsidRPr="00581144">
        <w:rPr>
          <w:spacing w:val="0"/>
          <w:w w:val="100"/>
          <w:kern w:val="0"/>
          <w:lang w:val="ru-RU"/>
        </w:rPr>
        <w:tab/>
      </w:r>
      <w:r w:rsidRPr="00581144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A864CE">
        <w:rPr>
          <w:spacing w:val="0"/>
          <w:w w:val="100"/>
          <w:kern w:val="0"/>
          <w:lang w:val="ru-RU"/>
        </w:rPr>
        <w:t>едписаний, совершено в Женеве 5 </w:t>
      </w:r>
      <w:r w:rsidRPr="00581144">
        <w:rPr>
          <w:spacing w:val="0"/>
          <w:w w:val="100"/>
          <w:kern w:val="0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BF" w:rsidRPr="00A948BF" w:rsidRDefault="00093E52">
    <w:pPr>
      <w:pStyle w:val="Header"/>
    </w:pPr>
    <w:fldSimple w:instr=" TITLE  \* MERGEFORMAT ">
      <w:r>
        <w:t>E/ECE/324/Add.5/Rev.6/Amend.3</w:t>
      </w:r>
    </w:fldSimple>
    <w:r w:rsidR="00A948BF">
      <w:br/>
    </w:r>
    <w:fldSimple w:instr=" KEYWORDS  \* MERGEFORMAT ">
      <w:r>
        <w:t>E/ECE/TRANS/505/Add.5/Rev.6/Amend.3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8BF" w:rsidRPr="00A948BF" w:rsidRDefault="00093E52" w:rsidP="00A948BF">
    <w:pPr>
      <w:pStyle w:val="Header"/>
      <w:jc w:val="right"/>
    </w:pPr>
    <w:fldSimple w:instr=" TITLE  \* MERGEFORMAT ">
      <w:r>
        <w:t>E/ECE/324/Add.5/Rev.6/Amend.3</w:t>
      </w:r>
    </w:fldSimple>
    <w:r w:rsidR="00A948BF">
      <w:br/>
    </w:r>
    <w:fldSimple w:instr=" KEYWORDS  \* MERGEFORMAT ">
      <w:r>
        <w:t>E/ECE/TRANS/505/Add.5/Rev.6/Amend.3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CF7F23"/>
    <w:multiLevelType w:val="hybridMultilevel"/>
    <w:tmpl w:val="2DBCCAB6"/>
    <w:lvl w:ilvl="0" w:tplc="39DAF024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  <w:lvlOverride w:ilvl="0">
      <w:lvl w:ilvl="0" w:tplc="39DAF024">
        <w:start w:val="4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93"/>
    <w:rsid w:val="00033EE1"/>
    <w:rsid w:val="00042B72"/>
    <w:rsid w:val="000478D1"/>
    <w:rsid w:val="000558BD"/>
    <w:rsid w:val="00093E5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7A08"/>
    <w:rsid w:val="00255343"/>
    <w:rsid w:val="002671A6"/>
    <w:rsid w:val="00270D74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A12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77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6ACB"/>
    <w:rsid w:val="00581144"/>
    <w:rsid w:val="005961C8"/>
    <w:rsid w:val="005966F1"/>
    <w:rsid w:val="005D7914"/>
    <w:rsid w:val="005E2B41"/>
    <w:rsid w:val="005F0B42"/>
    <w:rsid w:val="0062596C"/>
    <w:rsid w:val="006345DB"/>
    <w:rsid w:val="00640F49"/>
    <w:rsid w:val="00680D03"/>
    <w:rsid w:val="00681A10"/>
    <w:rsid w:val="0069547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503F"/>
    <w:rsid w:val="00806737"/>
    <w:rsid w:val="00825F8D"/>
    <w:rsid w:val="00834B71"/>
    <w:rsid w:val="0086445C"/>
    <w:rsid w:val="00872F0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D33"/>
    <w:rsid w:val="009608F3"/>
    <w:rsid w:val="009A24AC"/>
    <w:rsid w:val="009B27B6"/>
    <w:rsid w:val="009C6FE6"/>
    <w:rsid w:val="009D7E7D"/>
    <w:rsid w:val="00A14DA8"/>
    <w:rsid w:val="00A312BC"/>
    <w:rsid w:val="00A75D65"/>
    <w:rsid w:val="00A84021"/>
    <w:rsid w:val="00A84D35"/>
    <w:rsid w:val="00A864CE"/>
    <w:rsid w:val="00A917B3"/>
    <w:rsid w:val="00A948BF"/>
    <w:rsid w:val="00AB4B51"/>
    <w:rsid w:val="00B10CC7"/>
    <w:rsid w:val="00B36DF7"/>
    <w:rsid w:val="00B539E7"/>
    <w:rsid w:val="00B62458"/>
    <w:rsid w:val="00B90470"/>
    <w:rsid w:val="00BA223D"/>
    <w:rsid w:val="00BC18B2"/>
    <w:rsid w:val="00BD33EE"/>
    <w:rsid w:val="00BE1CC7"/>
    <w:rsid w:val="00C106D6"/>
    <w:rsid w:val="00C119AE"/>
    <w:rsid w:val="00C60F0C"/>
    <w:rsid w:val="00C6706A"/>
    <w:rsid w:val="00C805C9"/>
    <w:rsid w:val="00C92939"/>
    <w:rsid w:val="00CA1679"/>
    <w:rsid w:val="00CB151C"/>
    <w:rsid w:val="00CD2216"/>
    <w:rsid w:val="00CE317E"/>
    <w:rsid w:val="00CE5A1A"/>
    <w:rsid w:val="00CF55F6"/>
    <w:rsid w:val="00D33D63"/>
    <w:rsid w:val="00D5253A"/>
    <w:rsid w:val="00D90028"/>
    <w:rsid w:val="00D90138"/>
    <w:rsid w:val="00DD449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0ADB"/>
    <w:rsid w:val="00EE142A"/>
    <w:rsid w:val="00EF1360"/>
    <w:rsid w:val="00EF3220"/>
    <w:rsid w:val="00F01F93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B809894-7FE0-44F6-B860-2ED79AD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EE0AD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EE0ADB"/>
    <w:rPr>
      <w:b/>
      <w:sz w:val="28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2671A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2671A6"/>
    <w:rPr>
      <w:b/>
      <w:sz w:val="24"/>
      <w:lang w:val="en-GB" w:eastAsia="en-US"/>
    </w:rPr>
  </w:style>
  <w:style w:type="paragraph" w:customStyle="1" w:styleId="SingleTxtG">
    <w:name w:val="_ Single Txt_G"/>
    <w:basedOn w:val="Normal"/>
    <w:link w:val="SingleTxtGChar"/>
    <w:rsid w:val="00DD449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DD449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E/ECE/324/Add.5/Rev.6/Amend.3</vt:lpstr>
      <vt:lpstr>E/ECE/324/Add.5/Rev.6/Amend.3</vt:lpstr>
      <vt:lpstr>A/</vt:lpstr>
    </vt:vector>
  </TitlesOfParts>
  <Company>DCM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E/ECE/324/Add.5/Rev.6/Amend.3</dc:title>
  <dc:creator>Nina STEPANOVA</dc:creator>
  <cp:keywords>E/ECE/TRANS/505/Add.5/Rev.6/Amend.3</cp:keywords>
  <cp:lastModifiedBy>Olivia Braud</cp:lastModifiedBy>
  <cp:revision>2</cp:revision>
  <cp:lastPrinted>2018-04-25T13:50:00Z</cp:lastPrinted>
  <dcterms:created xsi:type="dcterms:W3CDTF">2018-08-22T08:57:00Z</dcterms:created>
  <dcterms:modified xsi:type="dcterms:W3CDTF">2018-08-22T08:57:00Z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