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C2D1C" w:rsidRPr="00971970" w:rsidTr="00D4299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1C" w:rsidRPr="00971970" w:rsidRDefault="000C2D1C" w:rsidP="00F37C40">
            <w:pPr>
              <w:spacing w:after="80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1C" w:rsidRPr="00971970" w:rsidRDefault="000C2D1C" w:rsidP="000C2D1C">
            <w:pPr>
              <w:jc w:val="right"/>
            </w:pPr>
            <w:r w:rsidRPr="000C2D1C">
              <w:rPr>
                <w:sz w:val="40"/>
                <w:szCs w:val="40"/>
              </w:rPr>
              <w:t>E</w:t>
            </w:r>
            <w:r w:rsidRPr="000C2D1C">
              <w:t>/ECE/324/Rev.</w:t>
            </w:r>
            <w:r>
              <w:t>1</w:t>
            </w:r>
            <w:r w:rsidRPr="000C2D1C">
              <w:t>/Add.</w:t>
            </w:r>
            <w:r>
              <w:t>13</w:t>
            </w:r>
            <w:r w:rsidRPr="000C2D1C">
              <w:t>/Rev.</w:t>
            </w:r>
            <w:r>
              <w:t>5</w:t>
            </w:r>
            <w:r w:rsidRPr="000C2D1C">
              <w:t>/Amend.</w:t>
            </w:r>
            <w:r>
              <w:t>3</w:t>
            </w:r>
            <w:r w:rsidRPr="000C2D1C">
              <w:t>−</w:t>
            </w:r>
            <w:r w:rsidRPr="000C2D1C">
              <w:rPr>
                <w:sz w:val="40"/>
                <w:szCs w:val="40"/>
              </w:rPr>
              <w:t>E</w:t>
            </w:r>
            <w:r w:rsidRPr="000C2D1C">
              <w:t>/ECE/TRANS/505/Rev.1/Add.13/Rev.5/Amend.3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B56E9C" w:rsidP="00F37C40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B56E9C" w:rsidP="00F37C40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1151" w:rsidRDefault="009E1151" w:rsidP="00F37C40">
            <w:pPr>
              <w:spacing w:line="240" w:lineRule="exact"/>
            </w:pPr>
          </w:p>
          <w:p w:rsidR="00721E8A" w:rsidRDefault="00721E8A" w:rsidP="00F37C40">
            <w:pPr>
              <w:spacing w:line="240" w:lineRule="exact"/>
            </w:pPr>
          </w:p>
          <w:p w:rsidR="00721E8A" w:rsidRDefault="00721E8A" w:rsidP="00F37C40">
            <w:pPr>
              <w:spacing w:line="240" w:lineRule="exact"/>
            </w:pPr>
          </w:p>
          <w:p w:rsidR="00721E8A" w:rsidRDefault="00721E8A" w:rsidP="00F37C40">
            <w:pPr>
              <w:spacing w:line="240" w:lineRule="exact"/>
            </w:pPr>
            <w:bookmarkStart w:id="0" w:name="_GoBack"/>
            <w:bookmarkEnd w:id="0"/>
          </w:p>
          <w:p w:rsidR="00721E8A" w:rsidRDefault="00721E8A" w:rsidP="00F37C40">
            <w:pPr>
              <w:spacing w:line="240" w:lineRule="exact"/>
            </w:pPr>
          </w:p>
          <w:p w:rsidR="00721E8A" w:rsidRDefault="00721E8A" w:rsidP="00F37C40">
            <w:pPr>
              <w:spacing w:line="240" w:lineRule="exact"/>
            </w:pPr>
          </w:p>
          <w:p w:rsidR="00721E8A" w:rsidRPr="00971970" w:rsidRDefault="00721E8A" w:rsidP="00F37C40">
            <w:pPr>
              <w:spacing w:line="240" w:lineRule="exact"/>
            </w:pPr>
            <w:r w:rsidRPr="00721E8A">
              <w:t>5 February 2016</w:t>
            </w:r>
          </w:p>
        </w:tc>
      </w:tr>
    </w:tbl>
    <w:p w:rsidR="000C2D1C" w:rsidRPr="00392A12" w:rsidRDefault="000C2D1C" w:rsidP="000C2D1C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0C2D1C" w:rsidRPr="00392A12" w:rsidRDefault="000C2D1C" w:rsidP="000C2D1C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>
        <w:t>F</w:t>
      </w:r>
      <w:r w:rsidRPr="006A6FBE">
        <w:t>itted</w:t>
      </w:r>
      <w:proofErr w:type="gramEnd"/>
      <w:r w:rsidRPr="006A6FBE">
        <w:t xml:space="preserve"> and/or be </w:t>
      </w:r>
      <w:r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</w:rPr>
        <w:footnoteReference w:customMarkFollows="1" w:id="2"/>
        <w:t>*</w:t>
      </w:r>
    </w:p>
    <w:p w:rsidR="000C2D1C" w:rsidRPr="00392A12" w:rsidRDefault="000C2D1C" w:rsidP="000C2D1C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0C2D1C" w:rsidRDefault="000C2D1C" w:rsidP="000C2D1C">
      <w:pPr>
        <w:pStyle w:val="H1G"/>
        <w:spacing w:before="120"/>
        <w:ind w:left="0" w:right="0" w:firstLine="0"/>
        <w:jc w:val="center"/>
      </w:pPr>
      <w:r>
        <w:t>_________</w:t>
      </w:r>
    </w:p>
    <w:p w:rsidR="000C2D1C" w:rsidRDefault="000C2D1C" w:rsidP="000C2D1C">
      <w:pPr>
        <w:pStyle w:val="H1G"/>
        <w:spacing w:before="240" w:after="120"/>
      </w:pPr>
      <w:r>
        <w:tab/>
      </w:r>
      <w:r>
        <w:tab/>
        <w:t>Addendum 13 – Regulation No. 14</w:t>
      </w:r>
    </w:p>
    <w:p w:rsidR="000C2D1C" w:rsidRPr="00014D07" w:rsidRDefault="000C2D1C" w:rsidP="000C2D1C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5</w:t>
      </w:r>
      <w:r w:rsidRPr="00014D07">
        <w:t xml:space="preserve"> - </w:t>
      </w:r>
      <w:r>
        <w:t>Amendment</w:t>
      </w:r>
      <w:r w:rsidRPr="00014D07">
        <w:t xml:space="preserve"> </w:t>
      </w:r>
      <w:r>
        <w:t>3</w:t>
      </w:r>
    </w:p>
    <w:p w:rsidR="000C2D1C" w:rsidRPr="00272880" w:rsidRDefault="000C2D1C" w:rsidP="000C2D1C">
      <w:pPr>
        <w:pStyle w:val="SingleTxtG"/>
        <w:spacing w:after="360"/>
        <w:rPr>
          <w:spacing w:val="-2"/>
        </w:rPr>
      </w:pPr>
      <w:r>
        <w:rPr>
          <w:spacing w:val="-2"/>
        </w:rPr>
        <w:t>Supplement 6 to the 07 series of amendments</w:t>
      </w:r>
      <w:r w:rsidRPr="00272880">
        <w:rPr>
          <w:spacing w:val="-2"/>
        </w:rPr>
        <w:t xml:space="preserve"> – Date of entry into force: </w:t>
      </w:r>
      <w:r>
        <w:t>20 January 2016</w:t>
      </w:r>
    </w:p>
    <w:p w:rsidR="000C2D1C" w:rsidRDefault="000C2D1C" w:rsidP="000C2D1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C2D1C">
        <w:rPr>
          <w:lang w:val="en-US"/>
        </w:rPr>
        <w:t xml:space="preserve">Uniform provisions concerning the approval of vehicles with regard to safety-belt anchorages, </w:t>
      </w:r>
      <w:proofErr w:type="spellStart"/>
      <w:r w:rsidRPr="000C2D1C">
        <w:rPr>
          <w:lang w:val="en-US"/>
        </w:rPr>
        <w:t>ISOFIX</w:t>
      </w:r>
      <w:proofErr w:type="spellEnd"/>
      <w:r w:rsidRPr="000C2D1C">
        <w:rPr>
          <w:lang w:val="en-US"/>
        </w:rPr>
        <w:t xml:space="preserve"> anchorages systems, </w:t>
      </w:r>
      <w:proofErr w:type="spellStart"/>
      <w:r w:rsidRPr="000C2D1C">
        <w:rPr>
          <w:lang w:val="en-US"/>
        </w:rPr>
        <w:t>ISOFIX</w:t>
      </w:r>
      <w:proofErr w:type="spellEnd"/>
      <w:r w:rsidRPr="000C2D1C">
        <w:rPr>
          <w:lang w:val="en-US"/>
        </w:rPr>
        <w:t xml:space="preserve"> top tether anchorages and </w:t>
      </w:r>
      <w:proofErr w:type="spellStart"/>
      <w:r w:rsidRPr="000C2D1C">
        <w:rPr>
          <w:lang w:val="en-US"/>
        </w:rPr>
        <w:t>i</w:t>
      </w:r>
      <w:proofErr w:type="spellEnd"/>
      <w:r w:rsidRPr="000C2D1C">
        <w:rPr>
          <w:lang w:val="en-US"/>
        </w:rPr>
        <w:t>-Size seating positions</w:t>
      </w:r>
    </w:p>
    <w:p w:rsidR="0074387D" w:rsidRDefault="000C2D1C" w:rsidP="0074387D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74387D">
        <w:rPr>
          <w:spacing w:val="-6"/>
          <w:lang w:eastAsia="en-GB"/>
        </w:rPr>
        <w:t>46</w:t>
      </w:r>
      <w:r w:rsidR="00A5553B">
        <w:rPr>
          <w:spacing w:val="-6"/>
          <w:lang w:eastAsia="en-GB"/>
        </w:rPr>
        <w:t>.</w:t>
      </w:r>
      <w:r>
        <w:rPr>
          <w:spacing w:val="-6"/>
          <w:lang w:eastAsia="en-GB"/>
        </w:rPr>
        <w:t xml:space="preserve"> </w:t>
      </w:r>
    </w:p>
    <w:p w:rsidR="000C2D1C" w:rsidRDefault="000C2D1C" w:rsidP="000C2D1C">
      <w:pPr>
        <w:pStyle w:val="SingleTxtG"/>
        <w:spacing w:after="0"/>
        <w:ind w:left="1701" w:hanging="567"/>
        <w:rPr>
          <w:spacing w:val="-6"/>
          <w:lang w:eastAsia="en-GB"/>
        </w:rPr>
      </w:pPr>
    </w:p>
    <w:p w:rsidR="000C2D1C" w:rsidRPr="000D3A4F" w:rsidRDefault="00721E8A" w:rsidP="000C2D1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00pt;margin-top:17.6pt;width:81pt;height:65.1pt;z-index:251659264;visibility:visible;mso-wrap-distance-bottom:10.8pt">
            <v:imagedata r:id="rId8" o:title="" cropleft="-4983f" cropright="-4983f"/>
            <w10:wrap type="topAndBottom"/>
          </v:shape>
        </w:pict>
      </w:r>
      <w:r w:rsidR="000C2D1C" w:rsidRPr="000D3A4F">
        <w:rPr>
          <w:b/>
          <w:sz w:val="24"/>
        </w:rPr>
        <w:t>_________</w:t>
      </w:r>
    </w:p>
    <w:p w:rsidR="000C2D1C" w:rsidRPr="000D3A4F" w:rsidRDefault="000C2D1C" w:rsidP="000C2D1C">
      <w:pPr>
        <w:suppressAutoHyphens w:val="0"/>
        <w:spacing w:line="100" w:lineRule="atLeast"/>
        <w:rPr>
          <w:b/>
          <w:sz w:val="24"/>
        </w:rPr>
      </w:pPr>
    </w:p>
    <w:p w:rsidR="000C2D1C" w:rsidRPr="000D3A4F" w:rsidRDefault="000C2D1C" w:rsidP="000C2D1C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9E1151" w:rsidRPr="00971970" w:rsidRDefault="009E1151" w:rsidP="009E1151">
      <w:pPr>
        <w:pStyle w:val="SingleTxtG"/>
        <w:ind w:firstLine="567"/>
      </w:pPr>
    </w:p>
    <w:p w:rsidR="0074387D" w:rsidRDefault="009E1151" w:rsidP="00996837">
      <w:pPr>
        <w:pStyle w:val="SingleTxtG"/>
      </w:pPr>
      <w:r w:rsidRPr="00971970">
        <w:br w:type="page"/>
      </w:r>
    </w:p>
    <w:p w:rsidR="00996837" w:rsidRPr="0021688A" w:rsidRDefault="00996837" w:rsidP="00996837">
      <w:pPr>
        <w:pStyle w:val="SingleTxtG"/>
      </w:pPr>
      <w:r w:rsidRPr="0021688A">
        <w:rPr>
          <w:i/>
          <w:iCs/>
        </w:rPr>
        <w:t>Paragraph 2.32.</w:t>
      </w:r>
      <w:r w:rsidRPr="0021688A">
        <w:t>, amend to read:</w:t>
      </w:r>
    </w:p>
    <w:p w:rsidR="00915EF6" w:rsidRPr="0060533E" w:rsidRDefault="00726116" w:rsidP="00726116">
      <w:pPr>
        <w:pStyle w:val="SingleTxtG"/>
        <w:ind w:left="2268" w:hanging="1134"/>
      </w:pPr>
      <w:r w:rsidRPr="0060533E">
        <w:rPr>
          <w:lang w:eastAsia="de-DE"/>
        </w:rPr>
        <w:t>"2.32.</w:t>
      </w:r>
      <w:r w:rsidRPr="0060533E">
        <w:rPr>
          <w:lang w:eastAsia="de-DE"/>
        </w:rPr>
        <w:tab/>
      </w:r>
      <w:r w:rsidR="00996837" w:rsidRPr="0060533E">
        <w:rPr>
          <w:caps/>
        </w:rPr>
        <w:t>"</w:t>
      </w:r>
      <w:proofErr w:type="spellStart"/>
      <w:r w:rsidR="00996837" w:rsidRPr="0060533E">
        <w:rPr>
          <w:i/>
          <w:iCs/>
          <w:lang w:eastAsia="de-DE"/>
        </w:rPr>
        <w:t>i</w:t>
      </w:r>
      <w:proofErr w:type="spellEnd"/>
      <w:r w:rsidR="00996837" w:rsidRPr="0060533E">
        <w:rPr>
          <w:i/>
          <w:iCs/>
          <w:lang w:eastAsia="de-DE"/>
        </w:rPr>
        <w:t xml:space="preserve">-Size </w:t>
      </w:r>
      <w:r w:rsidR="00996837" w:rsidRPr="009644B4">
        <w:rPr>
          <w:i/>
        </w:rPr>
        <w:t>seating</w:t>
      </w:r>
      <w:r w:rsidR="00996837" w:rsidRPr="0060533E">
        <w:rPr>
          <w:i/>
          <w:iCs/>
          <w:lang w:eastAsia="de-DE"/>
        </w:rPr>
        <w:t xml:space="preserve"> position</w:t>
      </w:r>
      <w:r w:rsidR="00996837" w:rsidRPr="0060533E">
        <w:rPr>
          <w:caps/>
        </w:rPr>
        <w:t>"</w:t>
      </w:r>
      <w:r w:rsidR="00996837" w:rsidRPr="0060533E">
        <w:rPr>
          <w:lang w:eastAsia="de-DE"/>
        </w:rPr>
        <w:t xml:space="preserve"> means a seating position, if any defined by the vehicle manufacturer, which is designed to accommodate </w:t>
      </w:r>
      <w:proofErr w:type="spellStart"/>
      <w:r w:rsidR="00996837" w:rsidRPr="0060533E">
        <w:rPr>
          <w:lang w:eastAsia="de-DE"/>
        </w:rPr>
        <w:t>i</w:t>
      </w:r>
      <w:proofErr w:type="spellEnd"/>
      <w:r w:rsidR="00996837" w:rsidRPr="0060533E">
        <w:rPr>
          <w:lang w:eastAsia="de-DE"/>
        </w:rPr>
        <w:t>-Size child restraint system</w:t>
      </w:r>
      <w:r w:rsidRPr="0060533E">
        <w:rPr>
          <w:lang w:eastAsia="de-DE"/>
        </w:rPr>
        <w:t>s</w:t>
      </w:r>
      <w:r w:rsidR="00996837" w:rsidRPr="0060533E">
        <w:rPr>
          <w:lang w:eastAsia="de-DE"/>
        </w:rPr>
        <w:t xml:space="preserve"> and fulfils the requirements defined in this Regulation.</w:t>
      </w:r>
      <w:r w:rsidR="00C06C2F" w:rsidRPr="0060533E">
        <w:t>"</w:t>
      </w:r>
    </w:p>
    <w:p w:rsidR="0060533E" w:rsidRPr="0060533E" w:rsidRDefault="0060533E" w:rsidP="0060533E">
      <w:pPr>
        <w:pStyle w:val="SingleTxtG"/>
        <w:ind w:right="1138"/>
        <w:rPr>
          <w:lang w:val="en-US"/>
        </w:rPr>
      </w:pPr>
      <w:r w:rsidRPr="0060533E">
        <w:rPr>
          <w:i/>
          <w:lang w:val="en-US"/>
        </w:rPr>
        <w:t>Paragraph 5.3.8.7.,</w:t>
      </w:r>
      <w:r w:rsidRPr="0060533E">
        <w:rPr>
          <w:lang w:val="en-US"/>
        </w:rPr>
        <w:t xml:space="preserve"> amend to read:</w:t>
      </w:r>
    </w:p>
    <w:p w:rsidR="000C336C" w:rsidRPr="0060533E" w:rsidRDefault="0060533E" w:rsidP="000C336C">
      <w:pPr>
        <w:pStyle w:val="SingleTxtG"/>
        <w:ind w:left="2268" w:right="1138" w:hanging="1134"/>
        <w:rPr>
          <w:lang w:val="en-US"/>
        </w:rPr>
      </w:pPr>
      <w:r w:rsidRPr="0060533E">
        <w:rPr>
          <w:lang w:val="en-US"/>
        </w:rPr>
        <w:t>"5.3.8.7.</w:t>
      </w:r>
      <w:r w:rsidRPr="0060533E">
        <w:rPr>
          <w:lang w:val="en-US"/>
        </w:rPr>
        <w:tab/>
        <w:t xml:space="preserve">Convertible vehicles as defined in paragraph 2.9.1.5. </w:t>
      </w:r>
      <w:proofErr w:type="gramStart"/>
      <w:r w:rsidRPr="0060533E">
        <w:rPr>
          <w:lang w:val="en-US"/>
        </w:rPr>
        <w:t>of</w:t>
      </w:r>
      <w:proofErr w:type="gramEnd"/>
      <w:r w:rsidRPr="0060533E">
        <w:rPr>
          <w:lang w:val="en-US"/>
        </w:rPr>
        <w:t xml:space="preserve"> the </w:t>
      </w:r>
      <w:r w:rsidRPr="0060533E">
        <w:rPr>
          <w:snapToGrid w:val="0"/>
          <w:spacing w:val="-2"/>
        </w:rPr>
        <w:t xml:space="preserve">Consolidated Resolution on the Construction of Vehicles (R.E.3) with more than one seat row </w:t>
      </w:r>
      <w:r w:rsidRPr="0060533E">
        <w:rPr>
          <w:lang w:val="en-US"/>
        </w:rPr>
        <w:t xml:space="preserve">shall be fitted with at least two </w:t>
      </w:r>
      <w:proofErr w:type="spellStart"/>
      <w:r w:rsidRPr="0060533E">
        <w:rPr>
          <w:lang w:val="en-US"/>
        </w:rPr>
        <w:t>ISOFIX</w:t>
      </w:r>
      <w:proofErr w:type="spellEnd"/>
      <w:r w:rsidRPr="0060533E">
        <w:rPr>
          <w:lang w:val="en-US"/>
        </w:rPr>
        <w:t xml:space="preserve"> low anchorages. In case where an </w:t>
      </w:r>
      <w:proofErr w:type="spellStart"/>
      <w:r w:rsidRPr="0060533E">
        <w:rPr>
          <w:lang w:val="en-US"/>
        </w:rPr>
        <w:t>ISOFIX</w:t>
      </w:r>
      <w:proofErr w:type="spellEnd"/>
      <w:r w:rsidRPr="0060533E">
        <w:rPr>
          <w:lang w:val="en-US"/>
        </w:rPr>
        <w:t xml:space="preserve"> top tether anchorage is provided on such vehicles, it shall comply with the suitable provisions of this Regulation."</w:t>
      </w:r>
    </w:p>
    <w:p w:rsidR="0060533E" w:rsidRPr="0060533E" w:rsidRDefault="0060533E" w:rsidP="0060533E">
      <w:pPr>
        <w:spacing w:after="120"/>
        <w:ind w:left="1134" w:right="1138"/>
        <w:jc w:val="both"/>
        <w:rPr>
          <w:lang w:val="en-US"/>
        </w:rPr>
      </w:pPr>
      <w:r w:rsidRPr="0060533E">
        <w:rPr>
          <w:i/>
          <w:lang w:val="en-US"/>
        </w:rPr>
        <w:t>Insert new paragraph 5.3.8.8.,</w:t>
      </w:r>
      <w:r w:rsidRPr="0060533E">
        <w:rPr>
          <w:lang w:val="en-US"/>
        </w:rPr>
        <w:t xml:space="preserve"> to read:</w:t>
      </w:r>
    </w:p>
    <w:p w:rsidR="000C336C" w:rsidRPr="0060533E" w:rsidRDefault="0060533E" w:rsidP="0060533E">
      <w:pPr>
        <w:pStyle w:val="SingleTxtG"/>
        <w:ind w:left="2268" w:right="1138" w:hanging="1134"/>
        <w:rPr>
          <w:lang w:val="en-US"/>
        </w:rPr>
      </w:pPr>
      <w:r w:rsidRPr="0060533E">
        <w:rPr>
          <w:lang w:val="en-US"/>
        </w:rPr>
        <w:t>"5.3.8.8.</w:t>
      </w:r>
      <w:r w:rsidRPr="0060533E">
        <w:rPr>
          <w:lang w:val="en-US"/>
        </w:rPr>
        <w:tab/>
        <w:t xml:space="preserve">If a vehicle is only equipped with one seat position per row, only one </w:t>
      </w:r>
      <w:proofErr w:type="spellStart"/>
      <w:r w:rsidRPr="0060533E">
        <w:rPr>
          <w:lang w:val="en-US"/>
        </w:rPr>
        <w:t>ISOFIX</w:t>
      </w:r>
      <w:proofErr w:type="spellEnd"/>
      <w:r w:rsidRPr="0060533E">
        <w:rPr>
          <w:lang w:val="en-US"/>
        </w:rPr>
        <w:t xml:space="preserve"> position is required in the passenger position. </w:t>
      </w:r>
      <w:r w:rsidRPr="0060533E">
        <w:rPr>
          <w:snapToGrid w:val="0"/>
          <w:spacing w:val="-2"/>
        </w:rPr>
        <w:t xml:space="preserve">In case where an </w:t>
      </w:r>
      <w:proofErr w:type="spellStart"/>
      <w:r w:rsidRPr="0060533E">
        <w:rPr>
          <w:snapToGrid w:val="0"/>
          <w:spacing w:val="-2"/>
        </w:rPr>
        <w:t>ISOFIX</w:t>
      </w:r>
      <w:proofErr w:type="spellEnd"/>
      <w:r w:rsidRPr="0060533E">
        <w:rPr>
          <w:snapToGrid w:val="0"/>
          <w:spacing w:val="-2"/>
        </w:rPr>
        <w:t xml:space="preserve"> top tether anchorage is provided on such vehicles, it shall comply with the suitable provisions of this Regulation.</w:t>
      </w:r>
      <w:r w:rsidRPr="0060533E">
        <w:rPr>
          <w:lang w:val="en-US"/>
        </w:rPr>
        <w:t xml:space="preserve"> However</w:t>
      </w:r>
      <w:r w:rsidR="00402A67">
        <w:rPr>
          <w:lang w:val="en-US"/>
        </w:rPr>
        <w:t>,</w:t>
      </w:r>
      <w:r w:rsidRPr="0060533E">
        <w:rPr>
          <w:lang w:val="en-US"/>
        </w:rPr>
        <w:t xml:space="preserve"> where it is not possible to install even the smallest forward-facing </w:t>
      </w:r>
      <w:proofErr w:type="spellStart"/>
      <w:r w:rsidRPr="0060533E">
        <w:rPr>
          <w:lang w:val="en-US"/>
        </w:rPr>
        <w:t>ISOFIX</w:t>
      </w:r>
      <w:proofErr w:type="spellEnd"/>
      <w:r w:rsidRPr="0060533E">
        <w:rPr>
          <w:lang w:val="en-US"/>
        </w:rPr>
        <w:t xml:space="preserve"> fixture (as defined in Regulation No. 16, Appendix 2, of Annex 17) in the passenger seating position, then no </w:t>
      </w:r>
      <w:proofErr w:type="spellStart"/>
      <w:r w:rsidRPr="0060533E">
        <w:rPr>
          <w:lang w:val="en-US"/>
        </w:rPr>
        <w:t>ISOFIX</w:t>
      </w:r>
      <w:proofErr w:type="spellEnd"/>
      <w:r w:rsidRPr="0060533E">
        <w:rPr>
          <w:lang w:val="en-US"/>
        </w:rPr>
        <w:t xml:space="preserve"> position shall be required, provided that a child restraint system is </w:t>
      </w:r>
      <w:r w:rsidRPr="0060533E">
        <w:rPr>
          <w:snapToGrid w:val="0"/>
          <w:spacing w:val="-2"/>
        </w:rPr>
        <w:t xml:space="preserve">specified </w:t>
      </w:r>
      <w:r w:rsidRPr="0060533E">
        <w:rPr>
          <w:lang w:val="en-US"/>
        </w:rPr>
        <w:t>for that vehicle."</w:t>
      </w:r>
    </w:p>
    <w:p w:rsidR="0060533E" w:rsidRDefault="000C336C" w:rsidP="0060533E">
      <w:pPr>
        <w:pStyle w:val="SingleTxtG"/>
        <w:ind w:left="2268" w:right="1138" w:hanging="1134"/>
        <w:rPr>
          <w:lang w:val="en-US"/>
        </w:rPr>
      </w:pPr>
      <w:proofErr w:type="gramStart"/>
      <w:r w:rsidRPr="0060533E">
        <w:rPr>
          <w:i/>
          <w:lang w:val="en-US"/>
        </w:rPr>
        <w:t>Paragraphs 5.3.8.8.and 5.3.8.9.</w:t>
      </w:r>
      <w:proofErr w:type="gramEnd"/>
      <w:r w:rsidRPr="0060533E">
        <w:rPr>
          <w:i/>
          <w:lang w:val="en-US"/>
        </w:rPr>
        <w:t xml:space="preserve"> (</w:t>
      </w:r>
      <w:proofErr w:type="gramStart"/>
      <w:r w:rsidRPr="0060533E">
        <w:rPr>
          <w:i/>
          <w:lang w:val="en-US"/>
        </w:rPr>
        <w:t>former</w:t>
      </w:r>
      <w:proofErr w:type="gramEnd"/>
      <w:r w:rsidRPr="0060533E">
        <w:rPr>
          <w:i/>
          <w:lang w:val="en-US"/>
        </w:rPr>
        <w:t>),</w:t>
      </w:r>
      <w:r w:rsidRPr="0060533E">
        <w:rPr>
          <w:lang w:val="en-US"/>
        </w:rPr>
        <w:t xml:space="preserve"> renumber as paragraphs 5.3.8.9. </w:t>
      </w:r>
      <w:proofErr w:type="gramStart"/>
      <w:r w:rsidRPr="0060533E">
        <w:rPr>
          <w:lang w:val="en-US"/>
        </w:rPr>
        <w:t>and</w:t>
      </w:r>
      <w:proofErr w:type="gramEnd"/>
      <w:r w:rsidRPr="0060533E">
        <w:rPr>
          <w:lang w:val="en-US"/>
        </w:rPr>
        <w:t xml:space="preserve"> 5.3.8.10.</w:t>
      </w:r>
    </w:p>
    <w:p w:rsidR="00726116" w:rsidRPr="009644B4" w:rsidRDefault="009644B4" w:rsidP="009644B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</w:p>
    <w:sectPr w:rsidR="00726116" w:rsidRPr="009644B4" w:rsidSect="009E1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E6" w:rsidRDefault="005C55E6"/>
  </w:endnote>
  <w:endnote w:type="continuationSeparator" w:id="0">
    <w:p w:rsidR="005C55E6" w:rsidRDefault="005C55E6"/>
  </w:endnote>
  <w:endnote w:type="continuationNotice" w:id="1">
    <w:p w:rsidR="005C55E6" w:rsidRDefault="005C5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721E8A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0C2D1C"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7C526C" w:rsidRDefault="00081990" w:rsidP="007C5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E6" w:rsidRPr="000B175B" w:rsidRDefault="005C55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55E6" w:rsidRPr="00FC68B7" w:rsidRDefault="005C55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55E6" w:rsidRDefault="005C55E6"/>
  </w:footnote>
  <w:footnote w:id="2">
    <w:p w:rsidR="000C2D1C" w:rsidRPr="009E5D87" w:rsidRDefault="000C2D1C" w:rsidP="000C2D1C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C2D1C">
    <w:pPr>
      <w:pStyle w:val="Header"/>
    </w:pPr>
    <w:r w:rsidRPr="000C2D1C">
      <w:t>E/</w:t>
    </w:r>
    <w:proofErr w:type="spellStart"/>
    <w:r w:rsidRPr="000C2D1C">
      <w:t>ECE</w:t>
    </w:r>
    <w:proofErr w:type="spellEnd"/>
    <w:r>
      <w:t>/324/Rev.1/Add.13/Rev.5/Amend.3</w:t>
    </w:r>
    <w:r>
      <w:br/>
    </w:r>
    <w:r w:rsidRPr="000C2D1C">
      <w:t>E/</w:t>
    </w:r>
    <w:proofErr w:type="spellStart"/>
    <w:r w:rsidRPr="000C2D1C">
      <w:t>ECE</w:t>
    </w:r>
    <w:proofErr w:type="spellEnd"/>
    <w:r w:rsidRPr="000C2D1C">
      <w:t>/TRANS/505/Rev.1/Add.13/Rev.5/Amend.3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Header"/>
      <w:jc w:val="right"/>
    </w:pPr>
    <w:proofErr w:type="spellStart"/>
    <w:r>
      <w:t>ECE</w:t>
    </w:r>
    <w:proofErr w:type="spellEnd"/>
    <w:r>
      <w:t>/TRANS/WP.29/2014/2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00" w:rsidRDefault="00C66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51"/>
    <w:rsid w:val="00006F8E"/>
    <w:rsid w:val="00013F7F"/>
    <w:rsid w:val="00046B1F"/>
    <w:rsid w:val="00050F6B"/>
    <w:rsid w:val="00052635"/>
    <w:rsid w:val="00057E97"/>
    <w:rsid w:val="000646F4"/>
    <w:rsid w:val="0007117E"/>
    <w:rsid w:val="00072C8C"/>
    <w:rsid w:val="000733B5"/>
    <w:rsid w:val="00081815"/>
    <w:rsid w:val="00081990"/>
    <w:rsid w:val="000931C0"/>
    <w:rsid w:val="000A3279"/>
    <w:rsid w:val="000B0595"/>
    <w:rsid w:val="000B175B"/>
    <w:rsid w:val="000B2F02"/>
    <w:rsid w:val="000B3A0F"/>
    <w:rsid w:val="000B4EF7"/>
    <w:rsid w:val="000B5616"/>
    <w:rsid w:val="000C2C03"/>
    <w:rsid w:val="000C2D1C"/>
    <w:rsid w:val="000C2D2E"/>
    <w:rsid w:val="000C336C"/>
    <w:rsid w:val="000D1845"/>
    <w:rsid w:val="000D544C"/>
    <w:rsid w:val="000E0415"/>
    <w:rsid w:val="000E286F"/>
    <w:rsid w:val="001103AA"/>
    <w:rsid w:val="0011411A"/>
    <w:rsid w:val="00114808"/>
    <w:rsid w:val="00115D49"/>
    <w:rsid w:val="0011666B"/>
    <w:rsid w:val="00165F3A"/>
    <w:rsid w:val="00182290"/>
    <w:rsid w:val="001A3955"/>
    <w:rsid w:val="001B1BD2"/>
    <w:rsid w:val="001B4B04"/>
    <w:rsid w:val="001C0069"/>
    <w:rsid w:val="001C6663"/>
    <w:rsid w:val="001C7895"/>
    <w:rsid w:val="001D0C8C"/>
    <w:rsid w:val="001D1419"/>
    <w:rsid w:val="001D26DF"/>
    <w:rsid w:val="001D3A03"/>
    <w:rsid w:val="001E7B67"/>
    <w:rsid w:val="00200F8A"/>
    <w:rsid w:val="00202DA8"/>
    <w:rsid w:val="00211E0B"/>
    <w:rsid w:val="0021688A"/>
    <w:rsid w:val="0024772E"/>
    <w:rsid w:val="00267F5F"/>
    <w:rsid w:val="00286B4D"/>
    <w:rsid w:val="002C1067"/>
    <w:rsid w:val="002D24EF"/>
    <w:rsid w:val="002D4643"/>
    <w:rsid w:val="002F175C"/>
    <w:rsid w:val="002F4E41"/>
    <w:rsid w:val="002F7DE0"/>
    <w:rsid w:val="00302E18"/>
    <w:rsid w:val="0030653A"/>
    <w:rsid w:val="003229D8"/>
    <w:rsid w:val="00352709"/>
    <w:rsid w:val="0035574D"/>
    <w:rsid w:val="003619B5"/>
    <w:rsid w:val="00361AC3"/>
    <w:rsid w:val="00365763"/>
    <w:rsid w:val="00371178"/>
    <w:rsid w:val="00392E47"/>
    <w:rsid w:val="00396A1E"/>
    <w:rsid w:val="003A6810"/>
    <w:rsid w:val="003C2CC4"/>
    <w:rsid w:val="003C534D"/>
    <w:rsid w:val="003D0BFD"/>
    <w:rsid w:val="003D4B23"/>
    <w:rsid w:val="003E130E"/>
    <w:rsid w:val="003E3216"/>
    <w:rsid w:val="00402A67"/>
    <w:rsid w:val="00410C89"/>
    <w:rsid w:val="00422E03"/>
    <w:rsid w:val="00426B9B"/>
    <w:rsid w:val="004325CB"/>
    <w:rsid w:val="00442A83"/>
    <w:rsid w:val="0045495B"/>
    <w:rsid w:val="004561E5"/>
    <w:rsid w:val="004610C6"/>
    <w:rsid w:val="0048397A"/>
    <w:rsid w:val="00485CBB"/>
    <w:rsid w:val="0048640E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C342F"/>
    <w:rsid w:val="005C55E6"/>
    <w:rsid w:val="005C7D1E"/>
    <w:rsid w:val="005F7B75"/>
    <w:rsid w:val="006001EE"/>
    <w:rsid w:val="00605042"/>
    <w:rsid w:val="0060533E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93C6E"/>
    <w:rsid w:val="006A2530"/>
    <w:rsid w:val="006C1DBB"/>
    <w:rsid w:val="006C2561"/>
    <w:rsid w:val="006C3589"/>
    <w:rsid w:val="006C603F"/>
    <w:rsid w:val="006D29D3"/>
    <w:rsid w:val="006D37AF"/>
    <w:rsid w:val="006D51D0"/>
    <w:rsid w:val="006D5FB9"/>
    <w:rsid w:val="006D658E"/>
    <w:rsid w:val="006E1ABB"/>
    <w:rsid w:val="006E564B"/>
    <w:rsid w:val="006E7191"/>
    <w:rsid w:val="006F4059"/>
    <w:rsid w:val="00703577"/>
    <w:rsid w:val="00705894"/>
    <w:rsid w:val="00721E8A"/>
    <w:rsid w:val="00726116"/>
    <w:rsid w:val="0072632A"/>
    <w:rsid w:val="007327D5"/>
    <w:rsid w:val="0074387D"/>
    <w:rsid w:val="007629C8"/>
    <w:rsid w:val="0077047D"/>
    <w:rsid w:val="00782C68"/>
    <w:rsid w:val="007B62CA"/>
    <w:rsid w:val="007B6BA5"/>
    <w:rsid w:val="007C250B"/>
    <w:rsid w:val="007C3390"/>
    <w:rsid w:val="007C4F4B"/>
    <w:rsid w:val="007C526C"/>
    <w:rsid w:val="007C5F88"/>
    <w:rsid w:val="007E01E9"/>
    <w:rsid w:val="007E63F3"/>
    <w:rsid w:val="007F6611"/>
    <w:rsid w:val="00811920"/>
    <w:rsid w:val="00815AD0"/>
    <w:rsid w:val="00815EDB"/>
    <w:rsid w:val="008242D7"/>
    <w:rsid w:val="008257B1"/>
    <w:rsid w:val="00825988"/>
    <w:rsid w:val="00832334"/>
    <w:rsid w:val="00832CF2"/>
    <w:rsid w:val="00843191"/>
    <w:rsid w:val="00843767"/>
    <w:rsid w:val="0084441B"/>
    <w:rsid w:val="008679D9"/>
    <w:rsid w:val="00876B14"/>
    <w:rsid w:val="008878DE"/>
    <w:rsid w:val="008979B1"/>
    <w:rsid w:val="008A1ED5"/>
    <w:rsid w:val="008A6B25"/>
    <w:rsid w:val="008A6C4F"/>
    <w:rsid w:val="008B2335"/>
    <w:rsid w:val="008B2E36"/>
    <w:rsid w:val="008C3DBB"/>
    <w:rsid w:val="008E0678"/>
    <w:rsid w:val="008F31D2"/>
    <w:rsid w:val="00912CF8"/>
    <w:rsid w:val="00915EF6"/>
    <w:rsid w:val="009223CA"/>
    <w:rsid w:val="00940F93"/>
    <w:rsid w:val="009448C3"/>
    <w:rsid w:val="009644B4"/>
    <w:rsid w:val="009648EE"/>
    <w:rsid w:val="00967EE4"/>
    <w:rsid w:val="0097093F"/>
    <w:rsid w:val="00971970"/>
    <w:rsid w:val="009760F3"/>
    <w:rsid w:val="00976CFB"/>
    <w:rsid w:val="00996837"/>
    <w:rsid w:val="009A0830"/>
    <w:rsid w:val="009A0E8D"/>
    <w:rsid w:val="009B26E7"/>
    <w:rsid w:val="009B64BB"/>
    <w:rsid w:val="009E1151"/>
    <w:rsid w:val="00A00697"/>
    <w:rsid w:val="00A00A3F"/>
    <w:rsid w:val="00A01489"/>
    <w:rsid w:val="00A3026E"/>
    <w:rsid w:val="00A32547"/>
    <w:rsid w:val="00A338F1"/>
    <w:rsid w:val="00A35BE0"/>
    <w:rsid w:val="00A5553B"/>
    <w:rsid w:val="00A6129C"/>
    <w:rsid w:val="00A64C22"/>
    <w:rsid w:val="00A72F22"/>
    <w:rsid w:val="00A7360F"/>
    <w:rsid w:val="00A748A6"/>
    <w:rsid w:val="00A769F4"/>
    <w:rsid w:val="00A776B4"/>
    <w:rsid w:val="00A94361"/>
    <w:rsid w:val="00AA293C"/>
    <w:rsid w:val="00B0277B"/>
    <w:rsid w:val="00B15DCE"/>
    <w:rsid w:val="00B21AE6"/>
    <w:rsid w:val="00B30179"/>
    <w:rsid w:val="00B421C1"/>
    <w:rsid w:val="00B53C21"/>
    <w:rsid w:val="00B55C71"/>
    <w:rsid w:val="00B56E4A"/>
    <w:rsid w:val="00B56E9C"/>
    <w:rsid w:val="00B64B1F"/>
    <w:rsid w:val="00B6553F"/>
    <w:rsid w:val="00B75BE2"/>
    <w:rsid w:val="00B77D05"/>
    <w:rsid w:val="00B81206"/>
    <w:rsid w:val="00B81E12"/>
    <w:rsid w:val="00B837D1"/>
    <w:rsid w:val="00BC3FA0"/>
    <w:rsid w:val="00BC74E9"/>
    <w:rsid w:val="00BF30B3"/>
    <w:rsid w:val="00BF68A8"/>
    <w:rsid w:val="00C0028F"/>
    <w:rsid w:val="00C0062E"/>
    <w:rsid w:val="00C06C2F"/>
    <w:rsid w:val="00C11A03"/>
    <w:rsid w:val="00C22C0C"/>
    <w:rsid w:val="00C4527F"/>
    <w:rsid w:val="00C463DD"/>
    <w:rsid w:val="00C4724C"/>
    <w:rsid w:val="00C629A0"/>
    <w:rsid w:val="00C64629"/>
    <w:rsid w:val="00C66D00"/>
    <w:rsid w:val="00C745C3"/>
    <w:rsid w:val="00C822BB"/>
    <w:rsid w:val="00C96DF2"/>
    <w:rsid w:val="00CB3E03"/>
    <w:rsid w:val="00CD04FC"/>
    <w:rsid w:val="00CD4AA6"/>
    <w:rsid w:val="00CE4A8F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E08C9"/>
    <w:rsid w:val="00E046DF"/>
    <w:rsid w:val="00E22B0C"/>
    <w:rsid w:val="00E27346"/>
    <w:rsid w:val="00E36FD2"/>
    <w:rsid w:val="00E40A45"/>
    <w:rsid w:val="00E560CA"/>
    <w:rsid w:val="00E5788B"/>
    <w:rsid w:val="00E71BC8"/>
    <w:rsid w:val="00E7260F"/>
    <w:rsid w:val="00E73F5D"/>
    <w:rsid w:val="00E77E4E"/>
    <w:rsid w:val="00E96630"/>
    <w:rsid w:val="00EA2A77"/>
    <w:rsid w:val="00EC66EF"/>
    <w:rsid w:val="00ED7A2A"/>
    <w:rsid w:val="00EF1D7F"/>
    <w:rsid w:val="00EF52B9"/>
    <w:rsid w:val="00F1328A"/>
    <w:rsid w:val="00F31E5F"/>
    <w:rsid w:val="00F37C40"/>
    <w:rsid w:val="00F56854"/>
    <w:rsid w:val="00F6100A"/>
    <w:rsid w:val="00F93781"/>
    <w:rsid w:val="00FA4CFA"/>
    <w:rsid w:val="00FB613B"/>
    <w:rsid w:val="00FC68B7"/>
    <w:rsid w:val="00FD3F98"/>
    <w:rsid w:val="00FE106A"/>
    <w:rsid w:val="00FE7003"/>
    <w:rsid w:val="00FE7450"/>
    <w:rsid w:val="00FF145D"/>
    <w:rsid w:val="00FF50E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Rev.24</cp:lastModifiedBy>
  <cp:revision>6</cp:revision>
  <cp:lastPrinted>2016-02-04T14:35:00Z</cp:lastPrinted>
  <dcterms:created xsi:type="dcterms:W3CDTF">2015-08-18T14:23:00Z</dcterms:created>
  <dcterms:modified xsi:type="dcterms:W3CDTF">2016-02-04T14:35:00Z</dcterms:modified>
</cp:coreProperties>
</file>