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3C6B17" w:rsidP="002C5B16">
            <w:pPr>
              <w:jc w:val="right"/>
            </w:pPr>
            <w:r w:rsidRPr="00B3405B">
              <w:rPr>
                <w:sz w:val="40"/>
              </w:rPr>
              <w:t>E</w:t>
            </w:r>
            <w:r w:rsidRPr="00B3405B">
              <w:t>/</w:t>
            </w:r>
            <w:proofErr w:type="spellStart"/>
            <w:r w:rsidRPr="00B3405B">
              <w:t>ECE</w:t>
            </w:r>
            <w:proofErr w:type="spellEnd"/>
            <w:r w:rsidRPr="00B3405B">
              <w:t>/324/Add.</w:t>
            </w:r>
            <w:r>
              <w:t>8</w:t>
            </w:r>
            <w:r w:rsidRPr="00B3405B">
              <w:t>/Rev.</w:t>
            </w:r>
            <w:r>
              <w:t>3</w:t>
            </w:r>
            <w:r w:rsidRPr="00B3405B">
              <w:t>/Amend.</w:t>
            </w:r>
            <w:r>
              <w:t>1</w:t>
            </w:r>
            <w:r w:rsidR="000314C7">
              <w:t>−</w:t>
            </w:r>
            <w:r w:rsidRPr="00B3405B">
              <w:rPr>
                <w:sz w:val="40"/>
              </w:rPr>
              <w:t xml:space="preserve"> E</w:t>
            </w:r>
            <w:r w:rsidRPr="00B3405B">
              <w:t>/</w:t>
            </w:r>
            <w:proofErr w:type="spellStart"/>
            <w:r w:rsidRPr="00B3405B">
              <w:t>ECE</w:t>
            </w:r>
            <w:proofErr w:type="spellEnd"/>
            <w:r w:rsidRPr="00B3405B">
              <w:t>/TRANS/505/Add.</w:t>
            </w:r>
            <w:r>
              <w:t>8</w:t>
            </w:r>
            <w:r w:rsidRPr="00B3405B">
              <w:t>/Rev.</w:t>
            </w:r>
            <w:r>
              <w:t>3</w:t>
            </w:r>
            <w:r w:rsidRPr="00B3405B">
              <w:t>/Amend.</w:t>
            </w:r>
            <w:r>
              <w:t>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050D9D" w:rsidRPr="00DB58B5" w:rsidRDefault="00050D9D" w:rsidP="00050D9D">
            <w:pPr>
              <w:spacing w:before="480" w:line="240" w:lineRule="exact"/>
            </w:pPr>
            <w:r>
              <w:t xml:space="preserve">5 </w:t>
            </w:r>
            <w:r>
              <w:t>février</w:t>
            </w:r>
            <w:r>
              <w:t xml:space="preserve"> 2016</w:t>
            </w:r>
          </w:p>
        </w:tc>
      </w:tr>
    </w:tbl>
    <w:p w:rsidR="00421A10" w:rsidRPr="006549FF" w:rsidRDefault="0029791D" w:rsidP="00242268">
      <w:pPr>
        <w:pStyle w:val="HChG"/>
        <w:spacing w:before="320" w:after="220" w:line="260" w:lineRule="exact"/>
      </w:pPr>
      <w:r>
        <w:tab/>
      </w:r>
      <w:r>
        <w:tab/>
      </w:r>
      <w:r w:rsidR="00421A10" w:rsidRPr="006549FF">
        <w:t>Accord</w:t>
      </w:r>
      <w:bookmarkStart w:id="0" w:name="_GoBack"/>
      <w:bookmarkEnd w:id="0"/>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3C6B17">
        <w:t>8</w:t>
      </w:r>
      <w:r w:rsidR="00421A10" w:rsidRPr="006549FF">
        <w:t>: Règlement</w:t>
      </w:r>
      <w:r w:rsidR="00421A10">
        <w:t xml:space="preserve"> </w:t>
      </w:r>
      <w:r w:rsidR="00421A10" w:rsidRPr="00B371BF">
        <w:t>n</w:t>
      </w:r>
      <w:r w:rsidR="00421A10" w:rsidRPr="00B371BF">
        <w:rPr>
          <w:vertAlign w:val="superscript"/>
        </w:rPr>
        <w:t>o</w:t>
      </w:r>
      <w:r w:rsidR="00421A10">
        <w:t> </w:t>
      </w:r>
      <w:r w:rsidR="003C6B17">
        <w:t>9</w:t>
      </w:r>
    </w:p>
    <w:p w:rsidR="00421A10" w:rsidRPr="006549FF" w:rsidRDefault="0029791D" w:rsidP="00242268">
      <w:pPr>
        <w:pStyle w:val="H1G"/>
        <w:spacing w:before="220" w:after="100" w:line="240" w:lineRule="exact"/>
      </w:pPr>
      <w:r>
        <w:tab/>
      </w:r>
      <w:r>
        <w:tab/>
      </w:r>
      <w:r w:rsidR="00421A10" w:rsidRPr="006549FF">
        <w:t xml:space="preserve">Révision </w:t>
      </w:r>
      <w:r w:rsidR="003C6B17">
        <w:t>3</w:t>
      </w:r>
      <w:r w:rsidR="000314C7">
        <w:t xml:space="preserve"> − Amendement </w:t>
      </w:r>
      <w:r w:rsidR="003C6B17">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3C6B17">
        <w:rPr>
          <w:spacing w:val="-2"/>
        </w:rPr>
        <w:t>1</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3C6B17">
        <w:rPr>
          <w:spacing w:val="-2"/>
        </w:rPr>
        <w:t>07</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3C6B17">
        <w:rPr>
          <w:spacing w:val="-2"/>
        </w:rPr>
        <w:t xml:space="preserve"> </w:t>
      </w:r>
      <w:r w:rsidR="003C6B17">
        <w:rPr>
          <w:spacing w:val="-2"/>
        </w:rPr>
        <w:br/>
        <w:t>20 janvier 2016</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3C6B17" w:rsidRPr="003C6B17">
        <w:rPr>
          <w:spacing w:val="-2"/>
        </w:rPr>
        <w:t>Prescriptions uniformes relatives à l'homologation des véhicules des catégories L</w:t>
      </w:r>
      <w:r w:rsidR="003C6B17" w:rsidRPr="003C6B17">
        <w:rPr>
          <w:spacing w:val="-2"/>
          <w:vertAlign w:val="subscript"/>
        </w:rPr>
        <w:t>2</w:t>
      </w:r>
      <w:r w:rsidR="003C6B17" w:rsidRPr="003C6B17">
        <w:rPr>
          <w:spacing w:val="-2"/>
        </w:rPr>
        <w:t>, L</w:t>
      </w:r>
      <w:r w:rsidR="003C6B17" w:rsidRPr="003C6B17">
        <w:rPr>
          <w:spacing w:val="-2"/>
          <w:vertAlign w:val="subscript"/>
        </w:rPr>
        <w:t>4</w:t>
      </w:r>
      <w:r w:rsidR="003C6B17" w:rsidRPr="003C6B17">
        <w:rPr>
          <w:spacing w:val="-2"/>
        </w:rPr>
        <w:t xml:space="preserve"> et L</w:t>
      </w:r>
      <w:r w:rsidR="003C6B17" w:rsidRPr="003C6B17">
        <w:rPr>
          <w:spacing w:val="-2"/>
          <w:vertAlign w:val="subscript"/>
        </w:rPr>
        <w:t>5</w:t>
      </w:r>
      <w:r w:rsidR="003C6B17" w:rsidRPr="003C6B17">
        <w:rPr>
          <w:spacing w:val="-2"/>
        </w:rPr>
        <w:t xml:space="preserve"> en ce qui concerne le bruit</w:t>
      </w:r>
    </w:p>
    <w:p w:rsidR="00FC2CA9" w:rsidRDefault="001D3393" w:rsidP="00FC2CA9">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3C6B17">
        <w:rPr>
          <w:lang w:val="en-GB" w:eastAsia="en-GB"/>
        </w:rPr>
        <w:t>5</w:t>
      </w:r>
      <w:r w:rsidR="00FC2CA9">
        <w:rPr>
          <w:lang w:val="en-GB" w:eastAsia="en-GB"/>
        </w:rPr>
        <w:t>/</w:t>
      </w:r>
      <w:r w:rsidR="003C6B17">
        <w:rPr>
          <w:lang w:val="en-GB" w:eastAsia="en-GB"/>
        </w:rPr>
        <w:t>59.</w:t>
      </w:r>
    </w:p>
    <w:p w:rsidR="006034BB" w:rsidRPr="006034BB" w:rsidRDefault="00DD1ED8" w:rsidP="006034BB">
      <w:pPr>
        <w:pStyle w:val="SingleTxtG"/>
        <w:keepNext/>
      </w:pPr>
      <w:r>
        <w:br w:type="page"/>
      </w:r>
      <w:r w:rsidR="006034BB" w:rsidRPr="006034BB">
        <w:rPr>
          <w:i/>
        </w:rPr>
        <w:lastRenderedPageBreak/>
        <w:t>Ajouter les nouveaux paragraphes 11.7 et 11.8</w:t>
      </w:r>
      <w:r w:rsidR="006034BB" w:rsidRPr="006034BB">
        <w:t>, ainsi conçus:</w:t>
      </w:r>
    </w:p>
    <w:p w:rsidR="006034BB" w:rsidRPr="006034BB" w:rsidRDefault="006034BB" w:rsidP="006034BB">
      <w:pPr>
        <w:kinsoku w:val="0"/>
        <w:overflowPunct w:val="0"/>
        <w:autoSpaceDE w:val="0"/>
        <w:autoSpaceDN w:val="0"/>
        <w:adjustRightInd w:val="0"/>
        <w:snapToGrid w:val="0"/>
        <w:spacing w:after="120"/>
        <w:ind w:left="2268" w:right="1134" w:hanging="1134"/>
        <w:jc w:val="both"/>
      </w:pPr>
      <w:r w:rsidRPr="006034BB">
        <w:t>«11.7</w:t>
      </w:r>
      <w:r w:rsidRPr="006034BB">
        <w:tab/>
        <w:t>À compter de la date officielle d’entrée en vigueur du complément 1 à la série 07 d’amendements, aucune Partie contractante appliquant le présent Règlement ne pourra refuser d’accorder ou d’accepter une homologation de type au titre de ce complément.</w:t>
      </w:r>
    </w:p>
    <w:p w:rsidR="006034BB" w:rsidRPr="006034BB" w:rsidRDefault="006034BB" w:rsidP="006034BB">
      <w:pPr>
        <w:kinsoku w:val="0"/>
        <w:overflowPunct w:val="0"/>
        <w:autoSpaceDE w:val="0"/>
        <w:autoSpaceDN w:val="0"/>
        <w:adjustRightInd w:val="0"/>
        <w:snapToGrid w:val="0"/>
        <w:spacing w:after="120"/>
        <w:ind w:left="2268" w:right="1134" w:hanging="1134"/>
        <w:jc w:val="both"/>
        <w:rPr>
          <w:b/>
          <w:szCs w:val="24"/>
        </w:rPr>
      </w:pPr>
      <w:r w:rsidRPr="006034BB">
        <w:rPr>
          <w:szCs w:val="24"/>
        </w:rPr>
        <w:t>11.8</w:t>
      </w:r>
      <w:r w:rsidRPr="006034BB">
        <w:rPr>
          <w:szCs w:val="24"/>
        </w:rPr>
        <w:tab/>
        <w:t>Passé un délai de 60 mois à compter de la date d’entrée en vigueur du complément 1 à la série 07 d’amendements au présent Règlement, les Parties contractantes appliquant ce Règlement ne pourront accorder des homologations de type que si le type de véhicule concerné satisfait aux prescriptions du présent Règlement tel que modifié par ledit complément.».</w:t>
      </w:r>
    </w:p>
    <w:p w:rsidR="006034BB" w:rsidRPr="006034BB" w:rsidRDefault="006034BB" w:rsidP="006034BB">
      <w:pPr>
        <w:kinsoku w:val="0"/>
        <w:overflowPunct w:val="0"/>
        <w:autoSpaceDE w:val="0"/>
        <w:autoSpaceDN w:val="0"/>
        <w:adjustRightInd w:val="0"/>
        <w:snapToGrid w:val="0"/>
        <w:spacing w:after="120"/>
        <w:ind w:left="1134" w:right="1134"/>
        <w:jc w:val="both"/>
      </w:pPr>
      <w:r w:rsidRPr="006034BB">
        <w:rPr>
          <w:i/>
        </w:rPr>
        <w:t>Annexe 1</w:t>
      </w:r>
      <w:r w:rsidRPr="006034BB">
        <w:t xml:space="preserve">, </w:t>
      </w:r>
    </w:p>
    <w:p w:rsidR="006034BB" w:rsidRPr="006034BB" w:rsidRDefault="006034BB" w:rsidP="006034BB">
      <w:pPr>
        <w:kinsoku w:val="0"/>
        <w:overflowPunct w:val="0"/>
        <w:autoSpaceDE w:val="0"/>
        <w:autoSpaceDN w:val="0"/>
        <w:adjustRightInd w:val="0"/>
        <w:snapToGrid w:val="0"/>
        <w:spacing w:after="120"/>
        <w:ind w:left="1134" w:right="1134"/>
        <w:jc w:val="both"/>
      </w:pPr>
      <w:r w:rsidRPr="006034BB">
        <w:rPr>
          <w:i/>
        </w:rPr>
        <w:t>Point 19</w:t>
      </w:r>
      <w:r w:rsidRPr="006034BB">
        <w:t xml:space="preserve">, </w:t>
      </w:r>
      <w:proofErr w:type="gramStart"/>
      <w:r w:rsidRPr="006034BB">
        <w:t>supprimer</w:t>
      </w:r>
      <w:proofErr w:type="gramEnd"/>
      <w:r w:rsidRPr="006034BB">
        <w:t xml:space="preserve">. </w:t>
      </w:r>
    </w:p>
    <w:p w:rsidR="006034BB" w:rsidRPr="006034BB" w:rsidRDefault="006034BB" w:rsidP="006034BB">
      <w:pPr>
        <w:kinsoku w:val="0"/>
        <w:overflowPunct w:val="0"/>
        <w:autoSpaceDE w:val="0"/>
        <w:autoSpaceDN w:val="0"/>
        <w:adjustRightInd w:val="0"/>
        <w:snapToGrid w:val="0"/>
        <w:spacing w:after="120"/>
        <w:ind w:left="1134" w:right="1134"/>
        <w:jc w:val="both"/>
      </w:pPr>
      <w:r w:rsidRPr="006034BB">
        <w:rPr>
          <w:i/>
        </w:rPr>
        <w:t>Les points 20 à 29</w:t>
      </w:r>
      <w:r w:rsidRPr="006034BB">
        <w:t xml:space="preserve"> deviennent </w:t>
      </w:r>
      <w:r w:rsidR="00943420" w:rsidRPr="006034BB">
        <w:t>les points</w:t>
      </w:r>
      <w:r w:rsidRPr="006034BB">
        <w:t xml:space="preserve"> 19 à 28.</w:t>
      </w:r>
    </w:p>
    <w:p w:rsidR="006034BB" w:rsidRPr="006034BB" w:rsidRDefault="006034BB" w:rsidP="006034BB">
      <w:pPr>
        <w:kinsoku w:val="0"/>
        <w:overflowPunct w:val="0"/>
        <w:autoSpaceDE w:val="0"/>
        <w:autoSpaceDN w:val="0"/>
        <w:adjustRightInd w:val="0"/>
        <w:snapToGrid w:val="0"/>
        <w:spacing w:after="120"/>
        <w:ind w:left="1134" w:right="1134"/>
        <w:jc w:val="both"/>
      </w:pPr>
      <w:r w:rsidRPr="006034BB">
        <w:rPr>
          <w:i/>
        </w:rPr>
        <w:t>Annexe 3</w:t>
      </w:r>
      <w:r w:rsidRPr="006034BB">
        <w:t xml:space="preserve">, </w:t>
      </w:r>
    </w:p>
    <w:p w:rsidR="006034BB" w:rsidRPr="006034BB" w:rsidRDefault="006034BB" w:rsidP="006034BB">
      <w:pPr>
        <w:kinsoku w:val="0"/>
        <w:overflowPunct w:val="0"/>
        <w:autoSpaceDE w:val="0"/>
        <w:autoSpaceDN w:val="0"/>
        <w:adjustRightInd w:val="0"/>
        <w:snapToGrid w:val="0"/>
        <w:spacing w:after="120"/>
        <w:ind w:left="1134" w:right="1134"/>
        <w:jc w:val="both"/>
      </w:pPr>
      <w:r w:rsidRPr="006034BB">
        <w:rPr>
          <w:i/>
        </w:rPr>
        <w:t>Paragraphe 2.2</w:t>
      </w:r>
      <w:r w:rsidRPr="006034BB">
        <w:t xml:space="preserve">, </w:t>
      </w:r>
      <w:proofErr w:type="gramStart"/>
      <w:r w:rsidRPr="006034BB">
        <w:t>modifier</w:t>
      </w:r>
      <w:proofErr w:type="gramEnd"/>
      <w:r w:rsidRPr="006034BB">
        <w:t xml:space="preserve"> comme suit: </w:t>
      </w:r>
    </w:p>
    <w:p w:rsidR="006034BB" w:rsidRPr="006034BB" w:rsidRDefault="006034BB" w:rsidP="006034BB">
      <w:pPr>
        <w:kinsoku w:val="0"/>
        <w:overflowPunct w:val="0"/>
        <w:autoSpaceDE w:val="0"/>
        <w:autoSpaceDN w:val="0"/>
        <w:adjustRightInd w:val="0"/>
        <w:snapToGrid w:val="0"/>
        <w:spacing w:after="120"/>
        <w:ind w:left="2268" w:right="1134" w:hanging="1134"/>
        <w:jc w:val="both"/>
        <w:rPr>
          <w:szCs w:val="24"/>
        </w:rPr>
      </w:pPr>
      <w:r w:rsidRPr="006034BB">
        <w:rPr>
          <w:szCs w:val="24"/>
        </w:rPr>
        <w:t>«2.2</w:t>
      </w:r>
      <w:r w:rsidRPr="006034BB">
        <w:rPr>
          <w:szCs w:val="24"/>
        </w:rPr>
        <w:tab/>
        <w:t>Le terrain d’essai doit comporter une piste d’accélération placée au centre d’une aire pratiquement plane. La piste d’accélération doit être horizontale et son revêtement doit être sec et conçu de façon à être peu bruyant.</w:t>
      </w:r>
    </w:p>
    <w:p w:rsidR="006034BB" w:rsidRPr="006034BB" w:rsidRDefault="006034BB" w:rsidP="006034BB">
      <w:pPr>
        <w:kinsoku w:val="0"/>
        <w:overflowPunct w:val="0"/>
        <w:autoSpaceDE w:val="0"/>
        <w:autoSpaceDN w:val="0"/>
        <w:adjustRightInd w:val="0"/>
        <w:snapToGrid w:val="0"/>
        <w:spacing w:after="120"/>
        <w:ind w:left="2268" w:right="1134"/>
        <w:jc w:val="both"/>
      </w:pPr>
      <w:r w:rsidRPr="006034BB">
        <w:tab/>
        <w:t xml:space="preserve">Sur le terrain d’essai, un champ acoustique libre (de niveau sonore inférieur à </w:t>
      </w:r>
      <w:r w:rsidRPr="006034BB">
        <w:sym w:font="Symbol" w:char="F0B1"/>
      </w:r>
      <w:r w:rsidRPr="006034BB">
        <w:t>1 dB) doit être maintenu entre la source sonore placée au milieu de la piste d’accélération et le microphone. Cette condition doit être considérée comme remplie lorsqu’il n’existe pas d’écrans importants réflecteurs du son, tels que haies, rochers, ponts ou bâtiments, dans un rayon de 50 m autour du centre de la piste d’accélération. Le revêtement de la piste d’essai doit être conforme aux prescriptions de l’annexe 4 du présent Règlement ou à la norme </w:t>
      </w:r>
      <w:r w:rsidRPr="006034BB">
        <w:rPr>
          <w:bCs/>
        </w:rPr>
        <w:t>ISO 10844:2014</w:t>
      </w:r>
      <w:r w:rsidRPr="006034BB">
        <w:t>.</w:t>
      </w:r>
    </w:p>
    <w:p w:rsidR="006034BB" w:rsidRPr="006034BB" w:rsidRDefault="006034BB" w:rsidP="006034BB">
      <w:pPr>
        <w:kinsoku w:val="0"/>
        <w:overflowPunct w:val="0"/>
        <w:autoSpaceDE w:val="0"/>
        <w:autoSpaceDN w:val="0"/>
        <w:adjustRightInd w:val="0"/>
        <w:snapToGrid w:val="0"/>
        <w:spacing w:after="120"/>
        <w:ind w:left="2268" w:right="1134"/>
        <w:jc w:val="both"/>
        <w:rPr>
          <w:szCs w:val="24"/>
        </w:rPr>
      </w:pPr>
      <w:r w:rsidRPr="006034BB">
        <w:rPr>
          <w:szCs w:val="24"/>
        </w:rPr>
        <w:t>Aucun obstacle susceptible d’influencer le champ acoustique ne doit se trouver à proximité du microphone et nul ne doit s’interposer entre le microphone et la source sonore.».</w:t>
      </w:r>
    </w:p>
    <w:p w:rsidR="006034BB" w:rsidRPr="006034BB" w:rsidRDefault="006034BB" w:rsidP="006034BB">
      <w:pPr>
        <w:kinsoku w:val="0"/>
        <w:overflowPunct w:val="0"/>
        <w:autoSpaceDE w:val="0"/>
        <w:autoSpaceDN w:val="0"/>
        <w:adjustRightInd w:val="0"/>
        <w:snapToGrid w:val="0"/>
        <w:spacing w:after="120"/>
        <w:ind w:left="1134" w:right="1134"/>
        <w:jc w:val="both"/>
        <w:rPr>
          <w:i/>
          <w:iCs/>
          <w:szCs w:val="24"/>
        </w:rPr>
      </w:pPr>
      <w:r w:rsidRPr="006034BB">
        <w:rPr>
          <w:i/>
          <w:iCs/>
          <w:szCs w:val="24"/>
        </w:rPr>
        <w:t>Annexe 4</w:t>
      </w:r>
      <w:r w:rsidRPr="006034BB">
        <w:rPr>
          <w:iCs/>
          <w:szCs w:val="24"/>
        </w:rPr>
        <w:t>,</w:t>
      </w:r>
      <w:r w:rsidRPr="006034BB">
        <w:rPr>
          <w:i/>
          <w:iCs/>
          <w:szCs w:val="24"/>
        </w:rPr>
        <w:t xml:space="preserve"> </w:t>
      </w:r>
    </w:p>
    <w:p w:rsidR="006034BB" w:rsidRPr="006034BB" w:rsidRDefault="006034BB" w:rsidP="006034BB">
      <w:pPr>
        <w:keepNext/>
        <w:kinsoku w:val="0"/>
        <w:overflowPunct w:val="0"/>
        <w:autoSpaceDE w:val="0"/>
        <w:autoSpaceDN w:val="0"/>
        <w:adjustRightInd w:val="0"/>
        <w:snapToGrid w:val="0"/>
        <w:spacing w:after="120"/>
        <w:ind w:left="1134" w:right="1134"/>
        <w:jc w:val="both"/>
      </w:pPr>
      <w:r w:rsidRPr="006034BB">
        <w:rPr>
          <w:i/>
          <w:iCs/>
          <w:szCs w:val="24"/>
        </w:rPr>
        <w:t xml:space="preserve">Après le titre, </w:t>
      </w:r>
      <w:r w:rsidRPr="006034BB">
        <w:t>insérer un nouvel appel de note de bas de page 1 ainsi que la note correspondante, libellée comme suit:</w:t>
      </w:r>
    </w:p>
    <w:p w:rsidR="006034BB" w:rsidRPr="006034BB" w:rsidRDefault="006034BB" w:rsidP="006034BB">
      <w:pPr>
        <w:keepNext/>
        <w:kinsoku w:val="0"/>
        <w:overflowPunct w:val="0"/>
        <w:autoSpaceDE w:val="0"/>
        <w:autoSpaceDN w:val="0"/>
        <w:adjustRightInd w:val="0"/>
        <w:snapToGrid w:val="0"/>
        <w:spacing w:after="120"/>
        <w:ind w:left="1134" w:right="1134"/>
        <w:rPr>
          <w:szCs w:val="24"/>
        </w:rPr>
      </w:pPr>
      <w:r w:rsidRPr="006034BB">
        <w:t>«</w:t>
      </w:r>
      <w:r w:rsidRPr="006034BB">
        <w:rPr>
          <w:sz w:val="18"/>
          <w:vertAlign w:val="superscript"/>
        </w:rPr>
        <w:t>1</w:t>
      </w:r>
      <w:r w:rsidRPr="006034BB">
        <w:rPr>
          <w:sz w:val="18"/>
        </w:rPr>
        <w:tab/>
        <w:t>Les caractéristiques du terrain d’essai reprises dans la présente annexe sont valables jusqu’au terme de la période indiquée au paragraphe 11.8.».</w:t>
      </w:r>
    </w:p>
    <w:p w:rsidR="006034BB" w:rsidRPr="006034BB" w:rsidRDefault="006034BB" w:rsidP="006034BB">
      <w:pPr>
        <w:kinsoku w:val="0"/>
        <w:overflowPunct w:val="0"/>
        <w:autoSpaceDE w:val="0"/>
        <w:autoSpaceDN w:val="0"/>
        <w:adjustRightInd w:val="0"/>
        <w:snapToGrid w:val="0"/>
        <w:spacing w:after="120"/>
        <w:ind w:left="1134" w:right="1134"/>
        <w:jc w:val="both"/>
        <w:rPr>
          <w:iCs/>
          <w:szCs w:val="24"/>
        </w:rPr>
      </w:pPr>
      <w:r w:rsidRPr="006034BB">
        <w:rPr>
          <w:i/>
          <w:iCs/>
          <w:szCs w:val="24"/>
        </w:rPr>
        <w:t xml:space="preserve">Dans le paragraphe 1, l’appel de note 1 </w:t>
      </w:r>
      <w:r w:rsidRPr="006034BB">
        <w:rPr>
          <w:iCs/>
          <w:szCs w:val="24"/>
        </w:rPr>
        <w:t>devient l’appel de note 2 et le numéro de la note correspondante est modifié en conséquence.</w:t>
      </w:r>
    </w:p>
    <w:p w:rsidR="006034BB" w:rsidRPr="006034BB" w:rsidRDefault="006034BB" w:rsidP="006034BB">
      <w:pPr>
        <w:kinsoku w:val="0"/>
        <w:overflowPunct w:val="0"/>
        <w:autoSpaceDE w:val="0"/>
        <w:autoSpaceDN w:val="0"/>
        <w:adjustRightInd w:val="0"/>
        <w:snapToGrid w:val="0"/>
        <w:spacing w:before="240"/>
        <w:ind w:left="1134" w:right="1134"/>
        <w:jc w:val="center"/>
        <w:rPr>
          <w:u w:val="single"/>
        </w:rPr>
      </w:pPr>
      <w:r w:rsidRPr="006034BB">
        <w:rPr>
          <w:u w:val="single"/>
        </w:rPr>
        <w:tab/>
      </w:r>
      <w:r w:rsidRPr="006034BB">
        <w:rPr>
          <w:u w:val="single"/>
        </w:rPr>
        <w:tab/>
      </w:r>
      <w:r w:rsidRPr="006034BB">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17" w:rsidRDefault="003C6B17"/>
  </w:endnote>
  <w:endnote w:type="continuationSeparator" w:id="0">
    <w:p w:rsidR="003C6B17" w:rsidRDefault="003C6B17">
      <w:pPr>
        <w:pStyle w:val="Footer"/>
      </w:pPr>
    </w:p>
  </w:endnote>
  <w:endnote w:type="continuationNotice" w:id="1">
    <w:p w:rsidR="003C6B17" w:rsidRPr="00C451B9" w:rsidRDefault="003C6B1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8B3D0A">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237C73">
    <w:r>
      <w:t>_______________</w:t>
    </w:r>
  </w:p>
  <w:p w:rsidR="00710974" w:rsidRDefault="00050D9D"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17" w:rsidRPr="00D27D5E" w:rsidRDefault="003C6B17" w:rsidP="00D27D5E">
      <w:pPr>
        <w:tabs>
          <w:tab w:val="right" w:pos="2155"/>
        </w:tabs>
        <w:spacing w:after="80"/>
        <w:ind w:left="680"/>
        <w:rPr>
          <w:u w:val="single"/>
        </w:rPr>
      </w:pPr>
      <w:r>
        <w:rPr>
          <w:u w:val="single"/>
        </w:rPr>
        <w:tab/>
      </w:r>
    </w:p>
  </w:footnote>
  <w:footnote w:type="continuationSeparator" w:id="0">
    <w:p w:rsidR="003C6B17" w:rsidRPr="00D171D4" w:rsidRDefault="003C6B17" w:rsidP="00D171D4">
      <w:pPr>
        <w:tabs>
          <w:tab w:val="right" w:pos="2155"/>
        </w:tabs>
        <w:spacing w:after="80"/>
        <w:ind w:left="680"/>
        <w:rPr>
          <w:u w:val="single"/>
        </w:rPr>
      </w:pPr>
      <w:r w:rsidRPr="00D171D4">
        <w:rPr>
          <w:u w:val="single"/>
        </w:rPr>
        <w:tab/>
      </w:r>
    </w:p>
  </w:footnote>
  <w:footnote w:type="continuationNotice" w:id="1">
    <w:p w:rsidR="003C6B17" w:rsidRPr="00C451B9" w:rsidRDefault="003C6B17"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w:t>
    </w:r>
    <w:proofErr w:type="spellStart"/>
    <w:r>
      <w:t>ECE</w:t>
    </w:r>
    <w:proofErr w:type="spellEnd"/>
    <w:r>
      <w:t>/324</w:t>
    </w:r>
    <w:r w:rsidR="003C6B17" w:rsidRPr="00B3405B">
      <w:t>/Add.</w:t>
    </w:r>
    <w:r w:rsidR="003C6B17">
      <w:t>8</w:t>
    </w:r>
    <w:r w:rsidR="003C6B17" w:rsidRPr="00B3405B">
      <w:t>/Rev.</w:t>
    </w:r>
    <w:r w:rsidR="003C6B17">
      <w:t>3</w:t>
    </w:r>
    <w:r w:rsidR="003C6B17" w:rsidRPr="00B3405B">
      <w:t>/Amend.</w:t>
    </w:r>
    <w:r w:rsidR="003C6B17">
      <w:t>1</w:t>
    </w:r>
    <w:r>
      <w:br/>
      <w:t>E/</w:t>
    </w:r>
    <w:proofErr w:type="spellStart"/>
    <w:r>
      <w:t>ECE</w:t>
    </w:r>
    <w:proofErr w:type="spellEnd"/>
    <w:r>
      <w:t>/TRANS/505</w:t>
    </w:r>
    <w:r w:rsidR="003C6B17" w:rsidRPr="00B3405B">
      <w:t>/Add.</w:t>
    </w:r>
    <w:r w:rsidR="003C6B17">
      <w:t>8</w:t>
    </w:r>
    <w:r w:rsidR="003C6B17" w:rsidRPr="00B3405B">
      <w:t>/Rev.</w:t>
    </w:r>
    <w:r w:rsidR="003C6B17">
      <w:t>3</w:t>
    </w:r>
    <w:r w:rsidR="003C6B17" w:rsidRPr="00B3405B">
      <w:t>/Amend.</w:t>
    </w:r>
    <w:r w:rsidR="003C6B17">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B17"/>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0D9D"/>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37C73"/>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C6B17"/>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034BB"/>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3D0A"/>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43420"/>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7</TotalTime>
  <Pages>2</Pages>
  <Words>459</Words>
  <Characters>2621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5</cp:revision>
  <cp:lastPrinted>2016-02-04T14:55:00Z</cp:lastPrinted>
  <dcterms:created xsi:type="dcterms:W3CDTF">2015-09-22T07:13:00Z</dcterms:created>
  <dcterms:modified xsi:type="dcterms:W3CDTF">2016-02-04T15:28:00Z</dcterms:modified>
</cp:coreProperties>
</file>