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4F132C">
              <w:t>Rev.1/Add.12/Rev.8/Amend.2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4F132C">
              <w:t>Rev.1/Add.12/Rev.8/Amend.2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0842" w:rsidRDefault="00B70842" w:rsidP="00B70842">
            <w:pPr>
              <w:spacing w:before="40" w:after="40"/>
              <w:rPr>
                <w:lang w:val="en-US"/>
              </w:rPr>
            </w:pPr>
          </w:p>
          <w:p w:rsidR="00B70842" w:rsidRDefault="00B70842" w:rsidP="00B70842">
            <w:pPr>
              <w:spacing w:before="40" w:after="40"/>
              <w:rPr>
                <w:lang w:val="en-US"/>
              </w:rPr>
            </w:pPr>
          </w:p>
          <w:p w:rsidR="00B70842" w:rsidRDefault="00B70842" w:rsidP="00B70842">
            <w:pPr>
              <w:spacing w:before="40" w:after="40"/>
              <w:rPr>
                <w:lang w:val="en-US"/>
              </w:rPr>
            </w:pPr>
          </w:p>
          <w:p w:rsidR="00B70842" w:rsidRDefault="00B70842" w:rsidP="00B70842">
            <w:pPr>
              <w:spacing w:before="40" w:after="40"/>
              <w:rPr>
                <w:lang w:val="en-US"/>
              </w:rPr>
            </w:pPr>
          </w:p>
          <w:p w:rsidR="00B70842" w:rsidRDefault="00B70842" w:rsidP="00B70842">
            <w:pPr>
              <w:spacing w:before="40" w:after="40"/>
              <w:rPr>
                <w:lang w:val="en-US"/>
              </w:rPr>
            </w:pPr>
          </w:p>
          <w:p w:rsidR="000D6D03" w:rsidRPr="00B172D2" w:rsidRDefault="00B70842" w:rsidP="00B70842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0B5EDD" w:rsidRDefault="000B5EDD" w:rsidP="000B5EDD">
      <w:pPr>
        <w:pStyle w:val="HChGR"/>
        <w:spacing w:before="240" w:after="120"/>
      </w:pPr>
      <w:r>
        <w:rPr>
          <w:lang w:val="en-US"/>
        </w:rPr>
        <w:tab/>
      </w:r>
      <w:r>
        <w:rPr>
          <w:lang w:val="en-US"/>
        </w:rPr>
        <w:tab/>
      </w:r>
      <w:bookmarkStart w:id="1" w:name="_Toc381088805"/>
      <w:bookmarkStart w:id="2" w:name="_Toc381019003"/>
      <w:r>
        <w:t>Соглашение</w:t>
      </w:r>
      <w:bookmarkEnd w:id="1"/>
      <w:bookmarkEnd w:id="2"/>
    </w:p>
    <w:p w:rsidR="000B5EDD" w:rsidRDefault="000B5EDD" w:rsidP="000B5EDD">
      <w:pPr>
        <w:pStyle w:val="H1GR"/>
        <w:spacing w:before="240" w:after="120"/>
      </w:pPr>
      <w:r>
        <w:tab/>
      </w:r>
      <w:r>
        <w:tab/>
      </w:r>
      <w:proofErr w:type="gramStart"/>
      <w:r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="00AB5F6D" w:rsidRPr="00AB5F6D">
        <w:rPr>
          <w:rStyle w:val="FootnoteReference"/>
          <w:sz w:val="20"/>
          <w:vertAlign w:val="baseline"/>
        </w:rPr>
        <w:footnoteReference w:customMarkFollows="1" w:id="1"/>
        <w:t>*</w:t>
      </w:r>
      <w:proofErr w:type="gramEnd"/>
    </w:p>
    <w:p w:rsidR="000B5EDD" w:rsidRDefault="000B5EDD" w:rsidP="000B5EDD">
      <w:pPr>
        <w:pStyle w:val="SingleTxtGR"/>
      </w:pPr>
      <w:r>
        <w:t>(Пересмотр 2, включающий поправки, вступившие в силу 16 октября 1995 года)</w:t>
      </w:r>
    </w:p>
    <w:p w:rsidR="000B5EDD" w:rsidRDefault="000B5EDD" w:rsidP="000B5EDD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EDD" w:rsidRDefault="000B5EDD" w:rsidP="000B5EDD">
      <w:pPr>
        <w:pStyle w:val="HChGR"/>
        <w:spacing w:before="120" w:after="120"/>
      </w:pPr>
      <w:r>
        <w:tab/>
      </w:r>
      <w:r>
        <w:tab/>
      </w:r>
      <w:bookmarkStart w:id="3" w:name="_Toc381088806"/>
      <w:bookmarkStart w:id="4" w:name="_Toc381019004"/>
      <w:r>
        <w:t>Добавление 12: Правила № 13</w:t>
      </w:r>
      <w:bookmarkEnd w:id="3"/>
      <w:bookmarkEnd w:id="4"/>
    </w:p>
    <w:p w:rsidR="000B5EDD" w:rsidRPr="000B5EDD" w:rsidRDefault="000B5EDD" w:rsidP="000B5EDD">
      <w:pPr>
        <w:pStyle w:val="H1GR"/>
        <w:spacing w:before="240" w:after="120"/>
      </w:pPr>
      <w:r>
        <w:tab/>
      </w:r>
      <w:r>
        <w:tab/>
        <w:t>Пересмотр 8</w:t>
      </w:r>
      <w:r>
        <w:rPr>
          <w:lang w:val="en-US"/>
        </w:rPr>
        <w:t xml:space="preserve"> – </w:t>
      </w:r>
      <w:r>
        <w:t>Поправка 2</w:t>
      </w:r>
    </w:p>
    <w:p w:rsidR="000B5EDD" w:rsidRDefault="000B5EDD" w:rsidP="000B5EDD">
      <w:pPr>
        <w:pStyle w:val="SingleTxtGR"/>
        <w:suppressAutoHyphens/>
        <w:spacing w:after="0" w:line="220" w:lineRule="atLeast"/>
        <w:jc w:val="left"/>
        <w:rPr>
          <w:bCs/>
          <w:sz w:val="18"/>
          <w:szCs w:val="18"/>
        </w:rPr>
      </w:pPr>
      <w:r>
        <w:rPr>
          <w:sz w:val="18"/>
          <w:szCs w:val="18"/>
        </w:rPr>
        <w:t>Дополнение 12 к поправкам серии</w:t>
      </w:r>
      <w:r w:rsidR="000A597C">
        <w:rPr>
          <w:sz w:val="18"/>
          <w:szCs w:val="18"/>
        </w:rPr>
        <w:t xml:space="preserve"> 11 − Дата вступления в силу: 15 июня 2015</w:t>
      </w:r>
      <w:r>
        <w:rPr>
          <w:sz w:val="18"/>
          <w:szCs w:val="18"/>
        </w:rPr>
        <w:t xml:space="preserve"> года</w:t>
      </w:r>
    </w:p>
    <w:p w:rsidR="000B5EDD" w:rsidRDefault="000B5EDD" w:rsidP="000B5EDD">
      <w:pPr>
        <w:pStyle w:val="H1GR"/>
        <w:spacing w:before="240" w:after="120"/>
      </w:pPr>
      <w:r>
        <w:tab/>
      </w:r>
      <w:r>
        <w:tab/>
        <w:t>Единообразные предписания, касающиеся официального утверждения транспортных средств категорий М, N и</w:t>
      </w:r>
      <w:proofErr w:type="gramStart"/>
      <w:r>
        <w:t xml:space="preserve"> О</w:t>
      </w:r>
      <w:proofErr w:type="gramEnd"/>
      <w:r>
        <w:t xml:space="preserve"> в</w:t>
      </w:r>
      <w:r>
        <w:rPr>
          <w:lang w:val="en-US"/>
        </w:rPr>
        <w:t> </w:t>
      </w:r>
      <w:r>
        <w:t>отношении торможения</w:t>
      </w:r>
    </w:p>
    <w:p w:rsidR="000D6B67" w:rsidRPr="00076E4D" w:rsidRDefault="000D6B67" w:rsidP="000D6B67">
      <w:pPr>
        <w:pStyle w:val="SingleTxtGR"/>
        <w:rPr>
          <w:lang w:val="en-US" w:eastAsia="ru-RU"/>
        </w:rPr>
      </w:pPr>
      <w:r>
        <w:rPr>
          <w:rStyle w:val="hps"/>
        </w:rPr>
        <w:t xml:space="preserve">Данный </w:t>
      </w:r>
      <w:r w:rsidRPr="000B5EDD">
        <w:t>документ</w:t>
      </w:r>
      <w:r>
        <w:rPr>
          <w:rStyle w:val="hps"/>
        </w:rPr>
        <w:t xml:space="preserve">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</w:t>
      </w:r>
      <w:proofErr w:type="spellStart"/>
      <w:r>
        <w:rPr>
          <w:spacing w:val="-6"/>
          <w:lang w:eastAsia="en-GB"/>
        </w:rPr>
        <w:t>TRANS</w:t>
      </w:r>
      <w:proofErr w:type="spellEnd"/>
      <w:r>
        <w:rPr>
          <w:spacing w:val="-6"/>
          <w:lang w:eastAsia="en-GB"/>
        </w:rPr>
        <w:t>/WP.29/2014/45/Rev.1</w:t>
      </w:r>
      <w:r>
        <w:rPr>
          <w:lang w:val="en-U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B70842" w:rsidP="005C5D5B">
      <w:pPr>
        <w:spacing w:after="240"/>
        <w:jc w:val="center"/>
      </w:pPr>
      <w:bookmarkStart w:id="5" w:name="_MON_1000209745"/>
      <w:bookmarkEnd w:id="5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FB3293" w:rsidRPr="00A54529" w:rsidRDefault="00E27AD2" w:rsidP="00FB3293">
      <w:pPr>
        <w:pStyle w:val="SingleTxtGR"/>
        <w:tabs>
          <w:tab w:val="clear" w:pos="1701"/>
        </w:tabs>
        <w:ind w:left="1428" w:hanging="294"/>
      </w:pPr>
      <w:r>
        <w:rPr>
          <w:i/>
        </w:rPr>
        <w:br w:type="page"/>
      </w:r>
      <w:r w:rsidR="00FB3293" w:rsidRPr="00A54529">
        <w:rPr>
          <w:i/>
        </w:rPr>
        <w:lastRenderedPageBreak/>
        <w:t xml:space="preserve">Пункт </w:t>
      </w:r>
      <w:r w:rsidR="00FB3293" w:rsidRPr="00CB5930">
        <w:rPr>
          <w:i/>
        </w:rPr>
        <w:t>5.2.1.32</w:t>
      </w:r>
      <w:r w:rsidR="00FB3293">
        <w:rPr>
          <w:i/>
        </w:rPr>
        <w:t>, сноску 12</w:t>
      </w:r>
      <w:r w:rsidR="00FB3293" w:rsidRPr="00A54529">
        <w:t xml:space="preserve"> изменить следующим образом:</w:t>
      </w:r>
    </w:p>
    <w:p w:rsidR="00FB3293" w:rsidRDefault="00FB3293" w:rsidP="00FB3293">
      <w:pPr>
        <w:pStyle w:val="SingleTxtGR"/>
        <w:tabs>
          <w:tab w:val="clear" w:pos="1701"/>
        </w:tabs>
        <w:ind w:left="2268" w:hanging="1134"/>
      </w:pPr>
      <w:r>
        <w:t>"5.2.1.32</w:t>
      </w:r>
      <w:proofErr w:type="gramStart"/>
      <w:r>
        <w:tab/>
        <w:t>С</w:t>
      </w:r>
      <w:proofErr w:type="gramEnd"/>
      <w:r>
        <w:t xml:space="preserve"> учетом положений пункта 12.3 настоящих Правил все транспор</w:t>
      </w:r>
      <w:r>
        <w:t>т</w:t>
      </w:r>
      <w:r>
        <w:t xml:space="preserve">ные средства … к настоящим Правилам". </w:t>
      </w:r>
    </w:p>
    <w:p w:rsidR="00FB3293" w:rsidRPr="001F04C7" w:rsidRDefault="00FB3293" w:rsidP="00FB3293">
      <w:pPr>
        <w:pStyle w:val="SingleTxtGR"/>
        <w:rPr>
          <w:u w:val="single"/>
        </w:rPr>
      </w:pPr>
      <w:r w:rsidRPr="001F04C7">
        <w:t>"</w:t>
      </w:r>
      <w:r w:rsidRPr="006348AE">
        <w:rPr>
          <w:lang w:val="en-GB"/>
        </w:rPr>
        <w:separator/>
      </w:r>
    </w:p>
    <w:p w:rsidR="00FB3293" w:rsidRPr="00EA1F64" w:rsidRDefault="00FB3293" w:rsidP="00FB3293">
      <w:pPr>
        <w:pStyle w:val="SingleTxtGR"/>
        <w:tabs>
          <w:tab w:val="clear" w:pos="1701"/>
        </w:tabs>
        <w:spacing w:line="220" w:lineRule="exact"/>
        <w:ind w:left="1429" w:hanging="295"/>
        <w:jc w:val="left"/>
        <w:rPr>
          <w:sz w:val="18"/>
          <w:szCs w:val="18"/>
        </w:rPr>
      </w:pPr>
      <w:r w:rsidRPr="00EA1F64">
        <w:rPr>
          <w:sz w:val="18"/>
          <w:szCs w:val="18"/>
          <w:vertAlign w:val="superscript"/>
        </w:rPr>
        <w:t>12</w:t>
      </w:r>
      <w:proofErr w:type="gramStart"/>
      <w:r w:rsidRPr="00EA1F64">
        <w:rPr>
          <w:sz w:val="18"/>
          <w:szCs w:val="18"/>
        </w:rPr>
        <w:tab/>
        <w:t>Э</w:t>
      </w:r>
      <w:proofErr w:type="gramEnd"/>
      <w:r w:rsidRPr="00EA1F64">
        <w:rPr>
          <w:sz w:val="18"/>
          <w:szCs w:val="18"/>
        </w:rPr>
        <w:t>то предписание не распространяется на транспортные средства повышенной пр</w:t>
      </w:r>
      <w:r w:rsidRPr="00EA1F64">
        <w:rPr>
          <w:sz w:val="18"/>
          <w:szCs w:val="18"/>
        </w:rPr>
        <w:t>о</w:t>
      </w:r>
      <w:r w:rsidRPr="00EA1F64">
        <w:rPr>
          <w:sz w:val="18"/>
          <w:szCs w:val="18"/>
        </w:rPr>
        <w:t>ходимости, транспортные средства специального назначения (например, подвижные установки на нестандартном шасси, подвижные краны, транспортные средства с гидростатическим приводом, на которых система гидравлического привода испол</w:t>
      </w:r>
      <w:r w:rsidRPr="00EA1F64">
        <w:rPr>
          <w:sz w:val="18"/>
          <w:szCs w:val="18"/>
        </w:rPr>
        <w:t>ь</w:t>
      </w:r>
      <w:r w:rsidRPr="00EA1F64">
        <w:rPr>
          <w:sz w:val="18"/>
          <w:szCs w:val="18"/>
        </w:rPr>
        <w:t xml:space="preserve">зуется также для торможения и вспомогательных функций, транспортные средства категории </w:t>
      </w:r>
      <w:r w:rsidRPr="00EA1F64">
        <w:rPr>
          <w:sz w:val="18"/>
          <w:szCs w:val="18"/>
          <w:lang w:val="en-US"/>
        </w:rPr>
        <w:t>N</w:t>
      </w:r>
      <w:r w:rsidRPr="00EA1F64">
        <w:rPr>
          <w:sz w:val="18"/>
          <w:szCs w:val="18"/>
          <w:vertAlign w:val="subscript"/>
        </w:rPr>
        <w:t>2</w:t>
      </w:r>
      <w:r w:rsidRPr="00EA1F64">
        <w:rPr>
          <w:sz w:val="18"/>
          <w:szCs w:val="18"/>
        </w:rPr>
        <w:t>, которые имеют все следующие конструктивные особенности: полную массу транспортного средства от 3,5 до 7,5 тонн, нестандартные низкорамные ша</w:t>
      </w:r>
      <w:r w:rsidRPr="00EA1F64">
        <w:rPr>
          <w:sz w:val="18"/>
          <w:szCs w:val="18"/>
        </w:rPr>
        <w:t>с</w:t>
      </w:r>
      <w:r w:rsidRPr="00EA1F64">
        <w:rPr>
          <w:sz w:val="18"/>
          <w:szCs w:val="18"/>
        </w:rPr>
        <w:t xml:space="preserve">си, более чем 2 оси и гидропривод), транспортные средства класса </w:t>
      </w:r>
      <w:r w:rsidRPr="00EA1F64">
        <w:rPr>
          <w:sz w:val="18"/>
          <w:szCs w:val="18"/>
          <w:lang w:val="en-US"/>
        </w:rPr>
        <w:t>I</w:t>
      </w:r>
      <w:r w:rsidRPr="00EA1F64">
        <w:rPr>
          <w:sz w:val="18"/>
          <w:szCs w:val="18"/>
        </w:rPr>
        <w:t xml:space="preserve"> и класса</w:t>
      </w:r>
      <w:proofErr w:type="gramStart"/>
      <w:r w:rsidRPr="00EA1F64">
        <w:rPr>
          <w:sz w:val="18"/>
          <w:szCs w:val="18"/>
        </w:rPr>
        <w:t xml:space="preserve"> А</w:t>
      </w:r>
      <w:proofErr w:type="gramEnd"/>
      <w:r w:rsidRPr="00EA1F64">
        <w:rPr>
          <w:sz w:val="18"/>
          <w:szCs w:val="18"/>
        </w:rPr>
        <w:t>, а также сочлененные транспортные средства категорий М</w:t>
      </w:r>
      <w:r w:rsidRPr="00EA1F64">
        <w:rPr>
          <w:sz w:val="18"/>
          <w:szCs w:val="18"/>
          <w:vertAlign w:val="subscript"/>
        </w:rPr>
        <w:t>2</w:t>
      </w:r>
      <w:r w:rsidRPr="00EA1F64">
        <w:rPr>
          <w:sz w:val="18"/>
          <w:szCs w:val="18"/>
        </w:rPr>
        <w:t xml:space="preserve"> и М</w:t>
      </w:r>
      <w:r w:rsidRPr="00EA1F64">
        <w:rPr>
          <w:sz w:val="18"/>
          <w:szCs w:val="18"/>
          <w:vertAlign w:val="subscript"/>
        </w:rPr>
        <w:t>3</w:t>
      </w:r>
      <w:r w:rsidRPr="00EA1F64">
        <w:rPr>
          <w:sz w:val="18"/>
          <w:szCs w:val="18"/>
        </w:rPr>
        <w:t xml:space="preserve">, тягачи категории </w:t>
      </w:r>
      <w:r w:rsidRPr="00EA1F64">
        <w:rPr>
          <w:sz w:val="18"/>
          <w:szCs w:val="18"/>
          <w:lang w:val="en-US"/>
        </w:rPr>
        <w:t>N</w:t>
      </w:r>
      <w:r w:rsidRPr="00EA1F64">
        <w:rPr>
          <w:sz w:val="18"/>
          <w:szCs w:val="18"/>
          <w:vertAlign w:val="subscript"/>
        </w:rPr>
        <w:t>2</w:t>
      </w:r>
      <w:r w:rsidRPr="00EA1F64">
        <w:rPr>
          <w:sz w:val="18"/>
          <w:szCs w:val="18"/>
        </w:rPr>
        <w:t xml:space="preserve"> для полуприцепов с полной массой транспортного средства (</w:t>
      </w:r>
      <w:proofErr w:type="spellStart"/>
      <w:r w:rsidRPr="00EA1F64">
        <w:rPr>
          <w:sz w:val="18"/>
          <w:szCs w:val="18"/>
        </w:rPr>
        <w:t>ПМТС</w:t>
      </w:r>
      <w:proofErr w:type="spellEnd"/>
      <w:r w:rsidRPr="00EA1F64">
        <w:rPr>
          <w:sz w:val="18"/>
          <w:szCs w:val="18"/>
        </w:rPr>
        <w:t>) от</w:t>
      </w:r>
      <w:r w:rsidRPr="00EA1F64">
        <w:rPr>
          <w:sz w:val="18"/>
          <w:szCs w:val="18"/>
          <w:lang w:val="en-US"/>
        </w:rPr>
        <w:t> </w:t>
      </w:r>
      <w:r w:rsidRPr="00EA1F64">
        <w:rPr>
          <w:sz w:val="18"/>
          <w:szCs w:val="18"/>
        </w:rPr>
        <w:t>3,5 до 7,5 тонн"</w:t>
      </w:r>
      <w:r>
        <w:rPr>
          <w:sz w:val="18"/>
          <w:szCs w:val="18"/>
        </w:rPr>
        <w:t>.</w:t>
      </w:r>
    </w:p>
    <w:p w:rsidR="00FB3293" w:rsidRPr="00A54529" w:rsidRDefault="00FB3293" w:rsidP="00FB3293">
      <w:pPr>
        <w:pStyle w:val="SingleTxtGR"/>
      </w:pPr>
      <w:r w:rsidRPr="00A54529">
        <w:rPr>
          <w:i/>
        </w:rPr>
        <w:t xml:space="preserve">Пункт </w:t>
      </w:r>
      <w:r w:rsidRPr="00CB5930">
        <w:rPr>
          <w:i/>
        </w:rPr>
        <w:t>5.2.</w:t>
      </w:r>
      <w:r>
        <w:rPr>
          <w:i/>
        </w:rPr>
        <w:t>2</w:t>
      </w:r>
      <w:r w:rsidRPr="00CB5930">
        <w:rPr>
          <w:i/>
        </w:rPr>
        <w:t>.</w:t>
      </w:r>
      <w:r>
        <w:rPr>
          <w:i/>
        </w:rPr>
        <w:t>23</w:t>
      </w:r>
      <w:r w:rsidRPr="00A54529">
        <w:t xml:space="preserve"> изменить следующим образом:</w:t>
      </w:r>
    </w:p>
    <w:p w:rsidR="00FB3293" w:rsidRDefault="00FB3293" w:rsidP="00FB3293">
      <w:pPr>
        <w:pStyle w:val="SingleTxtGR"/>
        <w:tabs>
          <w:tab w:val="clear" w:pos="1701"/>
        </w:tabs>
        <w:ind w:left="2268" w:hanging="1134"/>
      </w:pPr>
      <w:r>
        <w:t>"5.2.2.23</w:t>
      </w:r>
      <w:proofErr w:type="gramStart"/>
      <w:r>
        <w:tab/>
        <w:t>С</w:t>
      </w:r>
      <w:proofErr w:type="gramEnd"/>
      <w:r>
        <w:t xml:space="preserve"> учетом положений пункта 12.3 настоящих Правил все транспор</w:t>
      </w:r>
      <w:r>
        <w:t>т</w:t>
      </w:r>
      <w:r>
        <w:t xml:space="preserve">ные средства … ". </w:t>
      </w:r>
    </w:p>
    <w:p w:rsidR="00FB3293" w:rsidRPr="00A54529" w:rsidRDefault="00FB3293" w:rsidP="00FB3293">
      <w:pPr>
        <w:pStyle w:val="SingleTxtGR"/>
      </w:pPr>
      <w:r w:rsidRPr="00A54529">
        <w:rPr>
          <w:i/>
        </w:rPr>
        <w:t>Пункт 12</w:t>
      </w:r>
      <w:r w:rsidRPr="00A54529">
        <w:t xml:space="preserve"> изменить следующим образом:</w:t>
      </w:r>
    </w:p>
    <w:p w:rsidR="00FB3293" w:rsidRPr="00A54529" w:rsidRDefault="00FB3293" w:rsidP="00FB3293">
      <w:pPr>
        <w:pStyle w:val="HChGR"/>
        <w:tabs>
          <w:tab w:val="clear" w:pos="851"/>
        </w:tabs>
        <w:ind w:left="2282"/>
      </w:pPr>
      <w:r>
        <w:t>"12.</w:t>
      </w:r>
      <w:r w:rsidRPr="004B7320">
        <w:tab/>
      </w:r>
      <w:r w:rsidRPr="00A54529">
        <w:t>Переходные положения</w:t>
      </w:r>
    </w:p>
    <w:p w:rsidR="00FB3293" w:rsidRPr="006C312A" w:rsidRDefault="00FB3293" w:rsidP="00FB3293">
      <w:pPr>
        <w:pStyle w:val="SingleTxtGR"/>
        <w:tabs>
          <w:tab w:val="clear" w:pos="1701"/>
        </w:tabs>
        <w:ind w:left="2268" w:hanging="1134"/>
      </w:pPr>
      <w:r w:rsidRPr="00A54529">
        <w:t>12.1</w:t>
      </w:r>
      <w:proofErr w:type="gramStart"/>
      <w:r w:rsidRPr="00A54529">
        <w:tab/>
        <w:t>Н</w:t>
      </w:r>
      <w:proofErr w:type="gramEnd"/>
      <w:r w:rsidRPr="00A54529">
        <w:t>ачиная с официальной даты вступления в силу поправок серии 11 (11 июля 2008 года) ни одна из Договаривающихся сторон, прим</w:t>
      </w:r>
      <w:r w:rsidRPr="00A54529">
        <w:t>е</w:t>
      </w:r>
      <w:r w:rsidRPr="00A54529">
        <w:t>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 11.</w:t>
      </w:r>
    </w:p>
    <w:p w:rsidR="00FB3293" w:rsidRPr="00532717" w:rsidRDefault="00FB3293" w:rsidP="00FB3293">
      <w:pPr>
        <w:pStyle w:val="SingleTxtGR"/>
        <w:tabs>
          <w:tab w:val="clear" w:pos="1701"/>
        </w:tabs>
        <w:ind w:left="2268" w:hanging="1134"/>
      </w:pPr>
      <w:r w:rsidRPr="00A54529">
        <w:t>12.2</w:t>
      </w:r>
      <w:r w:rsidRPr="00A54529">
        <w:tab/>
        <w:t>Договаривающиеся стороны, применяющие настоящие Правила, предоставляют официальное утверждение только в том случае, е</w:t>
      </w:r>
      <w:r w:rsidRPr="00A54529">
        <w:t>с</w:t>
      </w:r>
      <w:r w:rsidRPr="00A54529">
        <w:t>ли тип транспортного средства, подлежащий официальному утве</w:t>
      </w:r>
      <w:r w:rsidRPr="00A54529">
        <w:t>р</w:t>
      </w:r>
      <w:r w:rsidRPr="00A54529">
        <w:t>ждению, отвечает предписаниям настоящих Правил с внесенными в них поправками серии 11.</w:t>
      </w:r>
    </w:p>
    <w:p w:rsidR="00FB3293" w:rsidRPr="006C312A" w:rsidRDefault="00FB3293" w:rsidP="00FB3293">
      <w:pPr>
        <w:pStyle w:val="SingleTxtGR"/>
        <w:tabs>
          <w:tab w:val="clear" w:pos="1701"/>
        </w:tabs>
        <w:ind w:left="2268" w:hanging="1134"/>
      </w:pPr>
      <w:r w:rsidRPr="00532717">
        <w:tab/>
      </w:r>
      <w:r w:rsidRPr="00A54529">
        <w:t>Независимо от изложенных выше требований соблюдение предп</w:t>
      </w:r>
      <w:r w:rsidRPr="00A54529">
        <w:t>и</w:t>
      </w:r>
      <w:r w:rsidRPr="00A54529">
        <w:t>саний дополнения 7 к поправкам серии 11 не является обязател</w:t>
      </w:r>
      <w:r w:rsidRPr="00A54529">
        <w:t>ь</w:t>
      </w:r>
      <w:r w:rsidRPr="00A54529">
        <w:t>ным для всех новых официальных утверждений типа до 28 октября 2014 года.</w:t>
      </w:r>
    </w:p>
    <w:p w:rsidR="00FB3293" w:rsidRPr="00A54529" w:rsidRDefault="00FB3293" w:rsidP="00FB3293">
      <w:pPr>
        <w:pStyle w:val="SingleTxtGR"/>
        <w:tabs>
          <w:tab w:val="clear" w:pos="1701"/>
        </w:tabs>
        <w:ind w:left="2268" w:hanging="1134"/>
      </w:pPr>
      <w:r w:rsidRPr="00A54529">
        <w:t>12.3</w:t>
      </w:r>
      <w:proofErr w:type="gramStart"/>
      <w:r w:rsidRPr="00A54529">
        <w:tab/>
        <w:t>Н</w:t>
      </w:r>
      <w:proofErr w:type="gramEnd"/>
      <w:r w:rsidRPr="00A54529">
        <w:t>ачиная с дат применения поправок серии 11 к настоящим Прав</w:t>
      </w:r>
      <w:r w:rsidRPr="00A54529">
        <w:t>и</w:t>
      </w:r>
      <w:r w:rsidRPr="00A54529">
        <w:t>лам, указанных в приведенной ниже таблице, Договаривающиеся стороны, применяющие настоящие Правила, не связаны обязател</w:t>
      </w:r>
      <w:r w:rsidRPr="00A54529">
        <w:t>ь</w:t>
      </w:r>
      <w:r w:rsidRPr="00A54529">
        <w:t>ством признавать тип транспортного средства, официально утве</w:t>
      </w:r>
      <w:r w:rsidRPr="00A54529">
        <w:t>р</w:t>
      </w:r>
      <w:r w:rsidRPr="00A54529">
        <w:t>жденный на основании поправок серии 10 к настоящим Правилам.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651"/>
        <w:gridCol w:w="3655"/>
        <w:gridCol w:w="3064"/>
      </w:tblGrid>
      <w:tr w:rsidR="00FB3293" w:rsidRPr="00AF4751" w:rsidTr="007B256E">
        <w:trPr>
          <w:cantSplit/>
          <w:tblHeader/>
        </w:trPr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293" w:rsidRPr="00AF4751" w:rsidRDefault="00FB3293" w:rsidP="007B256E">
            <w:pPr>
              <w:pageBreakBefore/>
              <w:spacing w:before="80" w:after="80" w:line="200" w:lineRule="exact"/>
              <w:rPr>
                <w:i/>
                <w:sz w:val="16"/>
              </w:rPr>
            </w:pPr>
            <w:r w:rsidRPr="00AF4751">
              <w:rPr>
                <w:i/>
                <w:sz w:val="16"/>
              </w:rPr>
              <w:lastRenderedPageBreak/>
              <w:t>Категория транспортного средства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AF4751" w:rsidRDefault="00FB3293" w:rsidP="007B256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F4751">
              <w:rPr>
                <w:i/>
                <w:sz w:val="16"/>
              </w:rPr>
              <w:t>Дата применения (начиная с даты, следующей за датой вступления в силу поправок серии 11 (11 июля 2008 года))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3293" w:rsidRPr="006C312A" w:rsidRDefault="00FB3293" w:rsidP="007B256E">
            <w:pPr>
              <w:tabs>
                <w:tab w:val="left" w:pos="57"/>
              </w:tabs>
              <w:spacing w:before="40" w:after="40"/>
              <w:ind w:left="57" w:hanging="57"/>
            </w:pPr>
            <w:r w:rsidRPr="00C8479B">
              <w:tab/>
            </w:r>
            <w:r w:rsidRPr="006C312A">
              <w:t xml:space="preserve">Транспортные средства, подпадающие под требования об </w:t>
            </w:r>
            <w:proofErr w:type="spellStart"/>
            <w:r w:rsidRPr="006C312A">
              <w:t>ЭКУТ</w:t>
            </w:r>
            <w:proofErr w:type="spellEnd"/>
            <w:r w:rsidRPr="006C312A">
              <w:t xml:space="preserve"> согласно пунк</w:t>
            </w:r>
            <w:r>
              <w:t>там 5.2.1.32</w:t>
            </w:r>
            <w:r>
              <w:br/>
              <w:t>и 5.2.2.23,</w:t>
            </w:r>
            <w:r w:rsidRPr="006C312A">
              <w:t xml:space="preserve"> включая сноски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M</w:t>
            </w:r>
            <w:r w:rsidRPr="00AF4751">
              <w:rPr>
                <w:vertAlign w:val="subscript"/>
              </w:rPr>
              <w:t>2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84 месяца (11 июля 2015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M</w:t>
            </w:r>
            <w:r w:rsidRPr="00AF4751">
              <w:rPr>
                <w:vertAlign w:val="subscript"/>
              </w:rPr>
              <w:t>3</w:t>
            </w:r>
            <w:r w:rsidRPr="006C312A">
              <w:t xml:space="preserve"> (класс </w:t>
            </w:r>
            <w:proofErr w:type="spellStart"/>
            <w:r w:rsidRPr="006C312A">
              <w:t>III</w:t>
            </w:r>
            <w:proofErr w:type="spellEnd"/>
            <w:r w:rsidRPr="006C312A">
              <w:t>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36 месяцев (11 июля 2011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M</w:t>
            </w:r>
            <w:r w:rsidRPr="00AF4751">
              <w:rPr>
                <w:vertAlign w:val="subscript"/>
              </w:rPr>
              <w:t>3</w:t>
            </w:r>
            <w:r>
              <w:t xml:space="preserve"> &lt;16 тонн (пневматическая</w:t>
            </w:r>
            <w:r w:rsidRPr="00AF4751">
              <w:rPr>
                <w:lang w:val="en-US"/>
              </w:rPr>
              <w:br/>
            </w:r>
            <w:r w:rsidRPr="006C312A">
              <w:t>трансмиссия)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48 месяцев (11 июля 2012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M</w:t>
            </w:r>
            <w:r w:rsidRPr="00AF4751">
              <w:rPr>
                <w:vertAlign w:val="subscript"/>
              </w:rPr>
              <w:t>3</w:t>
            </w:r>
            <w:r w:rsidRPr="006C312A">
              <w:t xml:space="preserve"> (класс </w:t>
            </w:r>
            <w:proofErr w:type="spellStart"/>
            <w:r w:rsidRPr="006C312A">
              <w:t>II</w:t>
            </w:r>
            <w:proofErr w:type="spellEnd"/>
            <w:r w:rsidRPr="006C312A">
              <w:t xml:space="preserve"> и B) (гидравлическая трансмиссия)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84 месяца (11 июля 2015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M</w:t>
            </w:r>
            <w:r w:rsidRPr="00AF4751">
              <w:rPr>
                <w:vertAlign w:val="subscript"/>
              </w:rPr>
              <w:t xml:space="preserve">3 </w:t>
            </w:r>
            <w:r>
              <w:t xml:space="preserve">(класс </w:t>
            </w:r>
            <w:proofErr w:type="spellStart"/>
            <w:r>
              <w:t>III</w:t>
            </w:r>
            <w:proofErr w:type="spellEnd"/>
            <w:r>
              <w:t>) (гидравлическая</w:t>
            </w:r>
            <w:r w:rsidRPr="00B655D1">
              <w:br/>
            </w:r>
            <w:r w:rsidRPr="006C312A">
              <w:t>трансмиссия)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84 месяца (11 июля 2015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M</w:t>
            </w:r>
            <w:r w:rsidRPr="00AF4751">
              <w:rPr>
                <w:vertAlign w:val="subscript"/>
              </w:rPr>
              <w:t>3</w:t>
            </w:r>
            <w:r w:rsidRPr="006C312A">
              <w:t xml:space="preserve"> (класс </w:t>
            </w:r>
            <w:proofErr w:type="spellStart"/>
            <w:r w:rsidRPr="006C312A">
              <w:t>III</w:t>
            </w:r>
            <w:proofErr w:type="spellEnd"/>
            <w:r w:rsidRPr="006C312A">
              <w:t>) (</w:t>
            </w:r>
            <w:proofErr w:type="spellStart"/>
            <w:r w:rsidRPr="006C312A">
              <w:t>пневмоуправляемая</w:t>
            </w:r>
            <w:proofErr w:type="spellEnd"/>
            <w:r w:rsidRPr="006C312A">
              <w:t xml:space="preserve"> трансмиссия и гидроэнергетическая трансмиссия)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96 месяцев (11 июля 2016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M</w:t>
            </w:r>
            <w:r w:rsidRPr="00AF4751">
              <w:rPr>
                <w:vertAlign w:val="subscript"/>
              </w:rPr>
              <w:t>3</w:t>
            </w:r>
            <w:r w:rsidRPr="006C312A">
              <w:t xml:space="preserve"> (класс </w:t>
            </w:r>
            <w:proofErr w:type="spellStart"/>
            <w:r w:rsidRPr="006C312A">
              <w:t>II</w:t>
            </w:r>
            <w:proofErr w:type="spellEnd"/>
            <w:r w:rsidRPr="006C312A">
              <w:t>) (</w:t>
            </w:r>
            <w:proofErr w:type="spellStart"/>
            <w:r w:rsidRPr="006C312A">
              <w:t>пневмоуправляемая</w:t>
            </w:r>
            <w:proofErr w:type="spellEnd"/>
            <w:r w:rsidRPr="006C312A">
              <w:t xml:space="preserve"> трансмиссия и гидроэнергетическая трансмиссия)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96 месяцев (11 июля 2016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М</w:t>
            </w:r>
            <w:r w:rsidRPr="00AF4751">
              <w:rPr>
                <w:vertAlign w:val="subscript"/>
              </w:rPr>
              <w:t>3</w:t>
            </w:r>
            <w:r w:rsidRPr="006C312A">
              <w:t xml:space="preserve"> (кроме указанных выше)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48 месяцев (11 июля 2012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N</w:t>
            </w:r>
            <w:r w:rsidRPr="00AF4751">
              <w:rPr>
                <w:vertAlign w:val="subscript"/>
              </w:rPr>
              <w:t>2</w:t>
            </w:r>
            <w:r w:rsidRPr="006C312A">
              <w:t xml:space="preserve"> (гидравлическая трансмиссия)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84 месяца (11 июля 2015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N</w:t>
            </w:r>
            <w:r w:rsidRPr="00AF4751">
              <w:rPr>
                <w:vertAlign w:val="subscript"/>
              </w:rPr>
              <w:t>2</w:t>
            </w:r>
            <w:r w:rsidRPr="006C312A">
              <w:t xml:space="preserve"> (</w:t>
            </w:r>
            <w:proofErr w:type="spellStart"/>
            <w:r w:rsidRPr="006C312A">
              <w:t>пневмоуправляемая</w:t>
            </w:r>
            <w:proofErr w:type="spellEnd"/>
            <w:r w:rsidRPr="006C312A">
              <w:t xml:space="preserve"> трансми</w:t>
            </w:r>
            <w:r>
              <w:t>ссия</w:t>
            </w:r>
            <w:r w:rsidRPr="00B655D1">
              <w:br/>
            </w:r>
            <w:r w:rsidRPr="006C312A">
              <w:t>и гидроэнергетическая трансмиссия)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96 месяцев (11 июля 2016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N</w:t>
            </w:r>
            <w:r w:rsidRPr="00AF4751">
              <w:rPr>
                <w:vertAlign w:val="subscript"/>
              </w:rPr>
              <w:t>2</w:t>
            </w:r>
            <w:r w:rsidRPr="006C312A">
              <w:t xml:space="preserve"> (кроме указанных выше)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72 месяца (11 июля 2014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N</w:t>
            </w:r>
            <w:r w:rsidRPr="00AF4751">
              <w:rPr>
                <w:vertAlign w:val="subscript"/>
              </w:rPr>
              <w:t>3</w:t>
            </w:r>
            <w:r>
              <w:t xml:space="preserve"> (тягачи с двумя осями для</w:t>
            </w:r>
            <w:r w:rsidRPr="00B655D1">
              <w:br/>
            </w:r>
            <w:r w:rsidRPr="006C312A">
              <w:t>полуприцепов)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36 месяцев (11 июля 2011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N</w:t>
            </w:r>
            <w:r w:rsidRPr="00AF4751">
              <w:rPr>
                <w:vertAlign w:val="subscript"/>
              </w:rPr>
              <w:t>3</w:t>
            </w:r>
            <w:r>
              <w:t xml:space="preserve"> (тягачи с двумя осями для</w:t>
            </w:r>
            <w:r w:rsidRPr="00B655D1">
              <w:br/>
            </w:r>
            <w:r w:rsidRPr="006C312A">
              <w:t xml:space="preserve">полуприцепов с </w:t>
            </w:r>
            <w:proofErr w:type="spellStart"/>
            <w:r w:rsidRPr="006C312A">
              <w:t>пневмоуправляемой</w:t>
            </w:r>
            <w:proofErr w:type="spellEnd"/>
            <w:r w:rsidRPr="006C312A">
              <w:t xml:space="preserve"> трансмиссией (</w:t>
            </w:r>
            <w:proofErr w:type="spellStart"/>
            <w:r w:rsidRPr="006C312A">
              <w:t>АБС</w:t>
            </w:r>
            <w:proofErr w:type="spellEnd"/>
            <w:r w:rsidRPr="006C312A">
              <w:t>))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60 месяцев (11 июля 2013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N</w:t>
            </w:r>
            <w:r w:rsidRPr="00AF4751">
              <w:rPr>
                <w:vertAlign w:val="subscript"/>
              </w:rPr>
              <w:t>3</w:t>
            </w:r>
            <w:r>
              <w:t xml:space="preserve"> (с тремя осями и трансмиссией</w:t>
            </w:r>
            <w:r w:rsidRPr="00B655D1">
              <w:br/>
            </w:r>
            <w:r w:rsidRPr="006C312A">
              <w:t>с электронным управлением (</w:t>
            </w:r>
            <w:proofErr w:type="spellStart"/>
            <w:r w:rsidRPr="006C312A">
              <w:t>ЭТС</w:t>
            </w:r>
            <w:proofErr w:type="spellEnd"/>
            <w:r w:rsidRPr="006C312A">
              <w:t>))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60 месяцев (11 июля 2013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N</w:t>
            </w:r>
            <w:r w:rsidRPr="00AF4751">
              <w:rPr>
                <w:vertAlign w:val="subscript"/>
              </w:rPr>
              <w:t>3</w:t>
            </w:r>
            <w:r w:rsidRPr="006C312A">
              <w:t xml:space="preserve"> (с двумя и тремя осями и </w:t>
            </w:r>
            <w:proofErr w:type="spellStart"/>
            <w:r w:rsidRPr="006C312A">
              <w:t>пневм</w:t>
            </w:r>
            <w:r w:rsidRPr="006C312A">
              <w:t>о</w:t>
            </w:r>
            <w:r w:rsidRPr="006C312A">
              <w:t>управляемой</w:t>
            </w:r>
            <w:proofErr w:type="spellEnd"/>
            <w:r w:rsidRPr="006C312A">
              <w:t xml:space="preserve"> трансмиссией (</w:t>
            </w:r>
            <w:proofErr w:type="spellStart"/>
            <w:r w:rsidRPr="006C312A">
              <w:t>АБС</w:t>
            </w:r>
            <w:proofErr w:type="spellEnd"/>
            <w:r w:rsidRPr="006C312A">
              <w:t>))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72 месяца (11 июля 2014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N</w:t>
            </w:r>
            <w:r w:rsidRPr="00AF4751">
              <w:rPr>
                <w:vertAlign w:val="subscript"/>
              </w:rPr>
              <w:t>3</w:t>
            </w:r>
            <w:r w:rsidRPr="006C312A">
              <w:t xml:space="preserve"> (кроме указанных выше)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48 месяцев (11 июля 2013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O</w:t>
            </w:r>
            <w:r w:rsidRPr="00AF4751">
              <w:rPr>
                <w:vertAlign w:val="subscript"/>
              </w:rPr>
              <w:t>3</w:t>
            </w:r>
            <w:r>
              <w:t xml:space="preserve"> (с комбинированной нагрузкой</w:t>
            </w:r>
            <w:r w:rsidRPr="00B655D1">
              <w:br/>
            </w:r>
            <w:r w:rsidRPr="006C312A">
              <w:t xml:space="preserve">на ось </w:t>
            </w:r>
            <w:r>
              <w:t>3,5</w:t>
            </w:r>
            <w:r w:rsidRPr="00B655D1">
              <w:t>−</w:t>
            </w:r>
            <w:r w:rsidRPr="006C312A">
              <w:t>7,5 т)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72 месяца (11 июля 2014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О</w:t>
            </w:r>
            <w:r w:rsidRPr="00AF4751">
              <w:rPr>
                <w:vertAlign w:val="subscript"/>
              </w:rPr>
              <w:t>3</w:t>
            </w:r>
            <w:r w:rsidRPr="006C312A">
              <w:t xml:space="preserve"> (кроме указанных выше)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60 месяцев (11 июля 2013 года)</w:t>
            </w:r>
          </w:p>
        </w:tc>
      </w:tr>
      <w:tr w:rsidR="00FB3293" w:rsidRPr="006C312A" w:rsidTr="007B256E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12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O</w:t>
            </w:r>
            <w:r w:rsidRPr="00AF4751">
              <w:rPr>
                <w:vertAlign w:val="subscript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  <w:jc w:val="center"/>
            </w:pPr>
            <w:r w:rsidRPr="006C312A">
              <w:t>36 месяцев (11 июля 2011 года)</w:t>
            </w:r>
          </w:p>
        </w:tc>
      </w:tr>
      <w:tr w:rsidR="00FB3293" w:rsidRPr="006C312A" w:rsidTr="007B256E">
        <w:trPr>
          <w:cantSplit/>
        </w:trPr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3293" w:rsidRPr="006C312A" w:rsidRDefault="00FB3293" w:rsidP="007B256E">
            <w:pPr>
              <w:spacing w:before="40" w:after="40" w:line="220" w:lineRule="exact"/>
            </w:pPr>
            <w:r w:rsidRPr="006C312A">
              <w:t>Транспо</w:t>
            </w:r>
            <w:r>
              <w:t>ртные средства категорий</w:t>
            </w:r>
            <w:r w:rsidRPr="006C312A">
              <w:t xml:space="preserve"> М, N и</w:t>
            </w:r>
            <w:proofErr w:type="gramStart"/>
            <w:r w:rsidRPr="006C312A">
              <w:t xml:space="preserve"> О</w:t>
            </w:r>
            <w:proofErr w:type="gramEnd"/>
            <w:r w:rsidRPr="006C312A">
              <w:t>, не подпадающие под требования</w:t>
            </w:r>
            <w:r>
              <w:t xml:space="preserve"> об обесп</w:t>
            </w:r>
            <w:r>
              <w:t>е</w:t>
            </w:r>
            <w:r>
              <w:t>чении устойчивости</w:t>
            </w:r>
            <w:r w:rsidRPr="006C312A">
              <w:t xml:space="preserve"> </w:t>
            </w:r>
            <w:r>
              <w:t>(</w:t>
            </w:r>
            <w:r w:rsidRPr="006C312A">
              <w:t>согласно пун</w:t>
            </w:r>
            <w:r w:rsidRPr="006C312A">
              <w:t>к</w:t>
            </w:r>
            <w:r>
              <w:t>там</w:t>
            </w:r>
            <w:r w:rsidRPr="00AF4751">
              <w:rPr>
                <w:lang w:val="en-US"/>
              </w:rPr>
              <w:t> </w:t>
            </w:r>
            <w:r w:rsidRPr="006C312A">
              <w:t>5.2.1.32 и 5.2.2.23, включая сноски</w:t>
            </w:r>
            <w:r>
              <w:t>),</w:t>
            </w:r>
            <w:r w:rsidRPr="00AB67E9">
              <w:br/>
            </w:r>
            <w:r>
              <w:t>но подпадающие под другие требования,</w:t>
            </w:r>
            <w:r w:rsidRPr="00AB67E9">
              <w:br/>
            </w:r>
            <w:r>
              <w:t>предусмотренные в поправках серии 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B3293" w:rsidRPr="00AB67E9" w:rsidRDefault="00FB3293" w:rsidP="007B256E">
            <w:pPr>
              <w:spacing w:before="40" w:after="40" w:line="220" w:lineRule="exact"/>
              <w:jc w:val="center"/>
            </w:pPr>
            <w:r w:rsidRPr="006C312A">
              <w:t>24 октября 2016 года</w:t>
            </w:r>
          </w:p>
        </w:tc>
      </w:tr>
    </w:tbl>
    <w:p w:rsidR="00FB3293" w:rsidRPr="00B76B08" w:rsidRDefault="00FB3293" w:rsidP="00FB3293">
      <w:pPr>
        <w:pStyle w:val="SingleTxtGR"/>
        <w:tabs>
          <w:tab w:val="clear" w:pos="1701"/>
        </w:tabs>
        <w:spacing w:before="120"/>
        <w:ind w:left="2268" w:hanging="1134"/>
      </w:pPr>
      <w:r w:rsidRPr="00A54529">
        <w:t>12.4</w:t>
      </w:r>
      <w:r w:rsidRPr="00A54529">
        <w:tab/>
        <w:t>Независимо от требований пункта 12.3 до 24 октября 2016 года ни одна из Договаривающихся сторон, применяющих настоящие Пр</w:t>
      </w:r>
      <w:r w:rsidRPr="00A54529">
        <w:t>а</w:t>
      </w:r>
      <w:r w:rsidRPr="00A54529">
        <w:t xml:space="preserve">вила, не отказывает в </w:t>
      </w:r>
      <w:r w:rsidRPr="008C0B5E">
        <w:t>официальном утверждении</w:t>
      </w:r>
      <w:r w:rsidRPr="00A54529">
        <w:t xml:space="preserve"> типа транспор</w:t>
      </w:r>
      <w:r w:rsidRPr="00A54529">
        <w:t>т</w:t>
      </w:r>
      <w:r w:rsidRPr="00A54529">
        <w:t>ного средства, который не отвечает предписаниям допол</w:t>
      </w:r>
      <w:r>
        <w:t xml:space="preserve">нения 2 </w:t>
      </w:r>
      <w:r w:rsidRPr="00A54529">
        <w:t>к</w:t>
      </w:r>
      <w:r>
        <w:t> </w:t>
      </w:r>
      <w:r w:rsidRPr="00A54529">
        <w:t>поправкам серии 11 к настоящим Правилам.</w:t>
      </w:r>
    </w:p>
    <w:p w:rsidR="00FB3293" w:rsidRPr="00B76B08" w:rsidRDefault="00FB3293" w:rsidP="00FB3293">
      <w:pPr>
        <w:pStyle w:val="SingleTxtGR"/>
        <w:tabs>
          <w:tab w:val="clear" w:pos="1701"/>
        </w:tabs>
        <w:spacing w:before="120"/>
        <w:ind w:left="2268" w:hanging="1134"/>
        <w:rPr>
          <w:b/>
        </w:rPr>
      </w:pPr>
      <w:r w:rsidRPr="00A54529">
        <w:t>12.5</w:t>
      </w:r>
      <w:r w:rsidRPr="00A54529">
        <w:tab/>
      </w:r>
      <w:r w:rsidRPr="008C0B5E">
        <w:t>Договаривающиеся стороны, применяющие настоящие Правила, не отказывают в распространении официальных утверждений типа на существующие типы, предоставленных в соответствии с требов</w:t>
      </w:r>
      <w:r w:rsidRPr="008C0B5E">
        <w:t>а</w:t>
      </w:r>
      <w:r w:rsidRPr="008C0B5E">
        <w:t>ниями, которые существовали на момент первоначального офиц</w:t>
      </w:r>
      <w:r w:rsidRPr="008C0B5E">
        <w:t>и</w:t>
      </w:r>
      <w:r w:rsidRPr="008C0B5E">
        <w:t>ального утверждения.</w:t>
      </w:r>
    </w:p>
    <w:p w:rsidR="00FB3293" w:rsidRPr="00B76B08" w:rsidRDefault="00FB3293" w:rsidP="00FB3293">
      <w:pPr>
        <w:pStyle w:val="SingleTxtGR"/>
        <w:tabs>
          <w:tab w:val="clear" w:pos="1701"/>
        </w:tabs>
        <w:spacing w:before="120"/>
        <w:ind w:left="2268" w:hanging="1134"/>
      </w:pPr>
      <w:r w:rsidRPr="00A54529">
        <w:t>12.6</w:t>
      </w:r>
      <w:r w:rsidRPr="00A54529">
        <w:tab/>
        <w:t>Независимо от переходных положений, изложенных выше, Догов</w:t>
      </w:r>
      <w:r w:rsidRPr="00A54529">
        <w:t>а</w:t>
      </w:r>
      <w:r w:rsidRPr="00A54529">
        <w:t>ривающиеся стороны, для которых применение настоящих Правил вступает в силу после даты вступления в силу самой последней с</w:t>
      </w:r>
      <w:r w:rsidRPr="00A54529">
        <w:t>е</w:t>
      </w:r>
      <w:r w:rsidRPr="00A54529">
        <w:t xml:space="preserve">рии поправок, не связаны обязательством </w:t>
      </w:r>
      <w:proofErr w:type="gramStart"/>
      <w:r w:rsidRPr="00A54529">
        <w:t>признавать</w:t>
      </w:r>
      <w:proofErr w:type="gramEnd"/>
      <w:r w:rsidRPr="00A54529">
        <w:t xml:space="preserve"> официальные утверждения, которые были предоставлены в соответствии с какой-либо предыдущей серией поправок к настоящим Правилам.</w:t>
      </w:r>
    </w:p>
    <w:p w:rsidR="00FB3293" w:rsidRPr="00A54529" w:rsidRDefault="00FB3293" w:rsidP="00FB3293">
      <w:pPr>
        <w:pStyle w:val="SingleTxtGR"/>
        <w:tabs>
          <w:tab w:val="clear" w:pos="1701"/>
        </w:tabs>
        <w:spacing w:before="120"/>
        <w:ind w:left="2268" w:hanging="1134"/>
      </w:pPr>
      <w:r w:rsidRPr="00A54529">
        <w:t>12.7</w:t>
      </w:r>
      <w:proofErr w:type="gramStart"/>
      <w:r w:rsidRPr="00A54529">
        <w:tab/>
        <w:t>П</w:t>
      </w:r>
      <w:proofErr w:type="gramEnd"/>
      <w:r w:rsidRPr="00A54529">
        <w:t>о истечении 24 месяцев после даты вступления в силу дополн</w:t>
      </w:r>
      <w:r w:rsidRPr="00A54529">
        <w:t>е</w:t>
      </w:r>
      <w:r>
        <w:t>ния 12</w:t>
      </w:r>
      <w:r w:rsidRPr="00A54529">
        <w:t xml:space="preserve"> к поправкам серии 11 Договаривающиеся стороны, прим</w:t>
      </w:r>
      <w:r w:rsidRPr="00A54529">
        <w:t>е</w:t>
      </w:r>
      <w:r w:rsidRPr="00A54529">
        <w:t>няющие настоящие Правила, предоставляют официальные утве</w:t>
      </w:r>
      <w:r w:rsidRPr="00A54529">
        <w:t>р</w:t>
      </w:r>
      <w:r w:rsidRPr="00A54529">
        <w:t>ждения типа только в том случае, если тип транспортного средства, подлежащий официальному утверждению, удовлетворяет предп</w:t>
      </w:r>
      <w:r w:rsidRPr="00A54529">
        <w:t>и</w:t>
      </w:r>
      <w:r w:rsidRPr="00A54529">
        <w:t>саниям настоящих Правил с поправками, внесенными в соотве</w:t>
      </w:r>
      <w:r w:rsidRPr="00A54529">
        <w:t>т</w:t>
      </w:r>
      <w:r w:rsidRPr="00A54529">
        <w:t>ст</w:t>
      </w:r>
      <w:r>
        <w:t>вии с дополнением 12</w:t>
      </w:r>
      <w:r w:rsidRPr="00A54529">
        <w:t xml:space="preserve"> к поправкам серии 11</w:t>
      </w:r>
      <w:r>
        <w:t>"</w:t>
      </w:r>
      <w:r w:rsidRPr="00A54529">
        <w:t>.</w:t>
      </w:r>
    </w:p>
    <w:p w:rsidR="00FB3293" w:rsidRDefault="00FB3293" w:rsidP="00FB3293">
      <w:pPr>
        <w:pStyle w:val="SingleTxtGR"/>
        <w:rPr>
          <w:i/>
        </w:rPr>
      </w:pPr>
      <w:r w:rsidRPr="00A54529">
        <w:rPr>
          <w:i/>
        </w:rPr>
        <w:t>Приложение 21</w:t>
      </w:r>
    </w:p>
    <w:p w:rsidR="00FB3293" w:rsidRPr="00A54529" w:rsidRDefault="00FB3293" w:rsidP="00FB3293">
      <w:pPr>
        <w:pStyle w:val="SingleTxtGR"/>
      </w:pPr>
      <w:r>
        <w:rPr>
          <w:i/>
        </w:rPr>
        <w:t>П</w:t>
      </w:r>
      <w:r w:rsidRPr="00A54529">
        <w:rPr>
          <w:i/>
        </w:rPr>
        <w:t>ункт 2.1.4</w:t>
      </w:r>
      <w:r w:rsidRPr="00A54529">
        <w:t xml:space="preserve"> изменить следующим образом:</w:t>
      </w:r>
    </w:p>
    <w:p w:rsidR="00FB3293" w:rsidRPr="00865810" w:rsidRDefault="00FB3293" w:rsidP="00FB3293">
      <w:pPr>
        <w:pStyle w:val="SingleTxtGR"/>
        <w:tabs>
          <w:tab w:val="clear" w:pos="1701"/>
        </w:tabs>
        <w:ind w:left="2268" w:hanging="1134"/>
      </w:pPr>
      <w:r w:rsidRPr="00A54529">
        <w:t>"2.1.4</w:t>
      </w:r>
      <w:r w:rsidRPr="00A54529">
        <w:tab/>
        <w:t>Задействование функции обеспечения устойчивости транспортного средства указывается водителю с помощью мигающего оптическ</w:t>
      </w:r>
      <w:r w:rsidRPr="00A54529">
        <w:t>о</w:t>
      </w:r>
      <w:r w:rsidRPr="00A54529">
        <w:t>го предупреждающего сигнала</w:t>
      </w:r>
      <w:r w:rsidRPr="00865810">
        <w:t>, удовлетворяющего соответству</w:t>
      </w:r>
      <w:r w:rsidRPr="00865810">
        <w:t>ю</w:t>
      </w:r>
      <w:r w:rsidRPr="00865810">
        <w:t>щим техническим требованиям Правил № 121.</w:t>
      </w:r>
      <w:r w:rsidRPr="00A54529">
        <w:t xml:space="preserve"> Он остается вкл</w:t>
      </w:r>
      <w:r w:rsidRPr="00A54529">
        <w:t>ю</w:t>
      </w:r>
      <w:r w:rsidRPr="00A54529">
        <w:t>ченным до тех пор, пока функция обеспечения устойчивости транспортного средства продолжает действовать.</w:t>
      </w:r>
      <w:r w:rsidRPr="00865810">
        <w:t xml:space="preserve"> Использование предупреждающего сигнала, указанного в пункте 5.2.1.29.1.2 настоящих Правил, не допускается.</w:t>
      </w:r>
    </w:p>
    <w:p w:rsidR="00FB3293" w:rsidRPr="00A54529" w:rsidRDefault="00FB3293" w:rsidP="00FB3293">
      <w:pPr>
        <w:pStyle w:val="SingleTxtGR"/>
        <w:tabs>
          <w:tab w:val="clear" w:pos="1701"/>
        </w:tabs>
      </w:pPr>
      <w:r w:rsidRPr="00A54529">
        <w:tab/>
      </w:r>
      <w:r>
        <w:t>Кроме того</w:t>
      </w:r>
      <w:r w:rsidRPr="00A54529">
        <w:t xml:space="preserve">... </w:t>
      </w:r>
    </w:p>
    <w:p w:rsidR="00FB3293" w:rsidRPr="00A54529" w:rsidRDefault="00FB3293" w:rsidP="00FB3293">
      <w:pPr>
        <w:pStyle w:val="SingleTxtGR"/>
        <w:tabs>
          <w:tab w:val="clear" w:pos="1701"/>
        </w:tabs>
        <w:ind w:left="2268" w:hanging="1134"/>
      </w:pPr>
      <w:r w:rsidRPr="00A54529">
        <w:tab/>
      </w:r>
      <w:r>
        <w:t xml:space="preserve">… </w:t>
      </w:r>
      <w:r w:rsidRPr="00A54529">
        <w:t>не должен включаться при задействовании функции обеспечения устойчивости транспортного средства в любом из обучающих р</w:t>
      </w:r>
      <w:r w:rsidRPr="00A54529">
        <w:t>е</w:t>
      </w:r>
      <w:r w:rsidRPr="00A54529">
        <w:t>жимов для определения рабочих характеристик транспортного средства</w:t>
      </w:r>
      <w:r>
        <w:t>".</w:t>
      </w:r>
    </w:p>
    <w:p w:rsidR="00FB3293" w:rsidRPr="00A54529" w:rsidRDefault="00FB3293" w:rsidP="00FB3293">
      <w:pPr>
        <w:pStyle w:val="SingleTxtGR"/>
      </w:pPr>
      <w:r w:rsidRPr="00A54529">
        <w:rPr>
          <w:i/>
        </w:rPr>
        <w:t>Пункт 2.1.5</w:t>
      </w:r>
      <w:r w:rsidRPr="00A54529">
        <w:t xml:space="preserve"> изменить следующим образом:</w:t>
      </w:r>
    </w:p>
    <w:p w:rsidR="00FB3293" w:rsidRPr="001E165F" w:rsidRDefault="00FB3293" w:rsidP="00FB3293">
      <w:pPr>
        <w:pStyle w:val="SingleTxtGR"/>
        <w:ind w:left="2268" w:hanging="1134"/>
      </w:pPr>
      <w:r w:rsidRPr="00A54529">
        <w:t>"2.1.5</w:t>
      </w:r>
      <w:r w:rsidRPr="00A54529">
        <w:tab/>
      </w:r>
      <w:r w:rsidRPr="00B76B08">
        <w:tab/>
      </w:r>
      <w:r w:rsidRPr="00A54529">
        <w:t>Неисправность или несрабатывание функции обеспечения усто</w:t>
      </w:r>
      <w:r w:rsidRPr="00A54529">
        <w:t>й</w:t>
      </w:r>
      <w:r w:rsidRPr="00A54529">
        <w:t>чивости транспортного средства выявляются и указываются вод</w:t>
      </w:r>
      <w:r w:rsidRPr="00A54529">
        <w:t>и</w:t>
      </w:r>
      <w:r w:rsidRPr="00A54529">
        <w:t>телю с помощью оптического предупреждающего сигнала</w:t>
      </w:r>
      <w:r w:rsidRPr="001E165F">
        <w:t>, удовл</w:t>
      </w:r>
      <w:r w:rsidRPr="001E165F">
        <w:t>е</w:t>
      </w:r>
      <w:r w:rsidRPr="001E165F">
        <w:t>творяющего соответствующим техническим требованиям Пр</w:t>
      </w:r>
      <w:r w:rsidRPr="001E165F">
        <w:t>а</w:t>
      </w:r>
      <w:r>
        <w:t>вил </w:t>
      </w:r>
      <w:r w:rsidRPr="001E165F">
        <w:t>№ 121.</w:t>
      </w:r>
    </w:p>
    <w:p w:rsidR="00FB3293" w:rsidRPr="00A54529" w:rsidRDefault="00FB3293" w:rsidP="00FB3293">
      <w:pPr>
        <w:pStyle w:val="SingleTxtGR"/>
        <w:tabs>
          <w:tab w:val="clear" w:pos="1701"/>
        </w:tabs>
        <w:ind w:left="2268" w:hanging="1134"/>
      </w:pPr>
      <w:r w:rsidRPr="00532717">
        <w:rPr>
          <w:b/>
        </w:rPr>
        <w:tab/>
      </w:r>
      <w:r w:rsidRPr="00A54529">
        <w:t>Использование предупреждающего сигна</w:t>
      </w:r>
      <w:r>
        <w:t>ла, указанного в пун</w:t>
      </w:r>
      <w:r>
        <w:t>к</w:t>
      </w:r>
      <w:r>
        <w:t>те</w:t>
      </w:r>
      <w:r>
        <w:rPr>
          <w:lang w:val="en-US"/>
        </w:rPr>
        <w:t> </w:t>
      </w:r>
      <w:r>
        <w:t>5.2.1.29.1.2</w:t>
      </w:r>
      <w:r w:rsidRPr="00A54529">
        <w:t xml:space="preserve"> настоящих Правил</w:t>
      </w:r>
      <w:r>
        <w:t>,</w:t>
      </w:r>
      <w:r w:rsidRPr="00A54529">
        <w:t xml:space="preserve"> </w:t>
      </w:r>
      <w:r w:rsidRPr="001E165F">
        <w:t>не допускается.</w:t>
      </w:r>
    </w:p>
    <w:p w:rsidR="00FB3293" w:rsidRPr="00A54529" w:rsidRDefault="00FB3293" w:rsidP="00FB3293">
      <w:pPr>
        <w:pStyle w:val="SingleTxtGR"/>
        <w:tabs>
          <w:tab w:val="clear" w:pos="1701"/>
        </w:tabs>
        <w:ind w:left="2268" w:hanging="1134"/>
      </w:pPr>
      <w:r w:rsidRPr="00A54529">
        <w:tab/>
        <w:t>Этот предупреждающий сигнал должен быть постоянным и должен подаваться до тех пор, пока сохраняется неисправность либо несрабатывание и включатель зажигания (пусковой переключатель) находится в положении "включено" (</w:t>
      </w:r>
      <w:r>
        <w:t xml:space="preserve">в </w:t>
      </w:r>
      <w:r w:rsidRPr="00A54529">
        <w:t>рабочем положении)".</w:t>
      </w:r>
    </w:p>
    <w:p w:rsidR="00FB3293" w:rsidRPr="00A54529" w:rsidRDefault="00FB3293" w:rsidP="00FB3293">
      <w:pPr>
        <w:pStyle w:val="SingleTxtGR"/>
        <w:pageBreakBefore/>
      </w:pPr>
      <w:r w:rsidRPr="00A54529">
        <w:rPr>
          <w:i/>
        </w:rPr>
        <w:t>Пункт 2.1.6</w:t>
      </w:r>
      <w:r w:rsidRPr="00A54529">
        <w:t xml:space="preserve"> изменить следующим образом:</w:t>
      </w:r>
    </w:p>
    <w:p w:rsidR="00FB3293" w:rsidRDefault="00FB3293" w:rsidP="00FB3293">
      <w:pPr>
        <w:pStyle w:val="SingleTxtGR"/>
        <w:tabs>
          <w:tab w:val="clear" w:pos="1701"/>
        </w:tabs>
        <w:ind w:left="2268" w:hanging="1134"/>
      </w:pPr>
      <w:r w:rsidRPr="00A54529">
        <w:t>"2.1.6</w:t>
      </w:r>
      <w:proofErr w:type="gramStart"/>
      <w:r w:rsidRPr="00A54529">
        <w:tab/>
        <w:t>В</w:t>
      </w:r>
      <w:proofErr w:type="gramEnd"/>
      <w:r w:rsidRPr="00A54529">
        <w:t xml:space="preserve"> случае механического транспортного средства, оборудованного электрической линией управления и соединенного с прицепом при помощи электрической линии управления, водитель должен пред</w:t>
      </w:r>
      <w:r w:rsidRPr="00A54529">
        <w:t>у</w:t>
      </w:r>
      <w:r w:rsidRPr="00A54529">
        <w:t xml:space="preserve">преждаться при помощи четкого оптического предупреждающего сигнала, </w:t>
      </w:r>
      <w:r w:rsidRPr="001E165F">
        <w:t>удовлетворяющего соответствующим техническим треб</w:t>
      </w:r>
      <w:r w:rsidRPr="001E165F">
        <w:t>о</w:t>
      </w:r>
      <w:r w:rsidRPr="001E165F">
        <w:t>ваниям Правил № 121,</w:t>
      </w:r>
      <w:r w:rsidRPr="00A54529">
        <w:t xml:space="preserve"> о передаче с прицепа информации "</w:t>
      </w:r>
      <w:proofErr w:type="spellStart"/>
      <w:r w:rsidRPr="00A54529">
        <w:t>VDC</w:t>
      </w:r>
      <w:proofErr w:type="spellEnd"/>
      <w:r w:rsidRPr="00A54529">
        <w:t xml:space="preserve"> включена" через блок передачи данных электрической линии управления. Для этой цели может использоваться оптический си</w:t>
      </w:r>
      <w:r w:rsidRPr="00A54529">
        <w:t>г</w:t>
      </w:r>
      <w:r w:rsidRPr="00A54529">
        <w:t>нал, указанный в пункте 2.1.4 выше".</w:t>
      </w:r>
    </w:p>
    <w:p w:rsidR="00457F00" w:rsidRPr="00E50E2D" w:rsidRDefault="00FB3293" w:rsidP="00457F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7F00" w:rsidRPr="00E50E2D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AF" w:rsidRDefault="00ED14AF">
      <w:r>
        <w:rPr>
          <w:lang w:val="en-US"/>
        </w:rPr>
        <w:tab/>
      </w:r>
      <w:r>
        <w:separator/>
      </w:r>
    </w:p>
  </w:endnote>
  <w:endnote w:type="continuationSeparator" w:id="0">
    <w:p w:rsidR="00ED14AF" w:rsidRDefault="00ED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84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84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202BB2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AF" w:rsidRPr="00F71F63" w:rsidRDefault="00ED14A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D14AF" w:rsidRPr="00F71F63" w:rsidRDefault="00ED14A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D14AF" w:rsidRPr="00635E86" w:rsidRDefault="00ED14AF" w:rsidP="00635E86">
      <w:pPr>
        <w:pStyle w:val="Footer"/>
      </w:pPr>
    </w:p>
  </w:footnote>
  <w:footnote w:id="1">
    <w:p w:rsidR="00AB5F6D" w:rsidRPr="00AB5F6D" w:rsidRDefault="00AB5F6D">
      <w:pPr>
        <w:pStyle w:val="FootnoteText"/>
        <w:rPr>
          <w:lang w:val="ru-RU"/>
        </w:rPr>
      </w:pPr>
      <w:r>
        <w:rPr>
          <w:rStyle w:val="FootnoteReference"/>
        </w:rPr>
        <w:tab/>
      </w:r>
      <w:r w:rsidRPr="00AB5F6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4F132C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Pr="00816B81">
      <w:t>/Rev.1/Add.12/Rev.8/Amend.2</w:t>
    </w:r>
    <w:r w:rsidR="004276E3">
      <w:rPr>
        <w:lang w:val="en-US"/>
      </w:rP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Pr="00816B81">
      <w:t>/Rev.1/Add.12/Rev.8/Amend.2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6C3348">
      <w:t>E/</w:t>
    </w:r>
    <w:proofErr w:type="spellStart"/>
    <w:r w:rsidR="006C3348">
      <w:t>ECE</w:t>
    </w:r>
    <w:proofErr w:type="spellEnd"/>
    <w:r w:rsidR="006C3348">
      <w:t>/324/Rev.1/Add.12/Rev.8/Amend.2</w:t>
    </w:r>
    <w:r>
      <w:rPr>
        <w:lang w:val="en-US"/>
      </w:rPr>
      <w:br/>
    </w:r>
    <w:r w:rsidR="006C3348">
      <w:t>E/</w:t>
    </w:r>
    <w:proofErr w:type="spellStart"/>
    <w:r w:rsidR="006C3348">
      <w:t>ECE</w:t>
    </w:r>
    <w:proofErr w:type="spellEnd"/>
    <w:r w:rsidR="006C3348">
      <w:t>/TRANS/505/Rev.1/Add.12/Rev.8/Amend.2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06D"/>
    <w:rsid w:val="00076E4D"/>
    <w:rsid w:val="00086182"/>
    <w:rsid w:val="00090891"/>
    <w:rsid w:val="00092E62"/>
    <w:rsid w:val="00097975"/>
    <w:rsid w:val="000A3DDF"/>
    <w:rsid w:val="000A597C"/>
    <w:rsid w:val="000A60A0"/>
    <w:rsid w:val="000B5EDD"/>
    <w:rsid w:val="000C1F8F"/>
    <w:rsid w:val="000C3688"/>
    <w:rsid w:val="000D416F"/>
    <w:rsid w:val="000D6863"/>
    <w:rsid w:val="000D6B67"/>
    <w:rsid w:val="000D6D03"/>
    <w:rsid w:val="000E486C"/>
    <w:rsid w:val="00105B9F"/>
    <w:rsid w:val="0011272C"/>
    <w:rsid w:val="00114654"/>
    <w:rsid w:val="00117AEE"/>
    <w:rsid w:val="0012420E"/>
    <w:rsid w:val="001352E9"/>
    <w:rsid w:val="00141432"/>
    <w:rsid w:val="001463F7"/>
    <w:rsid w:val="0015769C"/>
    <w:rsid w:val="00165210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2EBA"/>
    <w:rsid w:val="001E48EE"/>
    <w:rsid w:val="001F2D04"/>
    <w:rsid w:val="0020059C"/>
    <w:rsid w:val="002019BD"/>
    <w:rsid w:val="00202BB2"/>
    <w:rsid w:val="0020341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30281E"/>
    <w:rsid w:val="003037A7"/>
    <w:rsid w:val="00316CA9"/>
    <w:rsid w:val="003215F5"/>
    <w:rsid w:val="00321C4D"/>
    <w:rsid w:val="00325BF1"/>
    <w:rsid w:val="00332891"/>
    <w:rsid w:val="003529EE"/>
    <w:rsid w:val="00356BB2"/>
    <w:rsid w:val="00360477"/>
    <w:rsid w:val="00362876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5EBD"/>
    <w:rsid w:val="003E03E1"/>
    <w:rsid w:val="003E4E8A"/>
    <w:rsid w:val="003E6BC5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57F00"/>
    <w:rsid w:val="00463EF1"/>
    <w:rsid w:val="004654CB"/>
    <w:rsid w:val="00472A6B"/>
    <w:rsid w:val="00474F42"/>
    <w:rsid w:val="00480B6D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4F132C"/>
    <w:rsid w:val="0051339C"/>
    <w:rsid w:val="0051412F"/>
    <w:rsid w:val="00522B6F"/>
    <w:rsid w:val="0052430E"/>
    <w:rsid w:val="005257FB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55C2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5D5B"/>
    <w:rsid w:val="005C678A"/>
    <w:rsid w:val="005D0B31"/>
    <w:rsid w:val="005D346D"/>
    <w:rsid w:val="005E74AB"/>
    <w:rsid w:val="00603C43"/>
    <w:rsid w:val="00606A3E"/>
    <w:rsid w:val="006115AA"/>
    <w:rsid w:val="006120AE"/>
    <w:rsid w:val="00615CFD"/>
    <w:rsid w:val="00633759"/>
    <w:rsid w:val="006339AC"/>
    <w:rsid w:val="00635E86"/>
    <w:rsid w:val="00636A37"/>
    <w:rsid w:val="00645083"/>
    <w:rsid w:val="006501A5"/>
    <w:rsid w:val="006567B2"/>
    <w:rsid w:val="00662ADE"/>
    <w:rsid w:val="00664106"/>
    <w:rsid w:val="00665640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348"/>
    <w:rsid w:val="006C361A"/>
    <w:rsid w:val="006C5657"/>
    <w:rsid w:val="006D5E4E"/>
    <w:rsid w:val="006E6860"/>
    <w:rsid w:val="006E7183"/>
    <w:rsid w:val="006F5FBF"/>
    <w:rsid w:val="0070141E"/>
    <w:rsid w:val="0070327E"/>
    <w:rsid w:val="00706099"/>
    <w:rsid w:val="00707B5F"/>
    <w:rsid w:val="00715FDF"/>
    <w:rsid w:val="00720793"/>
    <w:rsid w:val="007227B3"/>
    <w:rsid w:val="00735602"/>
    <w:rsid w:val="007420A2"/>
    <w:rsid w:val="0075279B"/>
    <w:rsid w:val="00753748"/>
    <w:rsid w:val="00762446"/>
    <w:rsid w:val="00781ACB"/>
    <w:rsid w:val="007A79EB"/>
    <w:rsid w:val="007B256E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62D2"/>
    <w:rsid w:val="00830402"/>
    <w:rsid w:val="008305D7"/>
    <w:rsid w:val="00834887"/>
    <w:rsid w:val="00842FED"/>
    <w:rsid w:val="008455CF"/>
    <w:rsid w:val="00847689"/>
    <w:rsid w:val="00847D14"/>
    <w:rsid w:val="00861C52"/>
    <w:rsid w:val="008645F8"/>
    <w:rsid w:val="008727A1"/>
    <w:rsid w:val="00886271"/>
    <w:rsid w:val="00886B0F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3E87"/>
    <w:rsid w:val="008E7F13"/>
    <w:rsid w:val="008F3185"/>
    <w:rsid w:val="009109AE"/>
    <w:rsid w:val="00915B0A"/>
    <w:rsid w:val="00926904"/>
    <w:rsid w:val="009372F0"/>
    <w:rsid w:val="00954C2A"/>
    <w:rsid w:val="00955022"/>
    <w:rsid w:val="00957B4D"/>
    <w:rsid w:val="00964EEA"/>
    <w:rsid w:val="00977FFE"/>
    <w:rsid w:val="00980C86"/>
    <w:rsid w:val="009844D0"/>
    <w:rsid w:val="00987C0C"/>
    <w:rsid w:val="009B1D9B"/>
    <w:rsid w:val="009B4074"/>
    <w:rsid w:val="009C30BB"/>
    <w:rsid w:val="009C60BE"/>
    <w:rsid w:val="009E1160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446E1"/>
    <w:rsid w:val="00A75FF2"/>
    <w:rsid w:val="00A800D1"/>
    <w:rsid w:val="00A92699"/>
    <w:rsid w:val="00A94CF7"/>
    <w:rsid w:val="00A95908"/>
    <w:rsid w:val="00A964DA"/>
    <w:rsid w:val="00AB5BF0"/>
    <w:rsid w:val="00AB5F6D"/>
    <w:rsid w:val="00AC1C95"/>
    <w:rsid w:val="00AC2CCB"/>
    <w:rsid w:val="00AC443A"/>
    <w:rsid w:val="00AE60E2"/>
    <w:rsid w:val="00B0169F"/>
    <w:rsid w:val="00B05F21"/>
    <w:rsid w:val="00B14EA9"/>
    <w:rsid w:val="00B16E01"/>
    <w:rsid w:val="00B21C6B"/>
    <w:rsid w:val="00B30A3C"/>
    <w:rsid w:val="00B31407"/>
    <w:rsid w:val="00B522B4"/>
    <w:rsid w:val="00B52550"/>
    <w:rsid w:val="00B70842"/>
    <w:rsid w:val="00B81305"/>
    <w:rsid w:val="00B8744B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25D5"/>
    <w:rsid w:val="00D26B13"/>
    <w:rsid w:val="00D26BB6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21A"/>
    <w:rsid w:val="00DF775B"/>
    <w:rsid w:val="00E007F3"/>
    <w:rsid w:val="00E00DEA"/>
    <w:rsid w:val="00E0175D"/>
    <w:rsid w:val="00E06EF0"/>
    <w:rsid w:val="00E11679"/>
    <w:rsid w:val="00E2168B"/>
    <w:rsid w:val="00E27AD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2641"/>
    <w:rsid w:val="00E96BE7"/>
    <w:rsid w:val="00EA2CD0"/>
    <w:rsid w:val="00EC0044"/>
    <w:rsid w:val="00EC6B9F"/>
    <w:rsid w:val="00ED14A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A5522"/>
    <w:rsid w:val="00FA6E4A"/>
    <w:rsid w:val="00FB2B35"/>
    <w:rsid w:val="00FB3293"/>
    <w:rsid w:val="00FC227C"/>
    <w:rsid w:val="00FC4AE1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2FF2-B6FB-4ECE-82BD-7938083B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7365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2015-05-13T15:21:00Z</cp:lastPrinted>
  <dcterms:created xsi:type="dcterms:W3CDTF">2015-06-15T08:59:00Z</dcterms:created>
  <dcterms:modified xsi:type="dcterms:W3CDTF">2015-06-22T09:46:00Z</dcterms:modified>
</cp:coreProperties>
</file>