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845B05" w:rsidP="00A9201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/ECE/324/Rev.1/Add.12/Rev.8/Amend.2−</w:t>
            </w:r>
            <w:r w:rsidRPr="00014D07">
              <w:rPr>
                <w:sz w:val="40"/>
              </w:rPr>
              <w:t>E</w:t>
            </w:r>
            <w:r>
              <w:t>/ECE/TRANS/505/Rev.1/Add.12/Rev.8/Amend.2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573A67" w:rsidRPr="00DB58B5" w:rsidRDefault="009F6203" w:rsidP="00495A7B">
            <w:pPr>
              <w:spacing w:before="480" w:line="240" w:lineRule="exact"/>
            </w:pPr>
            <w:r>
              <w:t>22</w:t>
            </w:r>
            <w:bookmarkStart w:id="0" w:name="_GoBack"/>
            <w:bookmarkEnd w:id="0"/>
            <w:r w:rsidR="00573A67" w:rsidRPr="00573A67">
              <w:t xml:space="preserve"> juin 2015</w:t>
            </w:r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242268">
      <w:pPr>
        <w:pStyle w:val="HChG"/>
        <w:spacing w:before="200" w:after="100" w:line="260" w:lineRule="exact"/>
      </w:pPr>
      <w:r>
        <w:tab/>
      </w:r>
      <w:r>
        <w:tab/>
      </w:r>
      <w:r w:rsidR="00421A10" w:rsidRPr="006549FF">
        <w:t xml:space="preserve">Additif </w:t>
      </w:r>
      <w:r w:rsidR="00A92017">
        <w:t>1</w:t>
      </w:r>
      <w:r w:rsidR="00845B05">
        <w:t>2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92017">
        <w:t>1</w:t>
      </w:r>
      <w:r w:rsidR="00845B05">
        <w:t>3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845B05">
        <w:t>8</w:t>
      </w:r>
      <w:r w:rsidR="000314C7">
        <w:t xml:space="preserve"> − Amendement </w:t>
      </w:r>
      <w:r w:rsidR="00845B05">
        <w:t>2</w:t>
      </w:r>
    </w:p>
    <w:p w:rsidR="00015650" w:rsidRPr="00631BAB" w:rsidRDefault="00845B05" w:rsidP="00242268">
      <w:pPr>
        <w:pStyle w:val="SingleTxtG"/>
        <w:spacing w:after="100" w:line="200" w:lineRule="atLeast"/>
        <w:jc w:val="left"/>
      </w:pPr>
      <w:r>
        <w:t>Complément 12 à la s</w:t>
      </w:r>
      <w:r w:rsidR="00015650" w:rsidRPr="00631BAB">
        <w:t xml:space="preserve">érie </w:t>
      </w:r>
      <w:r>
        <w:t>11</w:t>
      </w:r>
      <w:r w:rsidR="00015650" w:rsidRPr="00631BAB">
        <w:t xml:space="preserve"> d</w:t>
      </w:r>
      <w:r w:rsidR="00015650">
        <w:t>’</w:t>
      </w:r>
      <w:r w:rsidR="00015650" w:rsidRPr="00631BAB">
        <w:t>amendements au Règlement − Date d</w:t>
      </w:r>
      <w:r w:rsidR="00015650">
        <w:t>’entrée en vigueur: 15 </w:t>
      </w:r>
      <w:r w:rsidR="00015650" w:rsidRPr="00631BAB">
        <w:t>jui</w:t>
      </w:r>
      <w:r w:rsidR="00A92017">
        <w:t>n 2015</w:t>
      </w:r>
      <w:r w:rsidR="00015650" w:rsidRPr="00631BAB">
        <w:t xml:space="preserve"> </w:t>
      </w:r>
    </w:p>
    <w:p w:rsidR="00845B05" w:rsidRPr="00845B05" w:rsidRDefault="00845B05" w:rsidP="00845B05">
      <w:pPr>
        <w:pStyle w:val="H1G"/>
        <w:spacing w:before="340" w:after="220" w:line="260" w:lineRule="exact"/>
      </w:pPr>
      <w:r>
        <w:tab/>
      </w:r>
      <w:r>
        <w:tab/>
      </w:r>
      <w:r w:rsidRPr="00845B05">
        <w:t>Prescriptions uniformes relatives à l'homologation des véhicules des catégories M, N et O en ce qui concerne le freinage</w:t>
      </w:r>
    </w:p>
    <w:p w:rsidR="00845B05" w:rsidRDefault="001D3393" w:rsidP="00845B05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>Ce document constitue un outil de documentation. Le texte authentique et contraignant juridique est ECE/TRANS/WP.29/201</w:t>
      </w:r>
      <w:r w:rsidR="00845B05">
        <w:rPr>
          <w:lang w:val="en-GB" w:eastAsia="en-GB"/>
        </w:rPr>
        <w:t>4/45/Rev.1</w:t>
      </w:r>
      <w:r w:rsidR="00376E4C">
        <w:rPr>
          <w:lang w:val="en-GB" w:eastAsia="en-GB"/>
        </w:rPr>
        <w:t>.</w:t>
      </w:r>
    </w:p>
    <w:p w:rsidR="00845B05" w:rsidRDefault="00845B05" w:rsidP="00845B05">
      <w:pPr>
        <w:pStyle w:val="SingleTxtG"/>
        <w:rPr>
          <w:lang w:val="en-GB" w:eastAsia="en-GB"/>
        </w:rPr>
      </w:pPr>
    </w:p>
    <w:p w:rsidR="00845B05" w:rsidRPr="003D590B" w:rsidRDefault="00845B05" w:rsidP="00845B05">
      <w:pPr>
        <w:pStyle w:val="SingleTxtG"/>
        <w:rPr>
          <w:lang w:val="fr-FR"/>
        </w:rPr>
      </w:pPr>
      <w:r>
        <w:rPr>
          <w:lang w:val="en-GB" w:eastAsia="en-GB"/>
        </w:rPr>
        <w:br w:type="page"/>
      </w:r>
      <w:r>
        <w:rPr>
          <w:i/>
          <w:lang w:val="fr-FR"/>
        </w:rPr>
        <w:lastRenderedPageBreak/>
        <w:t>Paragraphe 5.2.1.32</w:t>
      </w:r>
      <w:r w:rsidRPr="003A6F6A">
        <w:rPr>
          <w:i/>
          <w:lang w:val="fr-FR"/>
        </w:rPr>
        <w:t>, note de bas de page 12</w:t>
      </w:r>
      <w:r w:rsidRPr="003D590B">
        <w:rPr>
          <w:lang w:val="fr-FR"/>
        </w:rPr>
        <w:t xml:space="preserve">, </w:t>
      </w:r>
      <w:r>
        <w:t>modifier</w:t>
      </w:r>
      <w:r>
        <w:rPr>
          <w:lang w:val="fr-FR"/>
        </w:rPr>
        <w:t xml:space="preserve"> comme suit</w:t>
      </w:r>
      <w:r w:rsidRPr="003D590B">
        <w:rPr>
          <w:lang w:val="fr-FR"/>
        </w:rPr>
        <w:t>:</w:t>
      </w:r>
    </w:p>
    <w:p w:rsidR="00845B05" w:rsidRPr="003D590B" w:rsidRDefault="00845B05" w:rsidP="00845B05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«5.2.1.32</w:t>
      </w:r>
      <w:r w:rsidRPr="003D590B">
        <w:rPr>
          <w:lang w:val="fr-FR"/>
        </w:rPr>
        <w:tab/>
      </w:r>
      <w:r>
        <w:rPr>
          <w:lang w:val="fr-FR"/>
        </w:rPr>
        <w:t>Sous réserve du</w:t>
      </w:r>
      <w:r w:rsidRPr="003D590B">
        <w:rPr>
          <w:lang w:val="fr-FR"/>
        </w:rPr>
        <w:t xml:space="preserve"> paragraph</w:t>
      </w:r>
      <w:r>
        <w:rPr>
          <w:lang w:val="fr-FR"/>
        </w:rPr>
        <w:t>e 12.3</w:t>
      </w:r>
      <w:r w:rsidRPr="003D590B">
        <w:rPr>
          <w:lang w:val="fr-FR"/>
        </w:rPr>
        <w:t xml:space="preserve"> </w:t>
      </w:r>
      <w:r>
        <w:rPr>
          <w:lang w:val="fr-FR"/>
        </w:rPr>
        <w:t>du présent Règlement</w:t>
      </w:r>
      <w:r w:rsidRPr="003D590B">
        <w:rPr>
          <w:lang w:val="fr-FR"/>
        </w:rPr>
        <w:t xml:space="preserve">, </w:t>
      </w:r>
      <w:r>
        <w:rPr>
          <w:lang w:val="fr-FR"/>
        </w:rPr>
        <w:t>tous les véhicules</w:t>
      </w:r>
      <w:r w:rsidRPr="003D590B">
        <w:rPr>
          <w:lang w:val="fr-FR"/>
        </w:rPr>
        <w:t xml:space="preserve"> … </w:t>
      </w:r>
      <w:r>
        <w:rPr>
          <w:lang w:val="fr-FR"/>
        </w:rPr>
        <w:t>au présent Règlement</w:t>
      </w:r>
      <w:r w:rsidRPr="003D590B">
        <w:rPr>
          <w:lang w:val="fr-FR"/>
        </w:rPr>
        <w:t>.</w:t>
      </w:r>
    </w:p>
    <w:p w:rsidR="00845B05" w:rsidRPr="003D590B" w:rsidRDefault="00845B05" w:rsidP="00845B05">
      <w:pPr>
        <w:ind w:left="2268" w:hanging="1134"/>
        <w:rPr>
          <w:u w:val="single"/>
          <w:lang w:val="fr-FR"/>
        </w:rPr>
      </w:pPr>
      <w:r w:rsidRPr="003D590B">
        <w:rPr>
          <w:lang w:val="fr-FR"/>
        </w:rPr>
        <w:separator/>
      </w:r>
    </w:p>
    <w:p w:rsidR="00845B05" w:rsidRPr="002372AA" w:rsidRDefault="00845B05" w:rsidP="00845B05">
      <w:pPr>
        <w:pStyle w:val="SingleTxtG"/>
        <w:spacing w:line="220" w:lineRule="exact"/>
        <w:ind w:left="1418" w:hanging="284"/>
        <w:rPr>
          <w:szCs w:val="24"/>
        </w:rPr>
      </w:pPr>
      <w:r w:rsidRPr="003A6F6A">
        <w:rPr>
          <w:sz w:val="18"/>
          <w:szCs w:val="18"/>
          <w:vertAlign w:val="superscript"/>
          <w:lang w:val="fr-FR"/>
        </w:rPr>
        <w:t>12</w:t>
      </w:r>
      <w:r w:rsidRPr="003D590B">
        <w:rPr>
          <w:lang w:val="fr-FR"/>
        </w:rPr>
        <w:tab/>
      </w:r>
      <w:r w:rsidRPr="003A6F6A">
        <w:rPr>
          <w:sz w:val="18"/>
          <w:szCs w:val="18"/>
        </w:rPr>
        <w:t>Les véhicules tout-terrain, les véhicules spéciaux (par exemple, les engins mobiles montés sur un châssis de véhicule non normalisé, les grues mobiles, les véhicules à propulsion hydrostatique sur lesquels le système hydraulique sert aussi au freinage et à des fonctions auxiliaires, et les véhicules de la catégorie N</w:t>
      </w:r>
      <w:r w:rsidRPr="003A6F6A">
        <w:rPr>
          <w:sz w:val="18"/>
          <w:szCs w:val="18"/>
          <w:vertAlign w:val="subscript"/>
        </w:rPr>
        <w:t>2</w:t>
      </w:r>
      <w:r w:rsidRPr="003A6F6A">
        <w:rPr>
          <w:sz w:val="18"/>
          <w:szCs w:val="18"/>
        </w:rPr>
        <w:t xml:space="preserve"> dont la masse brute est comprise entre 3,5 et 7,5 tonnes, qui sont montés sur un châssis surbaissé non normalisé, qui ont plus de deux essieux et qui sont équipés d</w:t>
      </w:r>
      <w:r>
        <w:rPr>
          <w:sz w:val="18"/>
          <w:szCs w:val="18"/>
        </w:rPr>
        <w:t>’</w:t>
      </w:r>
      <w:r w:rsidRPr="003A6F6A">
        <w:rPr>
          <w:sz w:val="18"/>
          <w:szCs w:val="18"/>
        </w:rPr>
        <w:t>une transmission hydraulique), les autobus de la classe I et de la classe A des catégories M</w:t>
      </w:r>
      <w:r w:rsidRPr="003A6F6A">
        <w:rPr>
          <w:sz w:val="18"/>
          <w:szCs w:val="18"/>
          <w:vertAlign w:val="subscript"/>
        </w:rPr>
        <w:t>2</w:t>
      </w:r>
      <w:r w:rsidRPr="003A6F6A">
        <w:rPr>
          <w:sz w:val="18"/>
          <w:szCs w:val="18"/>
        </w:rPr>
        <w:t xml:space="preserve"> et M</w:t>
      </w:r>
      <w:r w:rsidRPr="003A6F6A">
        <w:rPr>
          <w:sz w:val="18"/>
          <w:szCs w:val="18"/>
          <w:vertAlign w:val="subscript"/>
        </w:rPr>
        <w:t>3</w:t>
      </w:r>
      <w:r w:rsidRPr="003A6F6A">
        <w:rPr>
          <w:sz w:val="18"/>
          <w:szCs w:val="18"/>
        </w:rPr>
        <w:t>, les autobus et les autocars articulés, et les tracteurs de la catégorie N</w:t>
      </w:r>
      <w:r w:rsidRPr="003A6F6A">
        <w:rPr>
          <w:sz w:val="18"/>
          <w:szCs w:val="18"/>
          <w:vertAlign w:val="subscript"/>
        </w:rPr>
        <w:t>2</w:t>
      </w:r>
      <w:r w:rsidRPr="003A6F6A">
        <w:rPr>
          <w:sz w:val="18"/>
          <w:szCs w:val="18"/>
        </w:rPr>
        <w:t xml:space="preserve"> pour semi-remorque dont la masse brute est comprise entre 3,5 et 7,5 tonnes sont dispensés de la présente prescription.».</w:t>
      </w:r>
    </w:p>
    <w:p w:rsidR="00845B05" w:rsidRPr="003D590B" w:rsidRDefault="00845B05" w:rsidP="00845B05">
      <w:pPr>
        <w:pStyle w:val="SingleTxtG"/>
        <w:keepNext/>
        <w:rPr>
          <w:lang w:val="fr-FR"/>
        </w:rPr>
      </w:pPr>
      <w:r w:rsidRPr="003A6F6A">
        <w:rPr>
          <w:i/>
          <w:lang w:val="fr-FR"/>
        </w:rPr>
        <w:t>Paragraphe 5.2.2.23</w:t>
      </w:r>
      <w:r w:rsidRPr="003D590B">
        <w:rPr>
          <w:lang w:val="fr-FR"/>
        </w:rPr>
        <w:t xml:space="preserve">, </w:t>
      </w:r>
      <w:r>
        <w:rPr>
          <w:lang w:val="fr-FR"/>
        </w:rPr>
        <w:t>modifier comme suit</w:t>
      </w:r>
      <w:r w:rsidRPr="003D590B">
        <w:rPr>
          <w:lang w:val="fr-FR"/>
        </w:rPr>
        <w:t>:</w:t>
      </w:r>
    </w:p>
    <w:p w:rsidR="00845B05" w:rsidRPr="00361AE9" w:rsidRDefault="00845B05" w:rsidP="00845B05">
      <w:pPr>
        <w:pStyle w:val="SingleTxtG"/>
        <w:ind w:left="2268" w:hanging="1134"/>
        <w:rPr>
          <w:bCs/>
          <w:spacing w:val="-2"/>
          <w:lang w:val="fr-FR"/>
        </w:rPr>
      </w:pPr>
      <w:r w:rsidRPr="00361AE9">
        <w:rPr>
          <w:spacing w:val="-2"/>
          <w:lang w:val="fr-FR"/>
        </w:rPr>
        <w:t>«5.2.2.23</w:t>
      </w:r>
      <w:r w:rsidRPr="00361AE9">
        <w:rPr>
          <w:spacing w:val="-2"/>
          <w:lang w:val="fr-FR"/>
        </w:rPr>
        <w:tab/>
        <w:t>Sous réserve du paragraphe 12.3 du présent Règlement, tous les véhicules…».</w:t>
      </w:r>
    </w:p>
    <w:p w:rsidR="00845B05" w:rsidRPr="003D590B" w:rsidRDefault="00845B05" w:rsidP="00845B05">
      <w:pPr>
        <w:pStyle w:val="SingleTxtG"/>
        <w:keepNext/>
        <w:rPr>
          <w:lang w:val="fr-FR"/>
        </w:rPr>
      </w:pPr>
      <w:r w:rsidRPr="003D590B">
        <w:rPr>
          <w:i/>
          <w:lang w:val="fr-FR"/>
        </w:rPr>
        <w:t>Paragraph</w:t>
      </w:r>
      <w:r>
        <w:rPr>
          <w:i/>
          <w:lang w:val="fr-FR"/>
        </w:rPr>
        <w:t>e</w:t>
      </w:r>
      <w:r w:rsidRPr="003D590B">
        <w:rPr>
          <w:i/>
          <w:lang w:val="fr-FR"/>
        </w:rPr>
        <w:t xml:space="preserve"> 12</w:t>
      </w:r>
      <w:r>
        <w:rPr>
          <w:i/>
          <w:lang w:val="fr-FR"/>
        </w:rPr>
        <w:t>.</w:t>
      </w:r>
      <w:r w:rsidRPr="003D590B">
        <w:rPr>
          <w:lang w:val="fr-FR"/>
        </w:rPr>
        <w:t xml:space="preserve">, </w:t>
      </w:r>
      <w:r>
        <w:rPr>
          <w:lang w:val="fr-FR"/>
        </w:rPr>
        <w:t>modifier comme suit</w:t>
      </w:r>
      <w:r w:rsidRPr="003D590B">
        <w:rPr>
          <w:lang w:val="fr-FR"/>
        </w:rPr>
        <w:t>:</w:t>
      </w:r>
    </w:p>
    <w:p w:rsidR="00845B05" w:rsidRPr="002372AA" w:rsidRDefault="00845B05" w:rsidP="00845B05">
      <w:pPr>
        <w:pStyle w:val="HChG"/>
        <w:ind w:left="2268"/>
        <w:rPr>
          <w:lang w:val="fr-FR"/>
        </w:rPr>
      </w:pPr>
      <w:r w:rsidRPr="00800DF7">
        <w:rPr>
          <w:b w:val="0"/>
        </w:rPr>
        <w:t>«</w:t>
      </w:r>
      <w:r w:rsidRPr="001E4EFA">
        <w:t>12.</w:t>
      </w:r>
      <w:r w:rsidRPr="001E4EFA">
        <w:tab/>
      </w:r>
      <w:r w:rsidRPr="002372AA">
        <w:t>Dispositions transitoires</w:t>
      </w:r>
    </w:p>
    <w:p w:rsidR="00845B05" w:rsidRPr="002372AA" w:rsidRDefault="00845B05" w:rsidP="00845B05">
      <w:pPr>
        <w:pStyle w:val="SingleTxtG"/>
        <w:ind w:left="2268" w:hanging="1134"/>
        <w:rPr>
          <w:lang w:val="fr-FR"/>
        </w:rPr>
      </w:pPr>
      <w:r w:rsidRPr="002372AA">
        <w:rPr>
          <w:lang w:val="fr-FR"/>
        </w:rPr>
        <w:t>12.1</w:t>
      </w:r>
      <w:r w:rsidRPr="002372AA">
        <w:rPr>
          <w:lang w:val="fr-FR"/>
        </w:rPr>
        <w:tab/>
      </w:r>
      <w:r w:rsidRPr="002372AA">
        <w:t>À compter de la date officielle d</w:t>
      </w:r>
      <w:r>
        <w:t>’</w:t>
      </w:r>
      <w:r w:rsidRPr="002372AA">
        <w:t>entrée en vigueur de la série 11 d</w:t>
      </w:r>
      <w:r>
        <w:t>’</w:t>
      </w:r>
      <w:r w:rsidRPr="002372AA">
        <w:t>amendements (11 juillet 2008), aucune Partie contractante appliquant le présent Règlement ne peut refuser d</w:t>
      </w:r>
      <w:r>
        <w:t>’</w:t>
      </w:r>
      <w:r w:rsidRPr="002372AA">
        <w:t>accorder ou d</w:t>
      </w:r>
      <w:r>
        <w:t>’</w:t>
      </w:r>
      <w:r w:rsidRPr="002372AA">
        <w:t>accepter des homologations de type au titre du présent Règlement tel que modifié par la série 11 d</w:t>
      </w:r>
      <w:r>
        <w:t>’</w:t>
      </w:r>
      <w:r w:rsidRPr="002372AA">
        <w:t>amendements.</w:t>
      </w:r>
    </w:p>
    <w:p w:rsidR="00845B05" w:rsidRPr="002372AA" w:rsidRDefault="00845B05" w:rsidP="00845B05">
      <w:pPr>
        <w:pStyle w:val="SingleTxtG"/>
        <w:ind w:left="2268" w:hanging="1134"/>
        <w:rPr>
          <w:lang w:val="fr-FR"/>
        </w:rPr>
      </w:pPr>
      <w:r w:rsidRPr="002372AA">
        <w:rPr>
          <w:lang w:val="fr-FR"/>
        </w:rPr>
        <w:t>12.2</w:t>
      </w:r>
      <w:r w:rsidRPr="002372AA">
        <w:rPr>
          <w:lang w:val="fr-FR"/>
        </w:rPr>
        <w:tab/>
      </w:r>
      <w:r w:rsidRPr="002372AA">
        <w:t>Les Parties contractantes appliquant le présent Règlement ne doivent délivrer des homologations que si le type de véhicule à homologuer est conforme aux prescriptions du présent Règlement tel que modifié par la série 11 d</w:t>
      </w:r>
      <w:r>
        <w:t>’</w:t>
      </w:r>
      <w:r w:rsidRPr="002372AA">
        <w:t>amendements.</w:t>
      </w:r>
    </w:p>
    <w:p w:rsidR="00845B05" w:rsidRPr="002372AA" w:rsidRDefault="00845B05" w:rsidP="00845B05">
      <w:pPr>
        <w:pStyle w:val="SingleTxtG"/>
        <w:ind w:left="2268"/>
        <w:rPr>
          <w:lang w:val="fr-FR"/>
        </w:rPr>
      </w:pPr>
      <w:r w:rsidRPr="002372AA">
        <w:rPr>
          <w:lang w:val="fr-FR"/>
        </w:rPr>
        <w:t xml:space="preserve">Nonobstant les prescriptions ci-dessus, la conformité avec les prescriptions du </w:t>
      </w:r>
      <w:r w:rsidRPr="00BF0E15">
        <w:t>complément</w:t>
      </w:r>
      <w:r w:rsidRPr="002372AA">
        <w:rPr>
          <w:lang w:val="fr-FR"/>
        </w:rPr>
        <w:t> 7 à la série 11 d</w:t>
      </w:r>
      <w:r>
        <w:rPr>
          <w:lang w:val="fr-FR"/>
        </w:rPr>
        <w:t>’</w:t>
      </w:r>
      <w:r w:rsidRPr="002372AA">
        <w:rPr>
          <w:lang w:val="fr-FR"/>
        </w:rPr>
        <w:t>amendements ne doit pas être exigée pour toutes les nouvelles homologations de type avant le 28 octobre 2014.</w:t>
      </w:r>
    </w:p>
    <w:p w:rsidR="00845B05" w:rsidRDefault="00845B05" w:rsidP="00845B05">
      <w:pPr>
        <w:pStyle w:val="SingleTxtG"/>
        <w:ind w:left="2268" w:hanging="1134"/>
        <w:rPr>
          <w:lang w:val="fr-FR"/>
        </w:rPr>
      </w:pPr>
      <w:r w:rsidRPr="002372AA">
        <w:rPr>
          <w:lang w:val="fr-FR"/>
        </w:rPr>
        <w:t>12.3</w:t>
      </w:r>
      <w:r w:rsidRPr="002372AA">
        <w:rPr>
          <w:lang w:val="fr-FR"/>
        </w:rPr>
        <w:tab/>
        <w:t>À compter des dates d</w:t>
      </w:r>
      <w:r>
        <w:rPr>
          <w:lang w:val="fr-FR"/>
        </w:rPr>
        <w:t>’</w:t>
      </w:r>
      <w:r w:rsidRPr="002372AA">
        <w:rPr>
          <w:lang w:val="fr-FR"/>
        </w:rPr>
        <w:t xml:space="preserve">application indiquées dans le tableau ci-après en ce qui concerne la série 11 </w:t>
      </w:r>
      <w:r w:rsidRPr="00BF0E15">
        <w:t>d</w:t>
      </w:r>
      <w:r>
        <w:t>’</w:t>
      </w:r>
      <w:r w:rsidRPr="00BF0E15">
        <w:t>amendements</w:t>
      </w:r>
      <w:r w:rsidRPr="002372AA">
        <w:rPr>
          <w:lang w:val="fr-FR"/>
        </w:rPr>
        <w:t xml:space="preserve"> au </w:t>
      </w:r>
      <w:r w:rsidRPr="002372AA">
        <w:t>présent Règlement</w:t>
      </w:r>
      <w:r w:rsidRPr="002372AA">
        <w:rPr>
          <w:lang w:val="fr-FR"/>
        </w:rPr>
        <w:t>, l</w:t>
      </w:r>
      <w:r w:rsidRPr="002372AA">
        <w:t xml:space="preserve">es Parties </w:t>
      </w:r>
      <w:r w:rsidRPr="00FA1DFB">
        <w:rPr>
          <w:lang w:val="fr-FR"/>
        </w:rPr>
        <w:t>contractantes</w:t>
      </w:r>
      <w:r w:rsidRPr="002372AA">
        <w:t xml:space="preserve"> appliquant le présent Règlement ne sont pas tenues d</w:t>
      </w:r>
      <w:r>
        <w:t>’</w:t>
      </w:r>
      <w:r w:rsidRPr="002372AA">
        <w:t>accepter un type de véhicule homologué en vertu de la série 10 d</w:t>
      </w:r>
      <w:r>
        <w:t>’</w:t>
      </w:r>
      <w:r w:rsidRPr="002372AA">
        <w:t>amendements au présent Règlement</w:t>
      </w:r>
      <w:r w:rsidRPr="002372AA">
        <w:rPr>
          <w:lang w:val="fr-FR"/>
        </w:rPr>
        <w:t>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6"/>
        <w:gridCol w:w="3728"/>
        <w:gridCol w:w="2976"/>
      </w:tblGrid>
      <w:tr w:rsidR="00845B05" w:rsidRPr="00072974" w:rsidTr="00845B05">
        <w:trPr>
          <w:cantSplit/>
          <w:tblHeader/>
        </w:trPr>
        <w:tc>
          <w:tcPr>
            <w:tcW w:w="4394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pageBreakBefore/>
              <w:spacing w:before="60" w:after="60" w:line="200" w:lineRule="exact"/>
              <w:ind w:left="57" w:right="57"/>
              <w:rPr>
                <w:i/>
                <w:sz w:val="16"/>
                <w:szCs w:val="22"/>
                <w:u w:val="dashLong"/>
              </w:rPr>
            </w:pPr>
            <w:r w:rsidRPr="002372AA">
              <w:rPr>
                <w:i/>
                <w:sz w:val="16"/>
              </w:rPr>
              <w:lastRenderedPageBreak/>
              <w:t>Catégorie de véhicules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pageBreakBefore/>
              <w:spacing w:before="60" w:after="60" w:line="200" w:lineRule="exact"/>
              <w:ind w:left="57" w:right="57"/>
              <w:rPr>
                <w:i/>
                <w:iCs/>
                <w:sz w:val="16"/>
                <w:szCs w:val="22"/>
                <w:u w:val="dashLong"/>
              </w:rPr>
            </w:pPr>
            <w:r w:rsidRPr="002372AA">
              <w:rPr>
                <w:i/>
                <w:sz w:val="16"/>
              </w:rPr>
              <w:t>Date d</w:t>
            </w:r>
            <w:r>
              <w:rPr>
                <w:i/>
                <w:sz w:val="16"/>
              </w:rPr>
              <w:t>’</w:t>
            </w:r>
            <w:r w:rsidRPr="002372AA">
              <w:rPr>
                <w:i/>
                <w:sz w:val="16"/>
              </w:rPr>
              <w:t>application (à compter</w:t>
            </w:r>
            <w:r w:rsidRPr="002372AA">
              <w:rPr>
                <w:i/>
                <w:sz w:val="16"/>
              </w:rPr>
              <w:br/>
              <w:t>de la date d</w:t>
            </w:r>
            <w:r>
              <w:rPr>
                <w:i/>
                <w:sz w:val="16"/>
              </w:rPr>
              <w:t>’</w:t>
            </w:r>
            <w:r w:rsidRPr="002372AA">
              <w:rPr>
                <w:i/>
                <w:sz w:val="16"/>
              </w:rPr>
              <w:t>entrée en vigueur de la série 11 d</w:t>
            </w:r>
            <w:r>
              <w:rPr>
                <w:i/>
                <w:sz w:val="16"/>
              </w:rPr>
              <w:t>’</w:t>
            </w:r>
            <w:r w:rsidRPr="002372AA">
              <w:rPr>
                <w:i/>
                <w:sz w:val="16"/>
              </w:rPr>
              <w:t>amendements, le 11 juillet 2008)</w:t>
            </w:r>
          </w:p>
        </w:tc>
      </w:tr>
      <w:tr w:rsidR="00845B05" w:rsidRPr="00072974" w:rsidTr="00845B05">
        <w:trPr>
          <w:cantSplit/>
        </w:trPr>
        <w:tc>
          <w:tcPr>
            <w:tcW w:w="666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Véhicules non exemptés des prescriptions relatives au contrôle de stabilité en vertu</w:t>
            </w:r>
            <w:r w:rsidRPr="002372AA">
              <w:br/>
              <w:t>des paragraphes 5.2.1.32 et 5.2.2.23, y compris les  notes de bas de page</w:t>
            </w:r>
          </w:p>
        </w:tc>
        <w:tc>
          <w:tcPr>
            <w:tcW w:w="37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M</w:t>
            </w:r>
            <w:r w:rsidRPr="002372AA">
              <w:rPr>
                <w:vertAlign w:val="subscript"/>
              </w:rPr>
              <w:t>2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84 mois (11 juillet 2015)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M</w:t>
            </w:r>
            <w:r w:rsidRPr="002372AA">
              <w:rPr>
                <w:vertAlign w:val="subscript"/>
              </w:rPr>
              <w:t>3</w:t>
            </w:r>
            <w:r w:rsidRPr="002372AA">
              <w:t xml:space="preserve"> (classe III)</w:t>
            </w: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36 mois (11 juillet 2011)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M</w:t>
            </w:r>
            <w:r w:rsidRPr="002372AA">
              <w:rPr>
                <w:vertAlign w:val="subscript"/>
              </w:rPr>
              <w:t>3</w:t>
            </w:r>
            <w:r w:rsidRPr="002372AA">
              <w:t xml:space="preserve"> &lt;16 tonnes (</w:t>
            </w:r>
            <w:r w:rsidRPr="002372AA">
              <w:rPr>
                <w:szCs w:val="18"/>
              </w:rPr>
              <w:t>transmission pneumatique</w:t>
            </w:r>
            <w:r w:rsidRPr="002372AA">
              <w:t>)</w:t>
            </w: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48 mois (11 juillet 2012)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5F7E33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M</w:t>
            </w:r>
            <w:r w:rsidRPr="002372AA">
              <w:rPr>
                <w:vertAlign w:val="subscript"/>
              </w:rPr>
              <w:t>3</w:t>
            </w:r>
            <w:r w:rsidRPr="002372AA">
              <w:t xml:space="preserve"> (classe</w:t>
            </w:r>
            <w:r w:rsidR="00376E4C">
              <w:t>s</w:t>
            </w:r>
            <w:r w:rsidRPr="002372AA">
              <w:t xml:space="preserve"> II et B)</w:t>
            </w:r>
            <w:r w:rsidRPr="002372AA">
              <w:br/>
              <w:t>(transmission hydraulique)</w:t>
            </w: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84 mois (11 juillet 2015)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M</w:t>
            </w:r>
            <w:r w:rsidRPr="002372AA">
              <w:rPr>
                <w:vertAlign w:val="subscript"/>
              </w:rPr>
              <w:t>3</w:t>
            </w:r>
            <w:r w:rsidRPr="002372AA">
              <w:t xml:space="preserve"> (classe III) (transmission hydraulique)</w:t>
            </w: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84 mois (11 juillet 2015)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M</w:t>
            </w:r>
            <w:r w:rsidRPr="002372AA">
              <w:rPr>
                <w:vertAlign w:val="subscript"/>
              </w:rPr>
              <w:t>3</w:t>
            </w:r>
            <w:r w:rsidRPr="002372AA">
              <w:t xml:space="preserve"> (classe III)</w:t>
            </w:r>
            <w:r w:rsidRPr="002372AA">
              <w:br/>
              <w:t>(</w:t>
            </w:r>
            <w:r w:rsidRPr="002372AA">
              <w:rPr>
                <w:szCs w:val="18"/>
              </w:rPr>
              <w:t>transmission de commande pneumatique</w:t>
            </w:r>
            <w:r w:rsidRPr="002372AA">
              <w:rPr>
                <w:szCs w:val="18"/>
              </w:rPr>
              <w:br/>
              <w:t>et transmission d</w:t>
            </w:r>
            <w:r>
              <w:rPr>
                <w:szCs w:val="18"/>
              </w:rPr>
              <w:t>’</w:t>
            </w:r>
            <w:r w:rsidRPr="002372AA">
              <w:rPr>
                <w:szCs w:val="18"/>
              </w:rPr>
              <w:t>énergie hydraulique</w:t>
            </w:r>
            <w:r w:rsidRPr="002372AA">
              <w:t>)</w:t>
            </w: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96 mois (11 juillet 2016)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M</w:t>
            </w:r>
            <w:r w:rsidRPr="002372AA">
              <w:rPr>
                <w:vertAlign w:val="subscript"/>
              </w:rPr>
              <w:t>3</w:t>
            </w:r>
            <w:r w:rsidRPr="002372AA">
              <w:t xml:space="preserve"> (classe II)</w:t>
            </w:r>
            <w:r w:rsidRPr="002372AA">
              <w:br/>
              <w:t>(transmission de commande pneumatique</w:t>
            </w:r>
            <w:r w:rsidRPr="002372AA">
              <w:br/>
              <w:t>et transmission d</w:t>
            </w:r>
            <w:r>
              <w:t>’</w:t>
            </w:r>
            <w:r w:rsidRPr="002372AA">
              <w:t>énergie hydraulique)</w:t>
            </w: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96 mois (11 juillet 2016)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M</w:t>
            </w:r>
            <w:r w:rsidRPr="002372AA">
              <w:rPr>
                <w:vertAlign w:val="subscript"/>
              </w:rPr>
              <w:t>3</w:t>
            </w:r>
            <w:r w:rsidRPr="002372AA">
              <w:t xml:space="preserve"> (autre que susmentionnées)</w:t>
            </w: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48 mois (11 juillet 2012)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N</w:t>
            </w:r>
            <w:r w:rsidRPr="002372AA">
              <w:rPr>
                <w:vertAlign w:val="subscript"/>
              </w:rPr>
              <w:t>2</w:t>
            </w:r>
            <w:r w:rsidRPr="002372AA">
              <w:t xml:space="preserve"> (transmission hydraulique)</w:t>
            </w: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84 mois (11 juillet 2015)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N</w:t>
            </w:r>
            <w:r w:rsidRPr="002372AA">
              <w:rPr>
                <w:vertAlign w:val="subscript"/>
              </w:rPr>
              <w:t>2</w:t>
            </w:r>
            <w:r w:rsidRPr="002372AA">
              <w:t xml:space="preserve"> (transmission de commande pneumatique et transmission d</w:t>
            </w:r>
            <w:r>
              <w:t>’</w:t>
            </w:r>
            <w:r w:rsidRPr="002372AA">
              <w:t>énergie hydraulique)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96 mois (11 juillet 2016)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N</w:t>
            </w:r>
            <w:r w:rsidRPr="002372AA">
              <w:rPr>
                <w:vertAlign w:val="subscript"/>
              </w:rPr>
              <w:t>2</w:t>
            </w:r>
            <w:r w:rsidRPr="002372AA">
              <w:t xml:space="preserve"> (autre que susmentionnées)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72 mois (11 juillet 2014)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N</w:t>
            </w:r>
            <w:r w:rsidRPr="002372AA">
              <w:rPr>
                <w:vertAlign w:val="subscript"/>
              </w:rPr>
              <w:t>3</w:t>
            </w:r>
            <w:r w:rsidRPr="002372AA">
              <w:t xml:space="preserve"> (tracteurs à 2 essieux</w:t>
            </w:r>
            <w:r w:rsidRPr="002372AA">
              <w:br/>
              <w:t>pour semi</w:t>
            </w:r>
            <w:r w:rsidRPr="002372AA">
              <w:noBreakHyphen/>
              <w:t>remorques)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36 mois (11 juillet 2011)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N</w:t>
            </w:r>
            <w:r w:rsidRPr="002372AA">
              <w:rPr>
                <w:vertAlign w:val="subscript"/>
              </w:rPr>
              <w:t>3</w:t>
            </w:r>
            <w:r w:rsidRPr="002372AA">
              <w:t xml:space="preserve"> (tracteurs à 2 essieux pour semi</w:t>
            </w:r>
            <w:r w:rsidRPr="002372AA">
              <w:noBreakHyphen/>
              <w:t>remorques avec transmission</w:t>
            </w:r>
            <w:r w:rsidRPr="002372AA">
              <w:br/>
              <w:t>de commande pneumatique (ABS))</w:t>
            </w: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60 mois (11 juillet 2013)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N</w:t>
            </w:r>
            <w:r w:rsidRPr="002372AA">
              <w:rPr>
                <w:vertAlign w:val="subscript"/>
              </w:rPr>
              <w:t>3</w:t>
            </w:r>
            <w:r w:rsidRPr="002372AA">
              <w:t xml:space="preserve"> (3 essieux avec transmission</w:t>
            </w:r>
            <w:r w:rsidRPr="002372AA">
              <w:br/>
              <w:t>de commande électrique (EBS))</w:t>
            </w: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60 mois (11 juillet 2013)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N</w:t>
            </w:r>
            <w:r w:rsidRPr="002372AA">
              <w:rPr>
                <w:vertAlign w:val="subscript"/>
              </w:rPr>
              <w:t>3</w:t>
            </w:r>
            <w:r w:rsidRPr="002372AA">
              <w:t xml:space="preserve"> (2 et 3 essieux avec transmission</w:t>
            </w:r>
            <w:r w:rsidRPr="002372AA">
              <w:br/>
              <w:t>de commande pneumatique (ABS))</w:t>
            </w: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72 mois (11 juillet 2014)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N</w:t>
            </w:r>
            <w:r w:rsidRPr="002372AA">
              <w:rPr>
                <w:vertAlign w:val="subscript"/>
              </w:rPr>
              <w:t>3</w:t>
            </w:r>
            <w:r w:rsidRPr="002372AA">
              <w:t xml:space="preserve"> (autre que susmentionnées)</w:t>
            </w: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48 mois (11 juillet 2013)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O</w:t>
            </w:r>
            <w:r w:rsidRPr="002372AA">
              <w:rPr>
                <w:vertAlign w:val="subscript"/>
              </w:rPr>
              <w:t>3</w:t>
            </w:r>
            <w:r w:rsidRPr="002372AA">
              <w:t xml:space="preserve"> (charge d</w:t>
            </w:r>
            <w:r>
              <w:t>’</w:t>
            </w:r>
            <w:r w:rsidRPr="002372AA">
              <w:t>e</w:t>
            </w:r>
            <w:r>
              <w:t>ssieu combinée entre</w:t>
            </w:r>
            <w:r>
              <w:br/>
              <w:t>3,5 et 7,5 </w:t>
            </w:r>
            <w:r w:rsidRPr="002372AA">
              <w:t>tonnes)</w:t>
            </w: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72 mois (11 juillet 2014)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O</w:t>
            </w:r>
            <w:r w:rsidRPr="002372AA">
              <w:rPr>
                <w:vertAlign w:val="subscript"/>
              </w:rPr>
              <w:t>3</w:t>
            </w:r>
            <w:r w:rsidRPr="002372AA">
              <w:t xml:space="preserve"> (autre que susmentionnées)</w:t>
            </w: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60 mois (11 juillet 2013)</w:t>
            </w:r>
          </w:p>
        </w:tc>
      </w:tr>
      <w:tr w:rsidR="00845B05" w:rsidRPr="00072974" w:rsidTr="00EE7F39">
        <w:trPr>
          <w:cantSplit/>
        </w:trPr>
        <w:tc>
          <w:tcPr>
            <w:tcW w:w="6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</w:p>
        </w:tc>
        <w:tc>
          <w:tcPr>
            <w:tcW w:w="37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O</w:t>
            </w:r>
            <w:r w:rsidRPr="002372AA">
              <w:rPr>
                <w:vertAlign w:val="subscript"/>
              </w:rPr>
              <w:t>4</w:t>
            </w: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 w:rsidRPr="002372AA">
              <w:t>36 mois (11 juillet 2011)</w:t>
            </w:r>
          </w:p>
        </w:tc>
      </w:tr>
      <w:tr w:rsidR="00845B05" w:rsidRPr="002372AA" w:rsidTr="00845B05">
        <w:trPr>
          <w:cantSplit/>
        </w:trPr>
        <w:tc>
          <w:tcPr>
            <w:tcW w:w="4394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072974" w:rsidRDefault="00845B05" w:rsidP="00EE7F39">
            <w:pPr>
              <w:spacing w:before="60" w:after="60" w:line="200" w:lineRule="exact"/>
              <w:ind w:left="57" w:right="57"/>
              <w:rPr>
                <w:u w:val="dashLong"/>
              </w:rPr>
            </w:pPr>
            <w:r>
              <w:t>Véhicules des catégories </w:t>
            </w:r>
            <w:r w:rsidRPr="002372AA">
              <w:t>M, N et O exemptés</w:t>
            </w:r>
            <w:r w:rsidRPr="002372AA">
              <w:br/>
              <w:t>des prescriptions relatives au contrôle de stab</w:t>
            </w:r>
            <w:r>
              <w:t>ilité</w:t>
            </w:r>
            <w:r>
              <w:br/>
              <w:t>(en vertu des paragraphes </w:t>
            </w:r>
            <w:r w:rsidRPr="002372AA">
              <w:t>5.2.1.32 et 5.2.2.23, y compris les notes de bas de page), mais pas des a</w:t>
            </w:r>
            <w:r>
              <w:t>utres prescriptions de la série </w:t>
            </w:r>
            <w:r w:rsidRPr="002372AA">
              <w:t>11 d</w:t>
            </w:r>
            <w:r>
              <w:t>’</w:t>
            </w:r>
            <w:r w:rsidRPr="002372AA">
              <w:t xml:space="preserve">amendements. 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B05" w:rsidRPr="002372AA" w:rsidRDefault="00845B05" w:rsidP="00EE7F39">
            <w:pPr>
              <w:spacing w:before="60" w:after="60" w:line="200" w:lineRule="exact"/>
              <w:ind w:left="57" w:right="57"/>
            </w:pPr>
            <w:r w:rsidRPr="002372AA">
              <w:t>24 octobre 2016</w:t>
            </w:r>
          </w:p>
        </w:tc>
      </w:tr>
    </w:tbl>
    <w:p w:rsidR="00845B05" w:rsidRPr="002372AA" w:rsidRDefault="00845B05" w:rsidP="00845B05">
      <w:pPr>
        <w:pStyle w:val="SingleTxtG"/>
        <w:spacing w:before="120"/>
        <w:ind w:left="2268" w:hanging="1134"/>
      </w:pPr>
      <w:r w:rsidRPr="002372AA">
        <w:rPr>
          <w:lang w:val="fr-FR"/>
        </w:rPr>
        <w:t>12</w:t>
      </w:r>
      <w:r w:rsidRPr="002372AA">
        <w:t>.4</w:t>
      </w:r>
      <w:r w:rsidRPr="002372AA">
        <w:tab/>
        <w:t>Nonobstant les prescriptions du paragraphe 12.3, jusqu</w:t>
      </w:r>
      <w:r>
        <w:t>’</w:t>
      </w:r>
      <w:r w:rsidRPr="002372AA">
        <w:t>au 24 octobre 2016, aucune Partie contractante appliquant le présent Règlement ne peut refuser l</w:t>
      </w:r>
      <w:r>
        <w:t>’</w:t>
      </w:r>
      <w:r w:rsidRPr="002372AA">
        <w:t>homologation d</w:t>
      </w:r>
      <w:r>
        <w:t>’</w:t>
      </w:r>
      <w:r w:rsidRPr="002372AA">
        <w:t>un type de véhicule non conforme aux prescriptions du complément 2 à la série 11 d</w:t>
      </w:r>
      <w:r>
        <w:t>’</w:t>
      </w:r>
      <w:r w:rsidRPr="002372AA">
        <w:t>amendements au présent Règlement.</w:t>
      </w:r>
    </w:p>
    <w:p w:rsidR="00845B05" w:rsidRPr="002372AA" w:rsidRDefault="00845B05" w:rsidP="00845B05">
      <w:pPr>
        <w:pStyle w:val="SingleTxtG"/>
        <w:ind w:left="2268" w:hanging="1134"/>
        <w:rPr>
          <w:lang w:val="fr-FR"/>
        </w:rPr>
      </w:pPr>
      <w:r w:rsidRPr="002372AA">
        <w:rPr>
          <w:lang w:val="fr-FR"/>
        </w:rPr>
        <w:t>12.5</w:t>
      </w:r>
      <w:r w:rsidRPr="002372AA">
        <w:rPr>
          <w:lang w:val="fr-FR"/>
        </w:rPr>
        <w:tab/>
      </w:r>
      <w:r w:rsidRPr="002372AA">
        <w:rPr>
          <w:lang w:val="fr-FR"/>
        </w:rPr>
        <w:tab/>
        <w:t xml:space="preserve">Les Parties contractantes appliquant le présent Règlement </w:t>
      </w:r>
      <w:r w:rsidRPr="002372AA">
        <w:t>ne peuvent refuser d</w:t>
      </w:r>
      <w:r>
        <w:t>’</w:t>
      </w:r>
      <w:r w:rsidRPr="002372AA">
        <w:t>accorder des extensions d</w:t>
      </w:r>
      <w:r>
        <w:t>’</w:t>
      </w:r>
      <w:r w:rsidRPr="002372AA">
        <w:t>homologations de type existantes délivrées au titre des prescriptions en vigueur au moment de l</w:t>
      </w:r>
      <w:r>
        <w:t>’</w:t>
      </w:r>
      <w:r w:rsidRPr="002372AA">
        <w:t>homologation initiale.</w:t>
      </w:r>
    </w:p>
    <w:p w:rsidR="00845B05" w:rsidRPr="002372AA" w:rsidRDefault="00845B05" w:rsidP="00845B05">
      <w:pPr>
        <w:pStyle w:val="SingleTxtG"/>
        <w:ind w:left="2268" w:hanging="1134"/>
        <w:rPr>
          <w:lang w:val="fr-FR"/>
        </w:rPr>
      </w:pPr>
      <w:r w:rsidRPr="002372AA">
        <w:rPr>
          <w:lang w:val="fr-FR"/>
        </w:rPr>
        <w:t>12.6</w:t>
      </w:r>
      <w:r w:rsidRPr="002372AA">
        <w:rPr>
          <w:lang w:val="fr-FR"/>
        </w:rPr>
        <w:tab/>
      </w:r>
      <w:r w:rsidRPr="002372AA">
        <w:t>Nonobstant les dispositions transitoires ci-dessus, les Parties contractantes pour lesquelles le présent Règlement entre en vigueur après la date d</w:t>
      </w:r>
      <w:r>
        <w:t>’</w:t>
      </w:r>
      <w:r w:rsidRPr="002372AA">
        <w:t>entrée en vigueur de la série d</w:t>
      </w:r>
      <w:r>
        <w:t>’</w:t>
      </w:r>
      <w:r w:rsidRPr="002372AA">
        <w:t>amendements la plus récente ne sont pas obligées d</w:t>
      </w:r>
      <w:r>
        <w:t>’</w:t>
      </w:r>
      <w:r w:rsidRPr="002372AA">
        <w:t>accepter les homologations délivrées conformément à l</w:t>
      </w:r>
      <w:r>
        <w:t>’</w:t>
      </w:r>
      <w:r w:rsidRPr="002372AA">
        <w:t>une des précédentes séries d</w:t>
      </w:r>
      <w:r>
        <w:t>’</w:t>
      </w:r>
      <w:r w:rsidRPr="002372AA">
        <w:t>amendements au présent Règlement.</w:t>
      </w:r>
    </w:p>
    <w:p w:rsidR="00845B05" w:rsidRPr="002372AA" w:rsidRDefault="00845B05" w:rsidP="00845B05">
      <w:pPr>
        <w:pStyle w:val="SingleTxtG"/>
        <w:ind w:left="2268" w:hanging="1134"/>
      </w:pPr>
      <w:r w:rsidRPr="002372AA">
        <w:rPr>
          <w:lang w:val="fr-FR"/>
        </w:rPr>
        <w:t>12.7</w:t>
      </w:r>
      <w:r w:rsidRPr="002372AA">
        <w:rPr>
          <w:lang w:val="fr-FR"/>
        </w:rPr>
        <w:tab/>
        <w:t>À l</w:t>
      </w:r>
      <w:r>
        <w:rPr>
          <w:lang w:val="fr-FR"/>
        </w:rPr>
        <w:t>’</w:t>
      </w:r>
      <w:r w:rsidRPr="002372AA">
        <w:rPr>
          <w:lang w:val="fr-FR"/>
        </w:rPr>
        <w:t>expiration d</w:t>
      </w:r>
      <w:r>
        <w:rPr>
          <w:lang w:val="fr-FR"/>
        </w:rPr>
        <w:t>’</w:t>
      </w:r>
      <w:r w:rsidRPr="002372AA">
        <w:rPr>
          <w:lang w:val="fr-FR"/>
        </w:rPr>
        <w:t>un délai de 24 mois après la date d</w:t>
      </w:r>
      <w:r>
        <w:rPr>
          <w:lang w:val="fr-FR"/>
        </w:rPr>
        <w:t>’entrée en vigueur du complément </w:t>
      </w:r>
      <w:r w:rsidRPr="002372AA">
        <w:rPr>
          <w:lang w:val="fr-FR"/>
        </w:rPr>
        <w:t xml:space="preserve">12 à la série 11 </w:t>
      </w:r>
      <w:r w:rsidRPr="00BF0E15">
        <w:t>d</w:t>
      </w:r>
      <w:r>
        <w:t>’</w:t>
      </w:r>
      <w:r w:rsidRPr="00BF0E15">
        <w:t>amendements</w:t>
      </w:r>
      <w:r w:rsidRPr="002372AA">
        <w:rPr>
          <w:lang w:val="fr-FR"/>
        </w:rPr>
        <w:t xml:space="preserve">, </w:t>
      </w:r>
      <w:r w:rsidRPr="002372AA">
        <w:t xml:space="preserve">les Parties contractantes appliquant le présent Règlement ne pourront délivrer des homologations de type que si le type de véhicule à homologuer satisfait aux prescriptions du présent Règlement tel que modifié par le complément 12 à </w:t>
      </w:r>
      <w:r w:rsidRPr="002372AA">
        <w:rPr>
          <w:lang w:val="fr-FR"/>
        </w:rPr>
        <w:t>la série 11 d</w:t>
      </w:r>
      <w:r>
        <w:rPr>
          <w:lang w:val="fr-FR"/>
        </w:rPr>
        <w:t>’</w:t>
      </w:r>
      <w:r w:rsidRPr="002372AA">
        <w:rPr>
          <w:lang w:val="fr-FR"/>
        </w:rPr>
        <w:t>amendements.»</w:t>
      </w:r>
      <w:r>
        <w:t>.</w:t>
      </w:r>
    </w:p>
    <w:p w:rsidR="00845B05" w:rsidRDefault="00845B05" w:rsidP="00845B05">
      <w:pPr>
        <w:pStyle w:val="SingleTxtG"/>
      </w:pPr>
      <w:r>
        <w:rPr>
          <w:i/>
        </w:rPr>
        <w:t>Annexe </w:t>
      </w:r>
      <w:r w:rsidRPr="00BF0E15">
        <w:rPr>
          <w:i/>
        </w:rPr>
        <w:t>21</w:t>
      </w:r>
      <w:r w:rsidR="00376E4C">
        <w:rPr>
          <w:i/>
        </w:rPr>
        <w:t>,</w:t>
      </w:r>
    </w:p>
    <w:p w:rsidR="00845B05" w:rsidRPr="002372AA" w:rsidRDefault="00845B05" w:rsidP="00845B05">
      <w:pPr>
        <w:pStyle w:val="SingleTxtG"/>
        <w:keepNext/>
      </w:pPr>
      <w:r>
        <w:rPr>
          <w:i/>
        </w:rPr>
        <w:t>Paragraphe </w:t>
      </w:r>
      <w:r w:rsidRPr="00BF0E15">
        <w:rPr>
          <w:i/>
        </w:rPr>
        <w:t>2.1.4</w:t>
      </w:r>
      <w:r w:rsidRPr="002372AA">
        <w:t>, modifier comme suit:</w:t>
      </w:r>
    </w:p>
    <w:p w:rsidR="00845B05" w:rsidRPr="002372AA" w:rsidRDefault="00845B05" w:rsidP="00845B05">
      <w:pPr>
        <w:pStyle w:val="SingleTxtG"/>
        <w:ind w:left="2268" w:hanging="1134"/>
        <w:rPr>
          <w:spacing w:val="-1"/>
        </w:rPr>
      </w:pPr>
      <w:r w:rsidRPr="002372AA">
        <w:rPr>
          <w:spacing w:val="-1"/>
        </w:rPr>
        <w:t>«2.1.4</w:t>
      </w:r>
      <w:r w:rsidRPr="002372AA">
        <w:rPr>
          <w:spacing w:val="-1"/>
        </w:rPr>
        <w:tab/>
        <w:t xml:space="preserve">Toute intervention de la </w:t>
      </w:r>
      <w:r w:rsidRPr="00BF0E15">
        <w:rPr>
          <w:lang w:val="fr-FR"/>
        </w:rPr>
        <w:t>fonction</w:t>
      </w:r>
      <w:r w:rsidRPr="002372AA">
        <w:rPr>
          <w:spacing w:val="-1"/>
        </w:rPr>
        <w:t xml:space="preserve"> de contrôle de la stabilité du véhicule doit être indiquée au conducteur par un signal d</w:t>
      </w:r>
      <w:r>
        <w:rPr>
          <w:spacing w:val="-1"/>
        </w:rPr>
        <w:t>’</w:t>
      </w:r>
      <w:r w:rsidRPr="002372AA">
        <w:rPr>
          <w:spacing w:val="-1"/>
        </w:rPr>
        <w:t>avertissement optique clignotant conforme aux prescriptions techniques pertinentes du Règlement n</w:t>
      </w:r>
      <w:r w:rsidRPr="002372AA">
        <w:rPr>
          <w:spacing w:val="-1"/>
          <w:vertAlign w:val="superscript"/>
        </w:rPr>
        <w:t>o</w:t>
      </w:r>
      <w:r w:rsidRPr="002372AA">
        <w:rPr>
          <w:spacing w:val="-1"/>
        </w:rPr>
        <w:t> 121. Le signal doit être émis aussi longtemps que dure l</w:t>
      </w:r>
      <w:r>
        <w:rPr>
          <w:spacing w:val="-1"/>
        </w:rPr>
        <w:t>’</w:t>
      </w:r>
      <w:r w:rsidRPr="002372AA">
        <w:rPr>
          <w:spacing w:val="-1"/>
        </w:rPr>
        <w:t>intervention de la fonction de contrôle de stabilité. Le signal d</w:t>
      </w:r>
      <w:r>
        <w:rPr>
          <w:spacing w:val="-1"/>
        </w:rPr>
        <w:t>’</w:t>
      </w:r>
      <w:r w:rsidRPr="002372AA">
        <w:rPr>
          <w:spacing w:val="-1"/>
        </w:rPr>
        <w:t>avertissement défini au paragraphe 5.2.1.29.1.2 du présent Règlement ne doit pas être utilisé à cette fin.</w:t>
      </w:r>
    </w:p>
    <w:p w:rsidR="00845B05" w:rsidRPr="002372AA" w:rsidRDefault="00845B05" w:rsidP="00845B05">
      <w:pPr>
        <w:pStyle w:val="SingleTxtG"/>
        <w:ind w:left="2268"/>
      </w:pPr>
      <w:r w:rsidRPr="002372AA">
        <w:t xml:space="preserve">En </w:t>
      </w:r>
      <w:r w:rsidRPr="00BF0E15">
        <w:rPr>
          <w:lang w:val="fr-FR"/>
        </w:rPr>
        <w:t>outre</w:t>
      </w:r>
      <w:r w:rsidRPr="002372AA">
        <w:t>…</w:t>
      </w:r>
    </w:p>
    <w:p w:rsidR="00845B05" w:rsidRPr="002372AA" w:rsidRDefault="00845B05" w:rsidP="00845B05">
      <w:pPr>
        <w:pStyle w:val="SingleTxtG"/>
        <w:ind w:left="2268"/>
      </w:pPr>
      <w:r w:rsidRPr="002372AA">
        <w:t>…</w:t>
      </w:r>
      <w:r>
        <w:t xml:space="preserve"> </w:t>
      </w:r>
      <w:r w:rsidRPr="002372AA">
        <w:t xml:space="preserve">ne doivent pas </w:t>
      </w:r>
      <w:r w:rsidRPr="00BF0E15">
        <w:rPr>
          <w:lang w:val="fr-FR"/>
        </w:rPr>
        <w:t>causer</w:t>
      </w:r>
      <w:r w:rsidRPr="002372AA">
        <w:t xml:space="preserve"> l</w:t>
      </w:r>
      <w:r>
        <w:t>’</w:t>
      </w:r>
      <w:r w:rsidRPr="002372AA">
        <w:t>émission de ce signal.».</w:t>
      </w:r>
    </w:p>
    <w:p w:rsidR="00845B05" w:rsidRPr="002372AA" w:rsidRDefault="00845B05" w:rsidP="00845B05">
      <w:pPr>
        <w:pStyle w:val="SingleTxtG"/>
        <w:keepNext/>
      </w:pPr>
      <w:r w:rsidRPr="002372AA">
        <w:rPr>
          <w:i/>
        </w:rPr>
        <w:t>Paragraphe 2.1.5</w:t>
      </w:r>
      <w:r w:rsidRPr="002372AA">
        <w:t>, modifier comme suit:</w:t>
      </w:r>
    </w:p>
    <w:p w:rsidR="00845B05" w:rsidRPr="002372AA" w:rsidRDefault="00845B05" w:rsidP="00845B05">
      <w:pPr>
        <w:pStyle w:val="SingleTxtG"/>
        <w:ind w:left="2268" w:hanging="1134"/>
      </w:pPr>
      <w:r w:rsidRPr="002372AA">
        <w:t>«2.1.5</w:t>
      </w:r>
      <w:r w:rsidRPr="002372AA">
        <w:tab/>
        <w:t>Toute défaillance de la fonction de contrôle de la stabilité doit être détectée et signalée au conducteur au moyen d</w:t>
      </w:r>
      <w:r>
        <w:t>’</w:t>
      </w:r>
      <w:r w:rsidRPr="002372AA">
        <w:t xml:space="preserve">un signal </w:t>
      </w:r>
      <w:r w:rsidRPr="00BF0E15">
        <w:rPr>
          <w:spacing w:val="-1"/>
        </w:rPr>
        <w:t>d</w:t>
      </w:r>
      <w:r>
        <w:rPr>
          <w:spacing w:val="-1"/>
        </w:rPr>
        <w:t>’</w:t>
      </w:r>
      <w:r w:rsidRPr="00BF0E15">
        <w:rPr>
          <w:spacing w:val="-1"/>
        </w:rPr>
        <w:t>avertissement</w:t>
      </w:r>
      <w:r w:rsidRPr="002372AA">
        <w:t xml:space="preserve"> optique conforme aux prescriptions techniques pertinentes du Règlement n</w:t>
      </w:r>
      <w:r w:rsidRPr="002372AA">
        <w:rPr>
          <w:vertAlign w:val="superscript"/>
        </w:rPr>
        <w:t>o</w:t>
      </w:r>
      <w:r w:rsidRPr="002372AA">
        <w:t> 121.</w:t>
      </w:r>
    </w:p>
    <w:p w:rsidR="00845B05" w:rsidRPr="002372AA" w:rsidRDefault="00845B05" w:rsidP="00845B05">
      <w:pPr>
        <w:pStyle w:val="SingleTxtG"/>
        <w:ind w:left="2268"/>
      </w:pPr>
      <w:r w:rsidRPr="002372AA">
        <w:t>Le signal d</w:t>
      </w:r>
      <w:r>
        <w:t>’</w:t>
      </w:r>
      <w:r w:rsidRPr="002372AA">
        <w:t xml:space="preserve">avertissement défini </w:t>
      </w:r>
      <w:r w:rsidRPr="00BF0E15">
        <w:rPr>
          <w:spacing w:val="-1"/>
        </w:rPr>
        <w:t>au</w:t>
      </w:r>
      <w:r w:rsidRPr="002372AA">
        <w:t xml:space="preserve"> </w:t>
      </w:r>
      <w:r w:rsidRPr="00BF0E15">
        <w:rPr>
          <w:lang w:val="fr-FR"/>
        </w:rPr>
        <w:t>paragraphe</w:t>
      </w:r>
      <w:r>
        <w:t> </w:t>
      </w:r>
      <w:r w:rsidRPr="002372AA">
        <w:t>5.2.1.29.1.2 du présent Règlement ne doit pas être utilisé à cette fin.</w:t>
      </w:r>
    </w:p>
    <w:p w:rsidR="00845B05" w:rsidRPr="002372AA" w:rsidRDefault="00845B05" w:rsidP="00845B05">
      <w:pPr>
        <w:pStyle w:val="SingleTxtG"/>
        <w:ind w:left="2268"/>
      </w:pPr>
      <w:r w:rsidRPr="002372AA">
        <w:t>Le signal d</w:t>
      </w:r>
      <w:r>
        <w:t>’</w:t>
      </w:r>
      <w:r w:rsidRPr="002372AA">
        <w:t>avertissement doit être constant et doit rester allumé aussi longtemps que le défaut ou la défaillance persiste et qu</w:t>
      </w:r>
      <w:r>
        <w:t>e le contact est mis (position “marche”</w:t>
      </w:r>
      <w:r w:rsidRPr="002372AA">
        <w:t>).».</w:t>
      </w:r>
    </w:p>
    <w:p w:rsidR="00845B05" w:rsidRPr="002372AA" w:rsidRDefault="00845B05" w:rsidP="00845B05">
      <w:pPr>
        <w:pStyle w:val="SingleTxtG"/>
        <w:keepNext/>
      </w:pPr>
      <w:r w:rsidRPr="002372AA">
        <w:rPr>
          <w:i/>
        </w:rPr>
        <w:t>Paragraphe 2.1.6</w:t>
      </w:r>
      <w:r w:rsidRPr="002372AA">
        <w:t>, modifier comme suit:</w:t>
      </w:r>
    </w:p>
    <w:p w:rsidR="00845B05" w:rsidRDefault="00845B05" w:rsidP="00845B05">
      <w:pPr>
        <w:pStyle w:val="SingleTxtG"/>
        <w:ind w:left="2268" w:hanging="1134"/>
      </w:pPr>
      <w:r w:rsidRPr="002372AA">
        <w:t>«2.1.6</w:t>
      </w:r>
      <w:r w:rsidRPr="002372AA">
        <w:tab/>
        <w:t>Sur les véhicules à moteur équipés d</w:t>
      </w:r>
      <w:r>
        <w:t>’</w:t>
      </w:r>
      <w:r w:rsidRPr="002372AA">
        <w:t>une ligne de commande électrique et reliés électriquement à une remorque au moyen d</w:t>
      </w:r>
      <w:r>
        <w:t>’</w:t>
      </w:r>
      <w:r w:rsidRPr="002372AA">
        <w:t>une ligne de commande électrique, le conducteur doit être averti au moyen d</w:t>
      </w:r>
      <w:r>
        <w:t>’</w:t>
      </w:r>
      <w:r w:rsidRPr="002372AA">
        <w:t>un signal d</w:t>
      </w:r>
      <w:r>
        <w:t>’</w:t>
      </w:r>
      <w:r w:rsidRPr="002372AA">
        <w:t>avertissement optique distinct conforme aux prescriptions techniques pertinentes du Règlement n</w:t>
      </w:r>
      <w:r w:rsidRPr="002372AA">
        <w:rPr>
          <w:vertAlign w:val="superscript"/>
        </w:rPr>
        <w:t>o</w:t>
      </w:r>
      <w:r w:rsidRPr="002372AA">
        <w:t> 121 chaque fois que</w:t>
      </w:r>
      <w:r>
        <w:t xml:space="preserve"> la remorque envoie le message “</w:t>
      </w:r>
      <w:r w:rsidRPr="002372AA">
        <w:t>Fonction de contrôle de la trajectoire activée</w:t>
      </w:r>
      <w:r>
        <w:t>”</w:t>
      </w:r>
      <w:r w:rsidRPr="002372AA">
        <w:t xml:space="preserve"> par l</w:t>
      </w:r>
      <w:r>
        <w:t>’</w:t>
      </w:r>
      <w:r w:rsidRPr="002372AA">
        <w:t>intermédiaire de la voie de communication de données sur la ligne de commande électrique. Le signal optique défini au paragraphe 2.1.4 ci-dessus peut être utilisé à cette fin.».</w:t>
      </w:r>
    </w:p>
    <w:p w:rsidR="00845B05" w:rsidRPr="00FA1DFB" w:rsidRDefault="00845B05" w:rsidP="00845B0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0207" w:rsidRPr="00DD1ED8" w:rsidRDefault="005F0207" w:rsidP="00845B05">
      <w:pPr>
        <w:pStyle w:val="SingleTxtG"/>
        <w:rPr>
          <w:u w:val="single"/>
        </w:rPr>
      </w:pPr>
    </w:p>
    <w:sectPr w:rsidR="005F0207" w:rsidRPr="00DD1ED8" w:rsidSect="000314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88" w:rsidRDefault="00FB3A88"/>
  </w:endnote>
  <w:endnote w:type="continuationSeparator" w:id="0">
    <w:p w:rsidR="00FB3A88" w:rsidRDefault="00FB3A88">
      <w:pPr>
        <w:pStyle w:val="Footer"/>
      </w:pPr>
    </w:p>
  </w:endnote>
  <w:endnote w:type="continuationNotice" w:id="1">
    <w:p w:rsidR="00FB3A88" w:rsidRPr="00C451B9" w:rsidRDefault="00FB3A8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9F6203">
      <w:rPr>
        <w:b/>
        <w:noProof/>
        <w:sz w:val="18"/>
      </w:rPr>
      <w:t>4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9F6203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9F6203" w:rsidP="00E97E2C">
    <w:pPr>
      <w:ind w:left="1134" w:right="1134"/>
      <w:jc w:val="cent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0.15pt;margin-top:651.95pt;width:86.95pt;height:18.35pt;z-index:251657728;mso-position-horizontal-relative:margin;mso-position-vertical-relative:margin">
          <v:imagedata r:id="rId1" o:title="recycle_French"/>
          <w10:wrap anchorx="margin" anchory="margin"/>
        </v:shape>
      </w:pict>
    </w:r>
    <w:r w:rsidR="00710974">
      <w:t>_______________</w:t>
    </w:r>
  </w:p>
  <w:p w:rsidR="00710974" w:rsidRDefault="009F6203" w:rsidP="00E97E2C">
    <w:pPr>
      <w:jc w:val="center"/>
      <w:rPr>
        <w:b/>
        <w:bCs/>
        <w:sz w:val="22"/>
      </w:rPr>
    </w:pPr>
    <w:r>
      <w:pict>
        <v:shape id="_x0000_i1025" type="#_x0000_t75" style="width:1in;height:60.6pt;mso-wrap-distance-bottom:10.8pt" o:allowoverlap="f" fillcolor="window">
          <v:imagedata r:id="rId2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710974" w:rsidRPr="000314C7" w:rsidRDefault="00710974" w:rsidP="000314C7">
    <w:pPr>
      <w:pStyle w:val="Footer"/>
      <w:spacing w:before="120"/>
      <w:rPr>
        <w:sz w:val="20"/>
      </w:rPr>
    </w:pPr>
    <w:r>
      <w:rPr>
        <w:sz w:val="20"/>
      </w:rPr>
      <w:t>GE</w:t>
    </w:r>
    <w:r w:rsidR="004750C7">
      <w:rPr>
        <w:sz w:val="20"/>
      </w:rPr>
      <w:t>.-15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88" w:rsidRPr="00D27D5E" w:rsidRDefault="00FB3A8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B3A88" w:rsidRPr="00D171D4" w:rsidRDefault="00FB3A8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FB3A88" w:rsidRPr="00C451B9" w:rsidRDefault="00FB3A88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>
    <w:pPr>
      <w:pStyle w:val="Header"/>
    </w:pPr>
    <w:r>
      <w:t>E/ECE/324</w:t>
    </w:r>
    <w:r w:rsidR="00845B05">
      <w:t>/Rev.1/Add.12/Rev.8/Amend.2</w:t>
    </w:r>
    <w:r>
      <w:br/>
      <w:t>E/ECE/TRANS/505</w:t>
    </w:r>
    <w:r w:rsidR="00845B05">
      <w:t>/Rev.1/Add.12/Rev.8/Amend.2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Header"/>
      <w:jc w:val="right"/>
    </w:pPr>
    <w:r>
      <w:t>E/ECE/324</w:t>
    </w:r>
    <w:r w:rsidR="00845B05">
      <w:t>/Rev.1/Add.12/Rev.8/Amend.2</w:t>
    </w:r>
    <w:r>
      <w:br/>
      <w:t>E/ECE/TRANS/505</w:t>
    </w:r>
    <w:r w:rsidR="00845B05">
      <w:t>/Rev.1/Add.12/Rev.8/Amend.2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8CD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3405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1A6A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76E4C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3A67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5F7E33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45B05"/>
    <w:rsid w:val="00851A74"/>
    <w:rsid w:val="00853AB8"/>
    <w:rsid w:val="00854C34"/>
    <w:rsid w:val="0085586A"/>
    <w:rsid w:val="00856DB2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9F6203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6598E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407B"/>
    <w:rsid w:val="00EB77B9"/>
    <w:rsid w:val="00EB7D07"/>
    <w:rsid w:val="00ED3A26"/>
    <w:rsid w:val="00EE7F39"/>
    <w:rsid w:val="00EF70BB"/>
    <w:rsid w:val="00F02FA9"/>
    <w:rsid w:val="00F06660"/>
    <w:rsid w:val="00F07AE1"/>
    <w:rsid w:val="00F116EB"/>
    <w:rsid w:val="00F1794E"/>
    <w:rsid w:val="00F211AF"/>
    <w:rsid w:val="00F25EC3"/>
    <w:rsid w:val="00F32492"/>
    <w:rsid w:val="00F32ADB"/>
    <w:rsid w:val="00F32C98"/>
    <w:rsid w:val="00F37E12"/>
    <w:rsid w:val="00F424BD"/>
    <w:rsid w:val="00F45D41"/>
    <w:rsid w:val="00F46AD8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3A88"/>
    <w:rsid w:val="00FB4300"/>
    <w:rsid w:val="00FB4C51"/>
    <w:rsid w:val="00FB734D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845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5B05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Lamy</dc:creator>
  <cp:lastModifiedBy>04</cp:lastModifiedBy>
  <cp:revision>3</cp:revision>
  <cp:lastPrinted>2015-06-05T09:47:00Z</cp:lastPrinted>
  <dcterms:created xsi:type="dcterms:W3CDTF">2015-06-15T09:27:00Z</dcterms:created>
  <dcterms:modified xsi:type="dcterms:W3CDTF">2015-06-22T09:41:00Z</dcterms:modified>
</cp:coreProperties>
</file>