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95A7B">
        <w:trPr>
          <w:trHeight w:hRule="exact" w:val="851"/>
        </w:trPr>
        <w:tc>
          <w:tcPr>
            <w:tcW w:w="9639" w:type="dxa"/>
            <w:gridSpan w:val="2"/>
            <w:tcBorders>
              <w:bottom w:val="single" w:sz="4" w:space="0" w:color="auto"/>
            </w:tcBorders>
            <w:shd w:val="clear" w:color="auto" w:fill="auto"/>
            <w:vAlign w:val="bottom"/>
          </w:tcPr>
          <w:p w:rsidR="00421A10" w:rsidRPr="00DB58B5" w:rsidRDefault="000314C7" w:rsidP="007C7FAE">
            <w:pPr>
              <w:jc w:val="right"/>
            </w:pPr>
            <w:r w:rsidRPr="00495A7B">
              <w:rPr>
                <w:sz w:val="40"/>
              </w:rPr>
              <w:t>E</w:t>
            </w:r>
            <w:r>
              <w:t>/ECE/324/</w:t>
            </w:r>
            <w:r w:rsidR="007C7FAE">
              <w:t>Add.2/Rev.4/Amend.2</w:t>
            </w:r>
            <w:r>
              <w:t>−</w:t>
            </w:r>
            <w:r w:rsidRPr="00495A7B">
              <w:rPr>
                <w:sz w:val="40"/>
              </w:rPr>
              <w:t>E</w:t>
            </w:r>
            <w:r>
              <w:t>/ECE/TRANS/505</w:t>
            </w:r>
            <w:r w:rsidR="002C5B16">
              <w:t>/</w:t>
            </w:r>
            <w:r w:rsidR="007C7FAE">
              <w:t>Add.2/Rev.4/Amend.2</w:t>
            </w:r>
          </w:p>
        </w:tc>
      </w:tr>
      <w:tr w:rsidR="00421A10" w:rsidRPr="00DB58B5" w:rsidTr="00495A7B">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495A7B">
            <w:pPr>
              <w:spacing w:before="120" w:line="380" w:lineRule="exact"/>
            </w:pPr>
          </w:p>
        </w:tc>
        <w:tc>
          <w:tcPr>
            <w:tcW w:w="2835" w:type="dxa"/>
            <w:tcBorders>
              <w:top w:val="single" w:sz="4" w:space="0" w:color="auto"/>
              <w:bottom w:val="single" w:sz="12" w:space="0" w:color="auto"/>
            </w:tcBorders>
            <w:shd w:val="clear" w:color="auto" w:fill="auto"/>
          </w:tcPr>
          <w:p w:rsidR="00421A10" w:rsidRPr="00DB58B5" w:rsidRDefault="000E2EC1" w:rsidP="00495A7B">
            <w:pPr>
              <w:spacing w:before="480" w:line="240" w:lineRule="exact"/>
            </w:pPr>
            <w:r>
              <w:rPr>
                <w:lang w:val="en-GB" w:eastAsia="en-GB"/>
              </w:rPr>
              <w:t xml:space="preserve">9 </w:t>
            </w:r>
            <w:proofErr w:type="spellStart"/>
            <w:r>
              <w:rPr>
                <w:lang w:val="en-GB" w:eastAsia="en-GB"/>
              </w:rPr>
              <w:t>novembre</w:t>
            </w:r>
            <w:proofErr w:type="spellEnd"/>
            <w:r>
              <w:rPr>
                <w:lang w:val="en-GB" w:eastAsia="en-GB"/>
              </w:rPr>
              <w:t xml:space="preserve"> 2015</w:t>
            </w:r>
            <w:bookmarkStart w:id="0" w:name="_GoBack"/>
            <w:bookmarkEnd w:id="0"/>
          </w:p>
        </w:tc>
      </w:tr>
    </w:tbl>
    <w:p w:rsidR="00421A10" w:rsidRPr="006549FF" w:rsidRDefault="0029791D" w:rsidP="00242268">
      <w:pPr>
        <w:pStyle w:val="HChG"/>
        <w:spacing w:before="320" w:after="220" w:line="260" w:lineRule="exact"/>
      </w:pPr>
      <w:r>
        <w:tab/>
      </w:r>
      <w:r>
        <w:tab/>
      </w:r>
      <w:r w:rsidR="00421A10" w:rsidRPr="006549FF">
        <w:t>Accord</w:t>
      </w:r>
    </w:p>
    <w:p w:rsidR="00421A10" w:rsidRPr="00583D68" w:rsidRDefault="0029791D" w:rsidP="00242268">
      <w:pPr>
        <w:pStyle w:val="H1G"/>
        <w:spacing w:before="340" w:after="220" w:line="26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037B3F">
        <w:rPr>
          <w:b w:val="0"/>
          <w:sz w:val="20"/>
        </w:rPr>
        <w:t>*</w:t>
      </w:r>
    </w:p>
    <w:p w:rsidR="00421A10" w:rsidRPr="00A12483" w:rsidRDefault="00421A10" w:rsidP="00242268">
      <w:pPr>
        <w:pStyle w:val="SingleTxtG"/>
        <w:spacing w:after="100" w:line="220" w:lineRule="atLeast"/>
        <w:jc w:val="left"/>
        <w:rPr>
          <w:b/>
          <w:sz w:val="24"/>
          <w:szCs w:val="24"/>
        </w:rPr>
      </w:pPr>
      <w:r w:rsidRPr="006549FF">
        <w:t xml:space="preserve">(Révision </w:t>
      </w:r>
      <w:r w:rsidR="000314C7">
        <w:t>2</w:t>
      </w:r>
      <w:r w:rsidRPr="006549FF">
        <w:t>, comprenant les amen</w:t>
      </w:r>
      <w:r>
        <w:t xml:space="preserve">dements entrés en vigueur le 16 </w:t>
      </w:r>
      <w:r w:rsidRPr="006549FF">
        <w:t>octobre 1995)</w:t>
      </w:r>
    </w:p>
    <w:p w:rsidR="00421A10" w:rsidRPr="006549FF" w:rsidRDefault="0029791D" w:rsidP="00242268">
      <w:pPr>
        <w:spacing w:line="220" w:lineRule="atLeast"/>
        <w:jc w:val="center"/>
      </w:pPr>
      <w:r>
        <w:t>_______________</w:t>
      </w:r>
    </w:p>
    <w:p w:rsidR="00421A10" w:rsidRPr="006549FF" w:rsidRDefault="0029791D" w:rsidP="009E1B92">
      <w:pPr>
        <w:pStyle w:val="H1G"/>
      </w:pPr>
      <w:r>
        <w:tab/>
      </w:r>
      <w:r>
        <w:tab/>
      </w:r>
      <w:r w:rsidR="00421A10" w:rsidRPr="006549FF">
        <w:t xml:space="preserve">Additif </w:t>
      </w:r>
      <w:r w:rsidR="007C7FAE">
        <w:t>2</w:t>
      </w:r>
      <w:r w:rsidR="00421A10" w:rsidRPr="006549FF">
        <w:t>: Règlement</w:t>
      </w:r>
      <w:r w:rsidR="00421A10">
        <w:t xml:space="preserve"> </w:t>
      </w:r>
      <w:r w:rsidR="00421A10" w:rsidRPr="00B371BF">
        <w:t>n</w:t>
      </w:r>
      <w:r w:rsidR="00421A10" w:rsidRPr="00B371BF">
        <w:rPr>
          <w:vertAlign w:val="superscript"/>
        </w:rPr>
        <w:t>o</w:t>
      </w:r>
      <w:r w:rsidR="00421A10">
        <w:t> </w:t>
      </w:r>
      <w:r w:rsidR="007C7FAE">
        <w:t>3</w:t>
      </w:r>
    </w:p>
    <w:p w:rsidR="00421A10" w:rsidRPr="006549FF" w:rsidRDefault="0029791D" w:rsidP="00242268">
      <w:pPr>
        <w:pStyle w:val="H1G"/>
        <w:spacing w:before="220" w:after="100" w:line="240" w:lineRule="exact"/>
      </w:pPr>
      <w:r>
        <w:tab/>
      </w:r>
      <w:r>
        <w:tab/>
      </w:r>
      <w:r w:rsidR="00421A10" w:rsidRPr="006549FF">
        <w:t xml:space="preserve">Révision </w:t>
      </w:r>
      <w:r w:rsidR="007C7FAE">
        <w:t>4</w:t>
      </w:r>
      <w:r w:rsidR="000314C7">
        <w:t xml:space="preserve"> − Amendement </w:t>
      </w:r>
      <w:r w:rsidR="007C7FAE">
        <w:t>2</w:t>
      </w:r>
    </w:p>
    <w:p w:rsidR="00015650" w:rsidRPr="00FC2CA9" w:rsidRDefault="003A58D8" w:rsidP="00242268">
      <w:pPr>
        <w:pStyle w:val="SingleTxtG"/>
        <w:spacing w:after="100" w:line="200" w:lineRule="atLeast"/>
        <w:jc w:val="left"/>
        <w:rPr>
          <w:spacing w:val="-2"/>
        </w:rPr>
      </w:pPr>
      <w:r w:rsidRPr="00FC2CA9">
        <w:rPr>
          <w:spacing w:val="-2"/>
        </w:rPr>
        <w:t xml:space="preserve">Complément </w:t>
      </w:r>
      <w:r w:rsidR="000D7049">
        <w:rPr>
          <w:spacing w:val="-2"/>
        </w:rPr>
        <w:t>16</w:t>
      </w:r>
      <w:r w:rsidR="00FC2CA9" w:rsidRPr="00FC2CA9">
        <w:rPr>
          <w:spacing w:val="-2"/>
        </w:rPr>
        <w:t xml:space="preserve"> </w:t>
      </w:r>
      <w:r w:rsidRPr="00FC2CA9">
        <w:rPr>
          <w:spacing w:val="-2"/>
        </w:rPr>
        <w:t>à la</w:t>
      </w:r>
      <w:r w:rsidR="00FC2CA9" w:rsidRPr="00FC2CA9">
        <w:rPr>
          <w:spacing w:val="-2"/>
        </w:rPr>
        <w:t xml:space="preserve"> </w:t>
      </w:r>
      <w:r w:rsidR="00EF5EBC">
        <w:rPr>
          <w:spacing w:val="-2"/>
        </w:rPr>
        <w:t xml:space="preserve">série </w:t>
      </w:r>
      <w:r w:rsidR="000D7049">
        <w:rPr>
          <w:spacing w:val="-2"/>
        </w:rPr>
        <w:t>02</w:t>
      </w:r>
      <w:r w:rsidR="00EF5EBC">
        <w:rPr>
          <w:spacing w:val="-2"/>
        </w:rPr>
        <w:t xml:space="preserve"> d'amendements a</w:t>
      </w:r>
      <w:r w:rsidR="00FC2CA9" w:rsidRPr="00FC2CA9">
        <w:rPr>
          <w:spacing w:val="-2"/>
        </w:rPr>
        <w:t>u</w:t>
      </w:r>
      <w:r w:rsidR="00015650" w:rsidRPr="00FC2CA9">
        <w:rPr>
          <w:spacing w:val="-2"/>
        </w:rPr>
        <w:t xml:space="preserve"> Règlement − Date d’entrée en vigueur:</w:t>
      </w:r>
      <w:r w:rsidR="007C7FAE">
        <w:rPr>
          <w:spacing w:val="-2"/>
        </w:rPr>
        <w:t xml:space="preserve"> </w:t>
      </w:r>
      <w:r w:rsidR="000D7049">
        <w:rPr>
          <w:spacing w:val="-2"/>
        </w:rPr>
        <w:br/>
      </w:r>
      <w:r w:rsidR="007C7FAE">
        <w:rPr>
          <w:spacing w:val="-2"/>
        </w:rPr>
        <w:t>8 octobre 2015</w:t>
      </w:r>
      <w:r w:rsidR="00015650" w:rsidRPr="00FC2CA9">
        <w:rPr>
          <w:spacing w:val="-2"/>
        </w:rPr>
        <w:t xml:space="preserve"> </w:t>
      </w:r>
    </w:p>
    <w:p w:rsidR="00DD1ED8" w:rsidRPr="00242268" w:rsidRDefault="00DD1ED8" w:rsidP="00242268">
      <w:pPr>
        <w:pStyle w:val="H1G"/>
        <w:spacing w:line="260" w:lineRule="exact"/>
        <w:rPr>
          <w:spacing w:val="-2"/>
        </w:rPr>
      </w:pPr>
      <w:r>
        <w:tab/>
      </w:r>
      <w:r>
        <w:tab/>
      </w:r>
      <w:r w:rsidR="007C7FAE" w:rsidRPr="007C7FAE">
        <w:rPr>
          <w:spacing w:val="-2"/>
        </w:rPr>
        <w:t>Prescriptions uniformes relatives à l'homologation des dispositifs catadioptriques pour véhicules à moteur et leurs remorques</w:t>
      </w:r>
    </w:p>
    <w:p w:rsidR="00D5218B" w:rsidRDefault="001D3393" w:rsidP="000D7049">
      <w:pPr>
        <w:pStyle w:val="SingleTxtG"/>
        <w:rPr>
          <w:lang w:val="en-GB" w:eastAsia="en-GB"/>
        </w:rPr>
      </w:pPr>
      <w:r w:rsidRPr="001D3393">
        <w:rPr>
          <w:lang w:val="en-GB" w:eastAsia="en-GB"/>
        </w:rPr>
        <w:t xml:space="preserve">Ce document </w:t>
      </w:r>
      <w:proofErr w:type="spellStart"/>
      <w:r w:rsidRPr="001D3393">
        <w:rPr>
          <w:lang w:val="en-GB" w:eastAsia="en-GB"/>
        </w:rPr>
        <w:t>constitue</w:t>
      </w:r>
      <w:proofErr w:type="spellEnd"/>
      <w:r w:rsidRPr="001D3393">
        <w:rPr>
          <w:lang w:val="en-GB" w:eastAsia="en-GB"/>
        </w:rPr>
        <w:t xml:space="preserve"> </w:t>
      </w:r>
      <w:proofErr w:type="gramStart"/>
      <w:r w:rsidRPr="001D3393">
        <w:rPr>
          <w:lang w:val="en-GB" w:eastAsia="en-GB"/>
        </w:rPr>
        <w:t>un</w:t>
      </w:r>
      <w:proofErr w:type="gramEnd"/>
      <w:r w:rsidRPr="001D3393">
        <w:rPr>
          <w:lang w:val="en-GB" w:eastAsia="en-GB"/>
        </w:rPr>
        <w:t xml:space="preserve"> </w:t>
      </w:r>
      <w:proofErr w:type="spellStart"/>
      <w:r w:rsidRPr="001D3393">
        <w:rPr>
          <w:lang w:val="en-GB" w:eastAsia="en-GB"/>
        </w:rPr>
        <w:t>outil</w:t>
      </w:r>
      <w:proofErr w:type="spellEnd"/>
      <w:r w:rsidRPr="001D3393">
        <w:rPr>
          <w:lang w:val="en-GB" w:eastAsia="en-GB"/>
        </w:rPr>
        <w:t xml:space="preserve"> de documentation. Le </w:t>
      </w:r>
      <w:proofErr w:type="spellStart"/>
      <w:r w:rsidRPr="001D3393">
        <w:rPr>
          <w:lang w:val="en-GB" w:eastAsia="en-GB"/>
        </w:rPr>
        <w:t>texte</w:t>
      </w:r>
      <w:proofErr w:type="spellEnd"/>
      <w:r w:rsidRPr="001D3393">
        <w:rPr>
          <w:lang w:val="en-GB" w:eastAsia="en-GB"/>
        </w:rPr>
        <w:t xml:space="preserve"> </w:t>
      </w:r>
      <w:proofErr w:type="spellStart"/>
      <w:r w:rsidRPr="001D3393">
        <w:rPr>
          <w:lang w:val="en-GB" w:eastAsia="en-GB"/>
        </w:rPr>
        <w:t>authentique</w:t>
      </w:r>
      <w:proofErr w:type="spellEnd"/>
      <w:r w:rsidRPr="001D3393">
        <w:rPr>
          <w:lang w:val="en-GB" w:eastAsia="en-GB"/>
        </w:rPr>
        <w:t xml:space="preserve"> </w:t>
      </w:r>
      <w:proofErr w:type="gramStart"/>
      <w:r w:rsidRPr="001D3393">
        <w:rPr>
          <w:lang w:val="en-GB" w:eastAsia="en-GB"/>
        </w:rPr>
        <w:t>et</w:t>
      </w:r>
      <w:proofErr w:type="gramEnd"/>
      <w:r w:rsidRPr="001D3393">
        <w:rPr>
          <w:lang w:val="en-GB" w:eastAsia="en-GB"/>
        </w:rPr>
        <w:t xml:space="preserve"> </w:t>
      </w:r>
      <w:proofErr w:type="spellStart"/>
      <w:r w:rsidRPr="001D3393">
        <w:rPr>
          <w:lang w:val="en-GB" w:eastAsia="en-GB"/>
        </w:rPr>
        <w:t>contraignant</w:t>
      </w:r>
      <w:proofErr w:type="spellEnd"/>
      <w:r w:rsidRPr="001D3393">
        <w:rPr>
          <w:lang w:val="en-GB" w:eastAsia="en-GB"/>
        </w:rPr>
        <w:t xml:space="preserve"> </w:t>
      </w:r>
      <w:proofErr w:type="spellStart"/>
      <w:r w:rsidRPr="001D3393">
        <w:rPr>
          <w:lang w:val="en-GB" w:eastAsia="en-GB"/>
        </w:rPr>
        <w:t>juridique</w:t>
      </w:r>
      <w:proofErr w:type="spellEnd"/>
      <w:r w:rsidRPr="001D3393">
        <w:rPr>
          <w:lang w:val="en-GB" w:eastAsia="en-GB"/>
        </w:rPr>
        <w:t xml:space="preserve"> </w:t>
      </w:r>
      <w:proofErr w:type="spellStart"/>
      <w:r w:rsidRPr="001D3393">
        <w:rPr>
          <w:lang w:val="en-GB" w:eastAsia="en-GB"/>
        </w:rPr>
        <w:t>est</w:t>
      </w:r>
      <w:proofErr w:type="spellEnd"/>
      <w:r w:rsidR="00594686">
        <w:rPr>
          <w:lang w:val="en-GB" w:eastAsia="en-GB"/>
        </w:rPr>
        <w:t>:</w:t>
      </w:r>
      <w:r w:rsidRPr="001D3393">
        <w:rPr>
          <w:lang w:val="en-GB" w:eastAsia="en-GB"/>
        </w:rPr>
        <w:t xml:space="preserve"> </w:t>
      </w:r>
      <w:proofErr w:type="spellStart"/>
      <w:r w:rsidR="000D7049" w:rsidRPr="000D7049">
        <w:rPr>
          <w:lang w:eastAsia="en-GB"/>
        </w:rPr>
        <w:t>ECE</w:t>
      </w:r>
      <w:proofErr w:type="spellEnd"/>
      <w:r w:rsidR="000D7049" w:rsidRPr="000D7049">
        <w:rPr>
          <w:lang w:eastAsia="en-GB"/>
        </w:rPr>
        <w:t>/TRANS/WP.29/2015/14</w:t>
      </w:r>
      <w:r w:rsidR="000D7049">
        <w:rPr>
          <w:lang w:eastAsia="en-GB"/>
        </w:rPr>
        <w:t>.</w:t>
      </w:r>
    </w:p>
    <w:p w:rsidR="000D7049" w:rsidRPr="000D7049" w:rsidRDefault="00DD1ED8" w:rsidP="000D7049">
      <w:pPr>
        <w:pStyle w:val="SingleTxtG"/>
        <w:keepNext/>
      </w:pPr>
      <w:r>
        <w:br w:type="page"/>
      </w:r>
      <w:r w:rsidR="000D7049" w:rsidRPr="000D7049">
        <w:rPr>
          <w:i/>
        </w:rPr>
        <w:lastRenderedPageBreak/>
        <w:t>Ajouter un nouveau paragraphe 4.1.3</w:t>
      </w:r>
      <w:r w:rsidR="000D7049" w:rsidRPr="000D7049">
        <w:t>, ainsi conçu:</w:t>
      </w:r>
    </w:p>
    <w:p w:rsidR="000D7049" w:rsidRPr="000D7049" w:rsidRDefault="000D7049" w:rsidP="000D7049">
      <w:pPr>
        <w:kinsoku w:val="0"/>
        <w:overflowPunct w:val="0"/>
        <w:autoSpaceDE w:val="0"/>
        <w:autoSpaceDN w:val="0"/>
        <w:adjustRightInd w:val="0"/>
        <w:snapToGrid w:val="0"/>
        <w:spacing w:after="120"/>
        <w:ind w:left="2268" w:right="1134" w:hanging="1134"/>
        <w:jc w:val="both"/>
      </w:pPr>
      <w:r w:rsidRPr="000D7049">
        <w:t>«4.1.3</w:t>
      </w:r>
      <w:r w:rsidRPr="000D7049">
        <w:tab/>
        <w:t>Pour les dispositifs dont le champ de répartition lumineuse est réduit, conformément au paragraphe 3.2 ou 3.4 de l’annexe 7 du présent Règlement, une flèche verticale partant d’un segment horizontal et dirigée vers le bas.».</w:t>
      </w:r>
    </w:p>
    <w:p w:rsidR="000D7049" w:rsidRPr="000D7049" w:rsidRDefault="000D7049" w:rsidP="000D7049">
      <w:pPr>
        <w:keepNext/>
        <w:kinsoku w:val="0"/>
        <w:overflowPunct w:val="0"/>
        <w:autoSpaceDE w:val="0"/>
        <w:autoSpaceDN w:val="0"/>
        <w:adjustRightInd w:val="0"/>
        <w:snapToGrid w:val="0"/>
        <w:spacing w:after="120"/>
        <w:ind w:left="1134" w:right="1134"/>
        <w:jc w:val="both"/>
        <w:rPr>
          <w:szCs w:val="24"/>
        </w:rPr>
      </w:pPr>
      <w:r w:rsidRPr="000D7049">
        <w:rPr>
          <w:i/>
          <w:iCs/>
          <w:szCs w:val="24"/>
        </w:rPr>
        <w:t>Paragraphe 5.2</w:t>
      </w:r>
      <w:r w:rsidRPr="000D7049">
        <w:rPr>
          <w:iCs/>
          <w:szCs w:val="24"/>
        </w:rPr>
        <w:t>,</w:t>
      </w:r>
      <w:r w:rsidRPr="000D7049">
        <w:rPr>
          <w:i/>
          <w:iCs/>
          <w:szCs w:val="24"/>
        </w:rPr>
        <w:t xml:space="preserve"> </w:t>
      </w:r>
      <w:proofErr w:type="gramStart"/>
      <w:r w:rsidRPr="000D7049">
        <w:rPr>
          <w:iCs/>
          <w:szCs w:val="24"/>
        </w:rPr>
        <w:t>modifier</w:t>
      </w:r>
      <w:proofErr w:type="gramEnd"/>
      <w:r w:rsidRPr="000D7049">
        <w:rPr>
          <w:iCs/>
          <w:szCs w:val="24"/>
        </w:rPr>
        <w:t xml:space="preserve"> comme suit:</w:t>
      </w:r>
      <w:r w:rsidRPr="000D7049">
        <w:rPr>
          <w:i/>
          <w:iCs/>
          <w:szCs w:val="24"/>
        </w:rPr>
        <w:t xml:space="preserve"> </w:t>
      </w:r>
    </w:p>
    <w:p w:rsidR="000D7049" w:rsidRPr="000D7049" w:rsidRDefault="000D7049" w:rsidP="000D7049">
      <w:pPr>
        <w:kinsoku w:val="0"/>
        <w:overflowPunct w:val="0"/>
        <w:autoSpaceDE w:val="0"/>
        <w:autoSpaceDN w:val="0"/>
        <w:adjustRightInd w:val="0"/>
        <w:snapToGrid w:val="0"/>
        <w:spacing w:after="120"/>
        <w:ind w:left="2268" w:right="1134" w:hanging="1134"/>
        <w:jc w:val="both"/>
      </w:pPr>
      <w:r w:rsidRPr="000D7049">
        <w:t>«5.2</w:t>
      </w:r>
      <w:r w:rsidRPr="000D7049">
        <w:tab/>
        <w:t>En cas d’extension de l’homologation délivrée à un dispositif catadioptrique à d’autres dispositifs ne différant que par la couleur, les deux échantillons de chaque autre couleur, présentés conformément au paragraphe 3.1.4 du présent Règlement, doivent satisfaire seulement aux spécifications colorimétriques et photométriques, les autres essais n’étant plus requis. Le présent paragraphe ne s’applique pas aux dispositifs de la Classe IVA.».</w:t>
      </w:r>
    </w:p>
    <w:p w:rsidR="00987B68" w:rsidRDefault="000D7049" w:rsidP="000D7049">
      <w:pPr>
        <w:keepNext/>
        <w:kinsoku w:val="0"/>
        <w:overflowPunct w:val="0"/>
        <w:autoSpaceDE w:val="0"/>
        <w:autoSpaceDN w:val="0"/>
        <w:adjustRightInd w:val="0"/>
        <w:snapToGrid w:val="0"/>
        <w:spacing w:after="120"/>
        <w:ind w:left="1134" w:right="1134"/>
        <w:jc w:val="both"/>
        <w:rPr>
          <w:i/>
        </w:rPr>
      </w:pPr>
      <w:r w:rsidRPr="000D7049">
        <w:rPr>
          <w:i/>
        </w:rPr>
        <w:t xml:space="preserve">Annexe 2, </w:t>
      </w:r>
    </w:p>
    <w:p w:rsidR="000D7049" w:rsidRPr="000D7049" w:rsidRDefault="00987B68" w:rsidP="000D7049">
      <w:pPr>
        <w:keepNext/>
        <w:kinsoku w:val="0"/>
        <w:overflowPunct w:val="0"/>
        <w:autoSpaceDE w:val="0"/>
        <w:autoSpaceDN w:val="0"/>
        <w:adjustRightInd w:val="0"/>
        <w:snapToGrid w:val="0"/>
        <w:spacing w:after="120"/>
        <w:ind w:left="1134" w:right="1134"/>
        <w:jc w:val="both"/>
      </w:pPr>
      <w:r>
        <w:rPr>
          <w:i/>
        </w:rPr>
        <w:t>P</w:t>
      </w:r>
      <w:r w:rsidR="000D7049" w:rsidRPr="000D7049">
        <w:rPr>
          <w:i/>
        </w:rPr>
        <w:t>oint 9</w:t>
      </w:r>
      <w:r w:rsidR="000D7049" w:rsidRPr="000D7049">
        <w:t xml:space="preserve">, </w:t>
      </w:r>
      <w:proofErr w:type="gramStart"/>
      <w:r w:rsidR="000D7049" w:rsidRPr="000D7049">
        <w:t>modifier</w:t>
      </w:r>
      <w:proofErr w:type="gramEnd"/>
      <w:r w:rsidR="000D7049" w:rsidRPr="000D7049">
        <w:t xml:space="preserve"> comme suit:</w:t>
      </w:r>
    </w:p>
    <w:p w:rsidR="000D7049" w:rsidRPr="000D7049" w:rsidRDefault="000D7049" w:rsidP="000D7049">
      <w:pPr>
        <w:kinsoku w:val="0"/>
        <w:overflowPunct w:val="0"/>
        <w:autoSpaceDE w:val="0"/>
        <w:autoSpaceDN w:val="0"/>
        <w:adjustRightInd w:val="0"/>
        <w:snapToGrid w:val="0"/>
        <w:spacing w:after="120"/>
        <w:ind w:left="2268" w:right="1134" w:hanging="1134"/>
        <w:jc w:val="both"/>
      </w:pPr>
      <w:r w:rsidRPr="000D7049">
        <w:t>«9.</w:t>
      </w:r>
      <w:r w:rsidRPr="000D7049">
        <w:tab/>
        <w:t>Description sommaire:</w:t>
      </w:r>
    </w:p>
    <w:p w:rsidR="000D7049" w:rsidRPr="000D7049" w:rsidRDefault="000D7049" w:rsidP="000D7049">
      <w:pPr>
        <w:tabs>
          <w:tab w:val="right" w:leader="dot" w:pos="8505"/>
        </w:tabs>
        <w:kinsoku w:val="0"/>
        <w:overflowPunct w:val="0"/>
        <w:autoSpaceDE w:val="0"/>
        <w:autoSpaceDN w:val="0"/>
        <w:adjustRightInd w:val="0"/>
        <w:snapToGrid w:val="0"/>
        <w:spacing w:after="120"/>
        <w:ind w:left="2268" w:right="1134"/>
        <w:jc w:val="both"/>
      </w:pPr>
      <w:r w:rsidRPr="000D7049">
        <w:t>Isolé/fait partie d’un ensemble de dispositifs</w:t>
      </w:r>
      <w:r w:rsidRPr="000D7049">
        <w:rPr>
          <w:sz w:val="18"/>
          <w:szCs w:val="18"/>
          <w:vertAlign w:val="superscript"/>
        </w:rPr>
        <w:t>2</w:t>
      </w:r>
      <w:r w:rsidRPr="000D7049">
        <w:rPr>
          <w:sz w:val="18"/>
          <w:szCs w:val="18"/>
        </w:rPr>
        <w:tab/>
      </w:r>
    </w:p>
    <w:p w:rsidR="000D7049" w:rsidRPr="000D7049" w:rsidRDefault="000D7049" w:rsidP="000D7049">
      <w:pPr>
        <w:tabs>
          <w:tab w:val="right" w:leader="dot" w:pos="8505"/>
        </w:tabs>
        <w:kinsoku w:val="0"/>
        <w:overflowPunct w:val="0"/>
        <w:autoSpaceDE w:val="0"/>
        <w:autoSpaceDN w:val="0"/>
        <w:adjustRightInd w:val="0"/>
        <w:snapToGrid w:val="0"/>
        <w:spacing w:after="120"/>
        <w:ind w:left="2268" w:right="1134"/>
        <w:jc w:val="both"/>
        <w:rPr>
          <w:szCs w:val="24"/>
        </w:rPr>
      </w:pPr>
      <w:r w:rsidRPr="000D7049">
        <w:rPr>
          <w:szCs w:val="24"/>
        </w:rPr>
        <w:t>Couleur de la lumière émise: blanc/rouge/jaune-auto</w:t>
      </w:r>
      <w:r w:rsidRPr="000D7049">
        <w:rPr>
          <w:sz w:val="18"/>
          <w:szCs w:val="18"/>
          <w:vertAlign w:val="superscript"/>
        </w:rPr>
        <w:t>2</w:t>
      </w:r>
      <w:r w:rsidRPr="000D7049">
        <w:rPr>
          <w:szCs w:val="24"/>
        </w:rPr>
        <w:tab/>
      </w:r>
    </w:p>
    <w:p w:rsidR="000D7049" w:rsidRPr="000D7049" w:rsidRDefault="000D7049" w:rsidP="000D7049">
      <w:pPr>
        <w:kinsoku w:val="0"/>
        <w:overflowPunct w:val="0"/>
        <w:autoSpaceDE w:val="0"/>
        <w:autoSpaceDN w:val="0"/>
        <w:adjustRightInd w:val="0"/>
        <w:snapToGrid w:val="0"/>
        <w:spacing w:after="120"/>
        <w:ind w:left="2268" w:right="1134"/>
        <w:jc w:val="both"/>
        <w:rPr>
          <w:szCs w:val="24"/>
        </w:rPr>
      </w:pPr>
      <w:r w:rsidRPr="000D7049">
        <w:rPr>
          <w:szCs w:val="24"/>
        </w:rPr>
        <w:tab/>
        <w:t>Montage en tant que partie intégrante d’un feu intégré dans la carrosserie d’un véhicule: oui/non</w:t>
      </w:r>
      <w:r w:rsidRPr="000D7049">
        <w:rPr>
          <w:sz w:val="18"/>
          <w:szCs w:val="18"/>
          <w:vertAlign w:val="superscript"/>
        </w:rPr>
        <w:t>2</w:t>
      </w:r>
    </w:p>
    <w:p w:rsidR="000D7049" w:rsidRPr="000D7049" w:rsidRDefault="000D7049" w:rsidP="000D7049">
      <w:pPr>
        <w:tabs>
          <w:tab w:val="right" w:leader="dot" w:pos="8505"/>
        </w:tabs>
        <w:kinsoku w:val="0"/>
        <w:overflowPunct w:val="0"/>
        <w:autoSpaceDE w:val="0"/>
        <w:autoSpaceDN w:val="0"/>
        <w:adjustRightInd w:val="0"/>
        <w:snapToGrid w:val="0"/>
        <w:spacing w:after="120"/>
        <w:ind w:left="2268" w:right="1134"/>
        <w:jc w:val="both"/>
        <w:rPr>
          <w:szCs w:val="24"/>
        </w:rPr>
      </w:pPr>
      <w:r w:rsidRPr="000D7049">
        <w:rPr>
          <w:szCs w:val="24"/>
        </w:rPr>
        <w:t>Conditions géométriques du montage et variantes éventuelles</w:t>
      </w:r>
      <w:r w:rsidRPr="000D7049">
        <w:rPr>
          <w:szCs w:val="24"/>
        </w:rPr>
        <w:tab/>
      </w:r>
    </w:p>
    <w:p w:rsidR="000D7049" w:rsidRPr="000D7049" w:rsidRDefault="000D7049" w:rsidP="000D7049">
      <w:pPr>
        <w:kinsoku w:val="0"/>
        <w:overflowPunct w:val="0"/>
        <w:autoSpaceDE w:val="0"/>
        <w:autoSpaceDN w:val="0"/>
        <w:adjustRightInd w:val="0"/>
        <w:snapToGrid w:val="0"/>
        <w:spacing w:after="120"/>
        <w:ind w:left="2268" w:right="1134"/>
        <w:jc w:val="both"/>
        <w:rPr>
          <w:szCs w:val="24"/>
        </w:rPr>
      </w:pPr>
      <w:r w:rsidRPr="000D7049">
        <w:rPr>
          <w:szCs w:val="24"/>
        </w:rPr>
        <w:t>Seulement pour une hauteur de montage limitée, égale ou inférieure à 750 mm au-dessus du sol: oui/non</w:t>
      </w:r>
      <w:r w:rsidRPr="000D7049">
        <w:rPr>
          <w:sz w:val="18"/>
          <w:szCs w:val="18"/>
          <w:vertAlign w:val="superscript"/>
        </w:rPr>
        <w:t>2</w:t>
      </w:r>
      <w:r w:rsidRPr="000D7049">
        <w:rPr>
          <w:sz w:val="18"/>
          <w:szCs w:val="18"/>
        </w:rPr>
        <w:t>.</w:t>
      </w:r>
      <w:r w:rsidRPr="000D7049">
        <w:rPr>
          <w:szCs w:val="24"/>
        </w:rPr>
        <w:t>».</w:t>
      </w:r>
    </w:p>
    <w:p w:rsidR="00987B68" w:rsidRDefault="000D7049" w:rsidP="000D7049">
      <w:pPr>
        <w:keepNext/>
        <w:kinsoku w:val="0"/>
        <w:overflowPunct w:val="0"/>
        <w:autoSpaceDE w:val="0"/>
        <w:autoSpaceDN w:val="0"/>
        <w:adjustRightInd w:val="0"/>
        <w:snapToGrid w:val="0"/>
        <w:spacing w:after="120"/>
        <w:ind w:left="1134" w:right="1134"/>
        <w:jc w:val="both"/>
        <w:rPr>
          <w:i/>
        </w:rPr>
      </w:pPr>
      <w:r w:rsidRPr="000D7049">
        <w:rPr>
          <w:i/>
        </w:rPr>
        <w:t xml:space="preserve">Annexe 3, </w:t>
      </w:r>
    </w:p>
    <w:p w:rsidR="000D7049" w:rsidRPr="000D7049" w:rsidRDefault="00987B68" w:rsidP="000D7049">
      <w:pPr>
        <w:keepNext/>
        <w:kinsoku w:val="0"/>
        <w:overflowPunct w:val="0"/>
        <w:autoSpaceDE w:val="0"/>
        <w:autoSpaceDN w:val="0"/>
        <w:adjustRightInd w:val="0"/>
        <w:snapToGrid w:val="0"/>
        <w:spacing w:after="120"/>
        <w:ind w:left="1134" w:right="1134"/>
        <w:jc w:val="both"/>
        <w:rPr>
          <w:b/>
        </w:rPr>
      </w:pPr>
      <w:r>
        <w:rPr>
          <w:i/>
        </w:rPr>
        <w:t>F</w:t>
      </w:r>
      <w:r w:rsidR="000D7049" w:rsidRPr="000D7049">
        <w:rPr>
          <w:i/>
        </w:rPr>
        <w:t>igure 1</w:t>
      </w:r>
      <w:r w:rsidR="000D7049" w:rsidRPr="000D7049">
        <w:t xml:space="preserve">, </w:t>
      </w:r>
      <w:proofErr w:type="gramStart"/>
      <w:r w:rsidR="000D7049" w:rsidRPr="000D7049">
        <w:t>modifier</w:t>
      </w:r>
      <w:proofErr w:type="gramEnd"/>
      <w:r w:rsidR="000D7049" w:rsidRPr="000D7049">
        <w:t xml:space="preserve"> comme suit:</w:t>
      </w:r>
    </w:p>
    <w:p w:rsidR="000D7049" w:rsidRPr="000D7049" w:rsidRDefault="000D7049" w:rsidP="000D7049">
      <w:pPr>
        <w:keepNext/>
        <w:keepLines/>
        <w:kinsoku w:val="0"/>
        <w:overflowPunct w:val="0"/>
        <w:autoSpaceDE w:val="0"/>
        <w:autoSpaceDN w:val="0"/>
        <w:adjustRightInd w:val="0"/>
        <w:snapToGrid w:val="0"/>
        <w:spacing w:line="240" w:lineRule="auto"/>
        <w:ind w:left="1134"/>
        <w:outlineLvl w:val="0"/>
        <w:rPr>
          <w:lang w:val="en-GB"/>
        </w:rPr>
      </w:pPr>
      <w:r w:rsidRPr="000D7049">
        <w:rPr>
          <w:lang w:val="en-GB"/>
        </w:rPr>
        <w:t>«Figure 1</w:t>
      </w:r>
    </w:p>
    <w:p w:rsidR="000D7049" w:rsidRPr="000D7049" w:rsidRDefault="000D7049" w:rsidP="000D7049">
      <w:pPr>
        <w:keepNext/>
        <w:keepLines/>
        <w:kinsoku w:val="0"/>
        <w:overflowPunct w:val="0"/>
        <w:autoSpaceDE w:val="0"/>
        <w:autoSpaceDN w:val="0"/>
        <w:adjustRightInd w:val="0"/>
        <w:snapToGrid w:val="0"/>
        <w:spacing w:after="120" w:line="240" w:lineRule="auto"/>
        <w:ind w:left="1134"/>
        <w:outlineLvl w:val="0"/>
        <w:rPr>
          <w:b/>
          <w:szCs w:val="24"/>
        </w:rPr>
      </w:pPr>
      <w:r w:rsidRPr="000D7049">
        <w:rPr>
          <w:b/>
          <w:szCs w:val="24"/>
        </w:rPr>
        <w:t>Marquage de feux simples</w:t>
      </w:r>
    </w:p>
    <w:p w:rsidR="000D7049" w:rsidRPr="000D7049" w:rsidRDefault="000D7049" w:rsidP="000D7049">
      <w:pPr>
        <w:tabs>
          <w:tab w:val="right" w:pos="9900"/>
        </w:tabs>
        <w:suppressAutoHyphens w:val="0"/>
        <w:spacing w:before="100" w:beforeAutospacing="1" w:line="240" w:lineRule="auto"/>
        <w:ind w:left="4394" w:right="1134" w:hanging="4394"/>
        <w:jc w:val="center"/>
        <w:rPr>
          <w:b/>
          <w:lang w:eastAsia="de-DE"/>
        </w:rPr>
      </w:pPr>
      <w:r w:rsidRPr="000D7049">
        <w:rPr>
          <w:b/>
          <w:lang w:eastAsia="de-DE"/>
        </w:rPr>
        <w:t>Modèle A</w:t>
      </w:r>
    </w:p>
    <w:p w:rsidR="000D7049" w:rsidRPr="000D7049" w:rsidRDefault="000D7049" w:rsidP="000D7049">
      <w:pPr>
        <w:tabs>
          <w:tab w:val="right" w:pos="9900"/>
        </w:tabs>
        <w:suppressAutoHyphens w:val="0"/>
        <w:spacing w:line="240" w:lineRule="auto"/>
        <w:ind w:left="3828" w:hanging="4111"/>
        <w:jc w:val="both"/>
        <w:rPr>
          <w:szCs w:val="24"/>
          <w:lang w:val="en-GB" w:eastAsia="de-DE"/>
        </w:rPr>
      </w:pPr>
      <w:r w:rsidRPr="000D7049">
        <w:tab/>
      </w:r>
      <w:r w:rsidR="000E2EC1">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5" type="#_x0000_t75" alt="Description: Reg 7 1" style="width:27pt;height:74.4pt;visibility:visible">
            <v:imagedata r:id="rId8" o:title=" Reg 7 1" cropbottom="25845f" cropright="56023f"/>
          </v:shape>
        </w:pict>
      </w:r>
    </w:p>
    <w:p w:rsidR="000D7049" w:rsidRPr="000D7049" w:rsidRDefault="000E2EC1" w:rsidP="000D7049">
      <w:pPr>
        <w:tabs>
          <w:tab w:val="right" w:pos="9900"/>
        </w:tabs>
        <w:suppressAutoHyphens w:val="0"/>
        <w:spacing w:line="240" w:lineRule="auto"/>
        <w:ind w:left="4536" w:hanging="4536"/>
        <w:jc w:val="center"/>
        <w:rPr>
          <w:szCs w:val="24"/>
          <w:lang w:val="en-GB" w:eastAsia="de-DE"/>
        </w:rPr>
      </w:pPr>
      <w:r>
        <w:rPr>
          <w:noProof/>
          <w:lang w:val="fr-FR" w:eastAsia="fr-FR"/>
        </w:rPr>
        <w:pict>
          <v:shape id="Immagine 4" o:spid="_x0000_i1026" type="#_x0000_t75" style="width:197.4pt;height:81pt;visibility:visible">
            <v:imagedata r:id="rId9" o:title="" croptop="4151f" cropbottom="35625f" cropright="9651f"/>
          </v:shape>
        </w:pict>
      </w:r>
      <w:r w:rsidR="000D7049" w:rsidRPr="000D7049">
        <w:rPr>
          <w:lang w:val="en-GB" w:eastAsia="de-DE"/>
        </w:rPr>
        <w:t>a = 4 mm min</w:t>
      </w:r>
    </w:p>
    <w:p w:rsidR="000D7049" w:rsidRPr="000D7049" w:rsidRDefault="000E2EC1" w:rsidP="000D7049">
      <w:pPr>
        <w:tabs>
          <w:tab w:val="right" w:pos="9900"/>
        </w:tabs>
        <w:suppressAutoHyphens w:val="0"/>
        <w:spacing w:before="100" w:beforeAutospacing="1" w:after="480" w:line="240" w:lineRule="auto"/>
        <w:ind w:left="-227"/>
        <w:jc w:val="center"/>
        <w:rPr>
          <w:szCs w:val="24"/>
          <w:lang w:val="en-GB" w:eastAsia="de-DE"/>
        </w:rPr>
      </w:pPr>
      <w:r>
        <w:rPr>
          <w:noProof/>
          <w:szCs w:val="24"/>
          <w:lang w:val="fr-FR" w:eastAsia="fr-FR"/>
        </w:rPr>
        <w:lastRenderedPageBreak/>
        <w:pict>
          <v:shape id="Immagine 8" o:spid="_x0000_i1027" type="#_x0000_t75" style="width:18.6pt;height:29.4pt;visibility:visible">
            <v:imagedata r:id="rId10" o:title="" croptop="34872f" cropleft="-1f" cropright="-838f"/>
          </v:shape>
        </w:pict>
      </w:r>
      <w:r>
        <w:rPr>
          <w:noProof/>
          <w:szCs w:val="24"/>
          <w:lang w:val="fr-FR" w:eastAsia="fr-FR"/>
        </w:rPr>
        <w:pict>
          <v:shape id="Immagine 7" o:spid="_x0000_i1028" type="#_x0000_t75" style="width:105.6pt;height:103.2pt;visibility:visible">
            <v:imagedata r:id="rId11" o:title="" croptop="27892f" cropleft="18313f" cropright="12236f"/>
          </v:shape>
        </w:pict>
      </w:r>
      <w:r w:rsidR="000D7049" w:rsidRPr="000D7049">
        <w:rPr>
          <w:lang w:val="en-GB" w:eastAsia="de-DE"/>
        </w:rPr>
        <w:t>a = 4 mm min</w:t>
      </w:r>
    </w:p>
    <w:p w:rsidR="000D7049" w:rsidRPr="000D7049" w:rsidRDefault="000E2EC1" w:rsidP="000D7049">
      <w:pPr>
        <w:tabs>
          <w:tab w:val="left" w:pos="3686"/>
          <w:tab w:val="right" w:pos="9900"/>
        </w:tabs>
        <w:suppressAutoHyphens w:val="0"/>
        <w:spacing w:before="100" w:beforeAutospacing="1" w:after="100" w:afterAutospacing="1" w:line="240" w:lineRule="auto"/>
        <w:ind w:left="3544" w:hanging="4111"/>
        <w:jc w:val="center"/>
        <w:rPr>
          <w:szCs w:val="24"/>
          <w:lang w:val="en-GB" w:eastAsia="de-DE"/>
        </w:rPr>
      </w:pPr>
      <w:r>
        <w:rPr>
          <w:noProof/>
          <w:szCs w:val="24"/>
          <w:lang w:val="fr-FR" w:eastAsia="fr-FR"/>
        </w:rPr>
        <w:pict>
          <v:shape id="Immagine 10" o:spid="_x0000_i1029" type="#_x0000_t75" style="width:19.8pt;height:29.4pt;visibility:visible">
            <v:imagedata r:id="rId12" o:title=""/>
          </v:shape>
        </w:pict>
      </w:r>
      <w:r>
        <w:rPr>
          <w:noProof/>
          <w:szCs w:val="24"/>
          <w:lang w:val="fr-FR" w:eastAsia="fr-FR"/>
        </w:rPr>
        <w:pict>
          <v:shape id="Immagine 9" o:spid="_x0000_i1030" type="#_x0000_t75" style="width:73.2pt;height:122.4pt;visibility:visible">
            <v:imagedata r:id="rId13" o:title="" cropleft="17874f"/>
          </v:shape>
        </w:pict>
      </w:r>
      <w:r w:rsidR="000D7049" w:rsidRPr="000D7049">
        <w:rPr>
          <w:lang w:val="en-GB" w:eastAsia="de-DE"/>
        </w:rPr>
        <w:t>a = 4 mm min</w:t>
      </w:r>
    </w:p>
    <w:p w:rsidR="000D7049" w:rsidRPr="000D7049" w:rsidRDefault="000D7049" w:rsidP="000D7049">
      <w:pPr>
        <w:kinsoku w:val="0"/>
        <w:overflowPunct w:val="0"/>
        <w:autoSpaceDE w:val="0"/>
        <w:autoSpaceDN w:val="0"/>
        <w:adjustRightInd w:val="0"/>
        <w:snapToGrid w:val="0"/>
        <w:spacing w:after="120"/>
        <w:ind w:left="1134" w:right="1134"/>
        <w:jc w:val="both"/>
        <w:rPr>
          <w:lang w:val="en-GB"/>
        </w:rPr>
      </w:pPr>
      <w:r w:rsidRPr="000D7049">
        <w:rPr>
          <w:i/>
          <w:lang w:val="en-GB"/>
        </w:rPr>
        <w:t>Note</w:t>
      </w:r>
      <w:r w:rsidRPr="000D7049">
        <w:rPr>
          <w:lang w:val="en-GB"/>
        </w:rPr>
        <w:t>:</w:t>
      </w:r>
    </w:p>
    <w:p w:rsidR="000D7049" w:rsidRPr="000D7049" w:rsidRDefault="000D7049" w:rsidP="00987B68">
      <w:pPr>
        <w:kinsoku w:val="0"/>
        <w:overflowPunct w:val="0"/>
        <w:autoSpaceDE w:val="0"/>
        <w:autoSpaceDN w:val="0"/>
        <w:adjustRightInd w:val="0"/>
        <w:snapToGrid w:val="0"/>
        <w:spacing w:after="120"/>
        <w:ind w:left="1134" w:right="1134"/>
        <w:jc w:val="both"/>
      </w:pPr>
      <w:r w:rsidRPr="000D7049">
        <w:t>Le numéro d’homologation ci-dessus doit être placé à proximité du cercle circonscrit à la lettre “E”, dans une position quelconque par rapport à lui. Les chiffres qui le composent doivent être orientés comme la lettre “E”. Le groupe de symboles indiquant la classe doit être diamétralement opposé au numéro d’homologation.</w:t>
      </w:r>
    </w:p>
    <w:p w:rsidR="000D7049" w:rsidRPr="000D7049" w:rsidRDefault="000D7049" w:rsidP="00987B68">
      <w:pPr>
        <w:kinsoku w:val="0"/>
        <w:overflowPunct w:val="0"/>
        <w:autoSpaceDE w:val="0"/>
        <w:autoSpaceDN w:val="0"/>
        <w:adjustRightInd w:val="0"/>
        <w:snapToGrid w:val="0"/>
        <w:spacing w:after="120"/>
        <w:ind w:left="1134" w:right="1134"/>
        <w:jc w:val="both"/>
      </w:pPr>
      <w:r w:rsidRPr="000D7049">
        <w:t>La flèche verticale partant d’un segment horizontal et dirigée vers le bas indique une hauteur de montage autorisée égale ou inférieure à 750 mm à partir du sol pour ce dispositif et peut être placée au-dessus ou au-dessous du cercle entourant la lettre “E”, ou à côté de lui, près du groupe de symboles indiquant la classe ou de la série de chiffres constituant le numéro d’homologation.</w:t>
      </w:r>
    </w:p>
    <w:p w:rsidR="000D7049" w:rsidRPr="000D7049" w:rsidRDefault="000D7049" w:rsidP="00987B68">
      <w:pPr>
        <w:kinsoku w:val="0"/>
        <w:overflowPunct w:val="0"/>
        <w:autoSpaceDE w:val="0"/>
        <w:autoSpaceDN w:val="0"/>
        <w:adjustRightInd w:val="0"/>
        <w:snapToGrid w:val="0"/>
        <w:spacing w:after="120"/>
        <w:ind w:left="1134" w:right="1134"/>
        <w:jc w:val="both"/>
      </w:pPr>
      <w:r w:rsidRPr="000D7049">
        <w:t>Les autorités compétentes doivent s’abstenir d’utiliser les numéros d’homologation IA, IB, IIIA, IIIB et IVA, qui sont susceptibles d’être confondus avec les symboles des Classes IA, IB, IIIA, IIIB et IVA.</w:t>
      </w:r>
    </w:p>
    <w:p w:rsidR="000D7049" w:rsidRPr="000D7049" w:rsidRDefault="000D7049" w:rsidP="00987B68">
      <w:pPr>
        <w:kinsoku w:val="0"/>
        <w:overflowPunct w:val="0"/>
        <w:autoSpaceDE w:val="0"/>
        <w:autoSpaceDN w:val="0"/>
        <w:adjustRightInd w:val="0"/>
        <w:snapToGrid w:val="0"/>
        <w:spacing w:after="120"/>
        <w:ind w:left="1134" w:right="1134"/>
        <w:jc w:val="both"/>
      </w:pPr>
      <w:r w:rsidRPr="000D7049">
        <w:t>Ces croquis, qui correspondent à diverses réalisations possibles, ne sont donnés qu’à titre d’exemple.</w:t>
      </w:r>
    </w:p>
    <w:p w:rsidR="000D7049" w:rsidRPr="000D7049" w:rsidRDefault="000D7049" w:rsidP="00987B68">
      <w:pPr>
        <w:kinsoku w:val="0"/>
        <w:overflowPunct w:val="0"/>
        <w:autoSpaceDE w:val="0"/>
        <w:autoSpaceDN w:val="0"/>
        <w:adjustRightInd w:val="0"/>
        <w:snapToGrid w:val="0"/>
        <w:spacing w:after="120"/>
        <w:ind w:left="1134" w:right="1134"/>
        <w:jc w:val="both"/>
      </w:pPr>
      <w:r w:rsidRPr="000D7049">
        <w:t>Apposée sur un dispositif catadioptrique, la marque d’homologation ci-dessus indique que le type de dispositif a été homologué aux Pays-Bas (E4) sous le numéro 02216. Le numéro d’homologation indique que l’homologation a été accordée conformément aux prescriptions du Règlement tel qu’il a été amendé par la série d’amendements 02.».</w:t>
      </w:r>
    </w:p>
    <w:p w:rsidR="000D7049" w:rsidRPr="000D7049" w:rsidRDefault="000D7049" w:rsidP="000D7049">
      <w:pPr>
        <w:kinsoku w:val="0"/>
        <w:overflowPunct w:val="0"/>
        <w:autoSpaceDE w:val="0"/>
        <w:autoSpaceDN w:val="0"/>
        <w:adjustRightInd w:val="0"/>
        <w:snapToGrid w:val="0"/>
        <w:spacing w:before="240"/>
        <w:ind w:left="1134" w:right="1134"/>
        <w:jc w:val="center"/>
        <w:rPr>
          <w:rFonts w:eastAsia="MS Mincho"/>
          <w:u w:val="single"/>
          <w:lang w:eastAsia="ja-JP"/>
        </w:rPr>
      </w:pPr>
      <w:r w:rsidRPr="000D7049">
        <w:rPr>
          <w:rFonts w:eastAsia="MS Mincho"/>
          <w:u w:val="single"/>
          <w:lang w:eastAsia="ja-JP"/>
        </w:rPr>
        <w:tab/>
      </w:r>
      <w:r w:rsidRPr="000D7049">
        <w:rPr>
          <w:rFonts w:eastAsia="MS Mincho"/>
          <w:u w:val="single"/>
          <w:lang w:eastAsia="ja-JP"/>
        </w:rPr>
        <w:tab/>
      </w:r>
      <w:r w:rsidRPr="000D7049">
        <w:rPr>
          <w:rFonts w:eastAsia="MS Mincho"/>
          <w:u w:val="single"/>
          <w:lang w:eastAsia="ja-JP"/>
        </w:rPr>
        <w:tab/>
      </w:r>
    </w:p>
    <w:p w:rsidR="00FC2CA9" w:rsidRPr="00972C55" w:rsidRDefault="00FC2CA9" w:rsidP="00EF5EBC">
      <w:pPr>
        <w:pStyle w:val="SingleTxtG"/>
        <w:rPr>
          <w:u w:val="single"/>
        </w:rPr>
      </w:pPr>
    </w:p>
    <w:sectPr w:rsidR="00FC2CA9" w:rsidRPr="00972C55" w:rsidSect="000314C7">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FAE" w:rsidRDefault="007C7FAE"/>
  </w:endnote>
  <w:endnote w:type="continuationSeparator" w:id="0">
    <w:p w:rsidR="007C7FAE" w:rsidRDefault="007C7FAE">
      <w:pPr>
        <w:pStyle w:val="Footer"/>
      </w:pPr>
    </w:p>
  </w:endnote>
  <w:endnote w:type="continuationNotice" w:id="1">
    <w:p w:rsidR="007C7FAE" w:rsidRPr="00C451B9" w:rsidRDefault="007C7FAE"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pPr>
    <w:r w:rsidRPr="000314C7">
      <w:rPr>
        <w:b/>
        <w:sz w:val="18"/>
      </w:rPr>
      <w:fldChar w:fldCharType="begin"/>
    </w:r>
    <w:r w:rsidRPr="000314C7">
      <w:rPr>
        <w:b/>
        <w:sz w:val="18"/>
      </w:rPr>
      <w:instrText xml:space="preserve"> PAGE  \* MERGEFORMAT </w:instrText>
    </w:r>
    <w:r w:rsidRPr="000314C7">
      <w:rPr>
        <w:b/>
        <w:sz w:val="18"/>
      </w:rPr>
      <w:fldChar w:fldCharType="separate"/>
    </w:r>
    <w:r w:rsidR="000E2EC1">
      <w:rPr>
        <w:b/>
        <w:noProof/>
        <w:sz w:val="18"/>
      </w:rPr>
      <w:t>2</w:t>
    </w:r>
    <w:r w:rsidRPr="000314C7">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rPr>
        <w:b/>
        <w:sz w:val="18"/>
      </w:rPr>
    </w:pPr>
    <w:r>
      <w:tab/>
    </w:r>
    <w:r w:rsidRPr="000314C7">
      <w:rPr>
        <w:b/>
        <w:sz w:val="18"/>
      </w:rPr>
      <w:fldChar w:fldCharType="begin"/>
    </w:r>
    <w:r w:rsidRPr="000314C7">
      <w:rPr>
        <w:b/>
        <w:sz w:val="18"/>
      </w:rPr>
      <w:instrText xml:space="preserve"> PAGE  \* MERGEFORMAT </w:instrText>
    </w:r>
    <w:r w:rsidRPr="000314C7">
      <w:rPr>
        <w:b/>
        <w:sz w:val="18"/>
      </w:rPr>
      <w:fldChar w:fldCharType="separate"/>
    </w:r>
    <w:r w:rsidR="000E2EC1">
      <w:rPr>
        <w:b/>
        <w:noProof/>
        <w:sz w:val="18"/>
      </w:rPr>
      <w:t>3</w:t>
    </w:r>
    <w:r w:rsidRPr="000314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29791D" w:rsidRDefault="00710974" w:rsidP="00E97E2C">
    <w:pPr>
      <w:ind w:left="1134" w:right="1134"/>
      <w:jc w:val="center"/>
    </w:pPr>
    <w:r>
      <w:t>_______________</w:t>
    </w:r>
  </w:p>
  <w:p w:rsidR="00710974" w:rsidRDefault="000E2EC1" w:rsidP="00E97E2C">
    <w:pPr>
      <w:jc w:val="center"/>
      <w:rPr>
        <w:b/>
        <w:bCs/>
        <w:sz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60.6pt;mso-wrap-distance-bottom:10.8pt" o:allowoverlap="f" fillcolor="window">
          <v:imagedata r:id="rId1" o:title="" cropleft="-4986f" cropright="-4986f"/>
        </v:shape>
      </w:pict>
    </w:r>
  </w:p>
  <w:p w:rsidR="00710974" w:rsidRPr="0029791D" w:rsidRDefault="00710974" w:rsidP="00E97E2C">
    <w:pPr>
      <w:jc w:val="center"/>
      <w:rPr>
        <w:sz w:val="24"/>
        <w:szCs w:val="24"/>
      </w:rPr>
    </w:pPr>
    <w:r w:rsidRPr="0029791D">
      <w:rPr>
        <w:b/>
        <w:bCs/>
        <w:sz w:val="24"/>
        <w:szCs w:val="24"/>
      </w:rPr>
      <w:t>Nations Unies</w:t>
    </w:r>
  </w:p>
  <w:p w:rsidR="00710974" w:rsidRPr="0029791D" w:rsidRDefault="00710974" w:rsidP="00E97E2C">
    <w:pPr>
      <w:pStyle w:val="FootnoteText"/>
      <w:tabs>
        <w:tab w:val="clear" w:pos="1021"/>
        <w:tab w:val="right" w:pos="2155"/>
      </w:tabs>
      <w:spacing w:after="80" w:line="240" w:lineRule="atLeast"/>
      <w:ind w:left="680" w:right="0" w:firstLine="0"/>
      <w:rPr>
        <w:u w:val="single"/>
      </w:rPr>
    </w:pPr>
    <w:r>
      <w:rPr>
        <w:u w:val="single"/>
      </w:rPr>
      <w:tab/>
    </w:r>
  </w:p>
  <w:p w:rsidR="00710974" w:rsidRDefault="00710974" w:rsidP="00242268">
    <w:pPr>
      <w:pStyle w:val="FootnoteText"/>
      <w:spacing w:after="240" w:line="200" w:lineRule="exact"/>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FAE" w:rsidRPr="00D27D5E" w:rsidRDefault="007C7FAE" w:rsidP="00D27D5E">
      <w:pPr>
        <w:tabs>
          <w:tab w:val="right" w:pos="2155"/>
        </w:tabs>
        <w:spacing w:after="80"/>
        <w:ind w:left="680"/>
        <w:rPr>
          <w:u w:val="single"/>
        </w:rPr>
      </w:pPr>
      <w:r>
        <w:rPr>
          <w:u w:val="single"/>
        </w:rPr>
        <w:tab/>
      </w:r>
    </w:p>
  </w:footnote>
  <w:footnote w:type="continuationSeparator" w:id="0">
    <w:p w:rsidR="007C7FAE" w:rsidRPr="00D171D4" w:rsidRDefault="007C7FAE" w:rsidP="00D171D4">
      <w:pPr>
        <w:tabs>
          <w:tab w:val="right" w:pos="2155"/>
        </w:tabs>
        <w:spacing w:after="80"/>
        <w:ind w:left="680"/>
        <w:rPr>
          <w:u w:val="single"/>
        </w:rPr>
      </w:pPr>
      <w:r w:rsidRPr="00D171D4">
        <w:rPr>
          <w:u w:val="single"/>
        </w:rPr>
        <w:tab/>
      </w:r>
    </w:p>
  </w:footnote>
  <w:footnote w:type="continuationNotice" w:id="1">
    <w:p w:rsidR="007C7FAE" w:rsidRPr="00C451B9" w:rsidRDefault="007C7FAE" w:rsidP="00C451B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pPr>
      <w:pStyle w:val="Header"/>
    </w:pPr>
    <w:r>
      <w:t>E/</w:t>
    </w:r>
    <w:proofErr w:type="spellStart"/>
    <w:r>
      <w:t>ECE</w:t>
    </w:r>
    <w:proofErr w:type="spellEnd"/>
    <w:r>
      <w:t>/324</w:t>
    </w:r>
    <w:r w:rsidR="002C5B16" w:rsidRPr="002C5B16">
      <w:t>/</w:t>
    </w:r>
    <w:r w:rsidR="007C7FAE" w:rsidRPr="007C7FAE">
      <w:rPr>
        <w:lang w:val="en-GB"/>
      </w:rPr>
      <w:t>Add.2/Rev.4/Amend.2</w:t>
    </w:r>
    <w:r w:rsidR="007C7FAE">
      <w:t xml:space="preserve"> </w:t>
    </w:r>
    <w:r>
      <w:br/>
      <w:t>E/</w:t>
    </w:r>
    <w:proofErr w:type="spellStart"/>
    <w:r>
      <w:t>ECE</w:t>
    </w:r>
    <w:proofErr w:type="spellEnd"/>
    <w:r>
      <w:t>/TRANS/505</w:t>
    </w:r>
    <w:r w:rsidR="002C5B16" w:rsidRPr="002C5B16">
      <w:t>/</w:t>
    </w:r>
    <w:r w:rsidR="007C7FAE" w:rsidRPr="007C7FAE">
      <w:rPr>
        <w:lang w:val="en-GB"/>
      </w:rPr>
      <w:t>Add.2/Rev.4/Amend.2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D7049" w:rsidRDefault="000D7049" w:rsidP="000D7049">
    <w:pPr>
      <w:pStyle w:val="Header"/>
      <w:jc w:val="right"/>
    </w:pPr>
    <w:r>
      <w:t>E/</w:t>
    </w:r>
    <w:proofErr w:type="spellStart"/>
    <w:r>
      <w:t>ECE</w:t>
    </w:r>
    <w:proofErr w:type="spellEnd"/>
    <w:r>
      <w:t>/324</w:t>
    </w:r>
    <w:r w:rsidRPr="002C5B16">
      <w:t>/</w:t>
    </w:r>
    <w:r w:rsidRPr="007C7FAE">
      <w:rPr>
        <w:lang w:val="en-GB"/>
      </w:rPr>
      <w:t>Add.2/Rev.4/Amend.2</w:t>
    </w:r>
    <w:r>
      <w:t xml:space="preserve"> </w:t>
    </w:r>
    <w:r>
      <w:br/>
      <w:t>E/</w:t>
    </w:r>
    <w:proofErr w:type="spellStart"/>
    <w:r>
      <w:t>ECE</w:t>
    </w:r>
    <w:proofErr w:type="spellEnd"/>
    <w:r>
      <w:t>/TRANS/505</w:t>
    </w:r>
    <w:r w:rsidRPr="002C5B16">
      <w:t>/</w:t>
    </w:r>
    <w:r w:rsidRPr="007C7FAE">
      <w:rPr>
        <w:lang w:val="en-GB"/>
      </w:rPr>
      <w:t>Add.2/Rev.4/Amend.2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90" w:rsidRPr="00D25908" w:rsidRDefault="00A60E90" w:rsidP="00D259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CA643D"/>
    <w:multiLevelType w:val="singleLevel"/>
    <w:tmpl w:val="0409000F"/>
    <w:lvl w:ilvl="0">
      <w:start w:val="1"/>
      <w:numFmt w:val="decimal"/>
      <w:lvlText w:val="%1."/>
      <w:lvlJc w:val="left"/>
      <w:pPr>
        <w:tabs>
          <w:tab w:val="num" w:pos="360"/>
        </w:tabs>
        <w:ind w:left="360" w:hanging="360"/>
      </w:pPr>
    </w:lvl>
  </w:abstractNum>
  <w:abstractNum w:abstractNumId="39">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nsid w:val="7DBF6B58"/>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18"/>
  </w:num>
  <w:num w:numId="3">
    <w:abstractNumId w:val="40"/>
  </w:num>
  <w:num w:numId="4">
    <w:abstractNumId w:val="18"/>
  </w:num>
  <w:num w:numId="5">
    <w:abstractNumId w:val="11"/>
  </w:num>
  <w:num w:numId="6">
    <w:abstractNumId w:val="20"/>
  </w:num>
  <w:num w:numId="7">
    <w:abstractNumId w:val="25"/>
  </w:num>
  <w:num w:numId="8">
    <w:abstractNumId w:val="38"/>
  </w:num>
  <w:num w:numId="9">
    <w:abstractNumId w:val="31"/>
  </w:num>
  <w:num w:numId="10">
    <w:abstractNumId w:val="41"/>
  </w:num>
  <w:num w:numId="11">
    <w:abstractNumId w:val="25"/>
  </w:num>
  <w:num w:numId="12">
    <w:abstractNumId w:val="29"/>
  </w:num>
  <w:num w:numId="13">
    <w:abstractNumId w:val="29"/>
  </w:num>
  <w:num w:numId="14">
    <w:abstractNumId w:val="35"/>
  </w:num>
  <w:num w:numId="15">
    <w:abstractNumId w:val="23"/>
  </w:num>
  <w:num w:numId="16">
    <w:abstractNumId w:val="23"/>
  </w:num>
  <w:num w:numId="17">
    <w:abstractNumId w:val="40"/>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6"/>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9"/>
  </w:num>
  <w:num w:numId="37">
    <w:abstractNumId w:val="36"/>
  </w:num>
  <w:num w:numId="38">
    <w:abstractNumId w:val="22"/>
  </w:num>
  <w:num w:numId="39">
    <w:abstractNumId w:val="28"/>
  </w:num>
  <w:num w:numId="40">
    <w:abstractNumId w:val="37"/>
  </w:num>
  <w:num w:numId="41">
    <w:abstractNumId w:val="16"/>
  </w:num>
  <w:num w:numId="42">
    <w:abstractNumId w:val="24"/>
  </w:num>
  <w:num w:numId="43">
    <w:abstractNumId w:val="32"/>
  </w:num>
  <w:num w:numId="44">
    <w:abstractNumId w:val="21"/>
  </w:num>
  <w:num w:numId="45">
    <w:abstractNumId w:val="34"/>
  </w:num>
  <w:num w:numId="46">
    <w:abstractNumId w:val="30"/>
  </w:num>
  <w:num w:numId="47">
    <w:abstractNumId w:val="27"/>
  </w:num>
  <w:num w:numId="48">
    <w:abstractNumId w:val="1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7FAE"/>
    <w:rsid w:val="0001470D"/>
    <w:rsid w:val="00015650"/>
    <w:rsid w:val="00016165"/>
    <w:rsid w:val="00016AC5"/>
    <w:rsid w:val="00021126"/>
    <w:rsid w:val="00021907"/>
    <w:rsid w:val="000233A5"/>
    <w:rsid w:val="0002445D"/>
    <w:rsid w:val="00024C50"/>
    <w:rsid w:val="00025E92"/>
    <w:rsid w:val="000276A3"/>
    <w:rsid w:val="000314C7"/>
    <w:rsid w:val="00032060"/>
    <w:rsid w:val="00037B3F"/>
    <w:rsid w:val="00040539"/>
    <w:rsid w:val="00040598"/>
    <w:rsid w:val="00047F10"/>
    <w:rsid w:val="00052157"/>
    <w:rsid w:val="0005346D"/>
    <w:rsid w:val="00055FE4"/>
    <w:rsid w:val="000641CE"/>
    <w:rsid w:val="00067310"/>
    <w:rsid w:val="00077E35"/>
    <w:rsid w:val="0008669E"/>
    <w:rsid w:val="00090599"/>
    <w:rsid w:val="00090B60"/>
    <w:rsid w:val="000A1501"/>
    <w:rsid w:val="000A2494"/>
    <w:rsid w:val="000A6B7E"/>
    <w:rsid w:val="000C6CDB"/>
    <w:rsid w:val="000D5C25"/>
    <w:rsid w:val="000D7049"/>
    <w:rsid w:val="000E2EC1"/>
    <w:rsid w:val="000E4F06"/>
    <w:rsid w:val="000E5601"/>
    <w:rsid w:val="000F17F6"/>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376F"/>
    <w:rsid w:val="001B09BB"/>
    <w:rsid w:val="001C08ED"/>
    <w:rsid w:val="001C3D8D"/>
    <w:rsid w:val="001C6497"/>
    <w:rsid w:val="001D3393"/>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268"/>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C5B16"/>
    <w:rsid w:val="002D25CA"/>
    <w:rsid w:val="002D3DA4"/>
    <w:rsid w:val="002E2F5C"/>
    <w:rsid w:val="002F0C48"/>
    <w:rsid w:val="003016B7"/>
    <w:rsid w:val="0030754C"/>
    <w:rsid w:val="00317E54"/>
    <w:rsid w:val="00322DF1"/>
    <w:rsid w:val="00324EBF"/>
    <w:rsid w:val="0032556C"/>
    <w:rsid w:val="00330508"/>
    <w:rsid w:val="0033286A"/>
    <w:rsid w:val="00333130"/>
    <w:rsid w:val="0034178D"/>
    <w:rsid w:val="00346E32"/>
    <w:rsid w:val="003515AA"/>
    <w:rsid w:val="00364F13"/>
    <w:rsid w:val="0036776C"/>
    <w:rsid w:val="00372A7A"/>
    <w:rsid w:val="00372D1D"/>
    <w:rsid w:val="00374106"/>
    <w:rsid w:val="0037679A"/>
    <w:rsid w:val="0038047C"/>
    <w:rsid w:val="00390EEF"/>
    <w:rsid w:val="00394410"/>
    <w:rsid w:val="003976D5"/>
    <w:rsid w:val="003A58D8"/>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3FA6"/>
    <w:rsid w:val="004342E2"/>
    <w:rsid w:val="00434354"/>
    <w:rsid w:val="00440BC8"/>
    <w:rsid w:val="00454F8D"/>
    <w:rsid w:val="004567EB"/>
    <w:rsid w:val="00460E72"/>
    <w:rsid w:val="00464191"/>
    <w:rsid w:val="00467412"/>
    <w:rsid w:val="004726BE"/>
    <w:rsid w:val="004750C7"/>
    <w:rsid w:val="00476265"/>
    <w:rsid w:val="00490F56"/>
    <w:rsid w:val="00491496"/>
    <w:rsid w:val="00491F39"/>
    <w:rsid w:val="00495A7B"/>
    <w:rsid w:val="004A49A5"/>
    <w:rsid w:val="004A66A2"/>
    <w:rsid w:val="004B19D8"/>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366"/>
    <w:rsid w:val="00552777"/>
    <w:rsid w:val="00555494"/>
    <w:rsid w:val="00555CBA"/>
    <w:rsid w:val="00556C1A"/>
    <w:rsid w:val="00563071"/>
    <w:rsid w:val="00565B29"/>
    <w:rsid w:val="00571BC1"/>
    <w:rsid w:val="00571F41"/>
    <w:rsid w:val="00575476"/>
    <w:rsid w:val="005757A7"/>
    <w:rsid w:val="00583A20"/>
    <w:rsid w:val="00584373"/>
    <w:rsid w:val="0059061F"/>
    <w:rsid w:val="00591DB3"/>
    <w:rsid w:val="005939ED"/>
    <w:rsid w:val="00594686"/>
    <w:rsid w:val="005947BC"/>
    <w:rsid w:val="00595E8A"/>
    <w:rsid w:val="005A0268"/>
    <w:rsid w:val="005A6014"/>
    <w:rsid w:val="005B473C"/>
    <w:rsid w:val="005C549A"/>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6671"/>
    <w:rsid w:val="00647059"/>
    <w:rsid w:val="00647162"/>
    <w:rsid w:val="0065029A"/>
    <w:rsid w:val="006553F9"/>
    <w:rsid w:val="00661E96"/>
    <w:rsid w:val="00665786"/>
    <w:rsid w:val="00671C93"/>
    <w:rsid w:val="00671F00"/>
    <w:rsid w:val="006729C8"/>
    <w:rsid w:val="00675501"/>
    <w:rsid w:val="0068055F"/>
    <w:rsid w:val="0068562A"/>
    <w:rsid w:val="006A62F8"/>
    <w:rsid w:val="006A6B31"/>
    <w:rsid w:val="006A6C95"/>
    <w:rsid w:val="006A7B29"/>
    <w:rsid w:val="006B0EB2"/>
    <w:rsid w:val="006B0FF8"/>
    <w:rsid w:val="006B4590"/>
    <w:rsid w:val="006C27D3"/>
    <w:rsid w:val="006C340C"/>
    <w:rsid w:val="006F1D0B"/>
    <w:rsid w:val="006F27A8"/>
    <w:rsid w:val="006F3493"/>
    <w:rsid w:val="006F3544"/>
    <w:rsid w:val="0070347C"/>
    <w:rsid w:val="00707FE6"/>
    <w:rsid w:val="007102D2"/>
    <w:rsid w:val="00710974"/>
    <w:rsid w:val="00714A66"/>
    <w:rsid w:val="007176C1"/>
    <w:rsid w:val="00720BC0"/>
    <w:rsid w:val="0072116B"/>
    <w:rsid w:val="00725063"/>
    <w:rsid w:val="00732E72"/>
    <w:rsid w:val="00741D90"/>
    <w:rsid w:val="007607B1"/>
    <w:rsid w:val="00765296"/>
    <w:rsid w:val="00765DCF"/>
    <w:rsid w:val="00766D28"/>
    <w:rsid w:val="007723C2"/>
    <w:rsid w:val="007815B9"/>
    <w:rsid w:val="00785F1F"/>
    <w:rsid w:val="007869B6"/>
    <w:rsid w:val="00790B9D"/>
    <w:rsid w:val="00796316"/>
    <w:rsid w:val="007A1C58"/>
    <w:rsid w:val="007A20D2"/>
    <w:rsid w:val="007A79CD"/>
    <w:rsid w:val="007C7FAE"/>
    <w:rsid w:val="007D2668"/>
    <w:rsid w:val="007D3119"/>
    <w:rsid w:val="007E3CBD"/>
    <w:rsid w:val="007F1867"/>
    <w:rsid w:val="007F1EC4"/>
    <w:rsid w:val="007F55CB"/>
    <w:rsid w:val="007F768E"/>
    <w:rsid w:val="008021D4"/>
    <w:rsid w:val="008149F9"/>
    <w:rsid w:val="008245B7"/>
    <w:rsid w:val="0082755E"/>
    <w:rsid w:val="00831A18"/>
    <w:rsid w:val="008345F4"/>
    <w:rsid w:val="00837345"/>
    <w:rsid w:val="00844750"/>
    <w:rsid w:val="00851A74"/>
    <w:rsid w:val="00853AB8"/>
    <w:rsid w:val="00854C34"/>
    <w:rsid w:val="0085586A"/>
    <w:rsid w:val="00856DB2"/>
    <w:rsid w:val="00894D0C"/>
    <w:rsid w:val="00895DE5"/>
    <w:rsid w:val="008A00CA"/>
    <w:rsid w:val="008A0FA8"/>
    <w:rsid w:val="008A1EC0"/>
    <w:rsid w:val="008B44C4"/>
    <w:rsid w:val="008C322B"/>
    <w:rsid w:val="008C4B74"/>
    <w:rsid w:val="008D1156"/>
    <w:rsid w:val="008D59DB"/>
    <w:rsid w:val="008E0319"/>
    <w:rsid w:val="008E1A59"/>
    <w:rsid w:val="008E4DE2"/>
    <w:rsid w:val="008E7CE2"/>
    <w:rsid w:val="008E7FAE"/>
    <w:rsid w:val="00911BF7"/>
    <w:rsid w:val="0091594A"/>
    <w:rsid w:val="009230F1"/>
    <w:rsid w:val="00926925"/>
    <w:rsid w:val="00935490"/>
    <w:rsid w:val="009418DE"/>
    <w:rsid w:val="009516B7"/>
    <w:rsid w:val="009545F1"/>
    <w:rsid w:val="00955ADC"/>
    <w:rsid w:val="0095705B"/>
    <w:rsid w:val="00957CE5"/>
    <w:rsid w:val="009624E2"/>
    <w:rsid w:val="00974DD2"/>
    <w:rsid w:val="00977EC8"/>
    <w:rsid w:val="00987B68"/>
    <w:rsid w:val="00996562"/>
    <w:rsid w:val="009A3048"/>
    <w:rsid w:val="009A6C26"/>
    <w:rsid w:val="009B17AD"/>
    <w:rsid w:val="009B3F8C"/>
    <w:rsid w:val="009B45E0"/>
    <w:rsid w:val="009B540F"/>
    <w:rsid w:val="009D3A8C"/>
    <w:rsid w:val="009E1B92"/>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60E90"/>
    <w:rsid w:val="00A72C35"/>
    <w:rsid w:val="00A752BB"/>
    <w:rsid w:val="00A76263"/>
    <w:rsid w:val="00A81F93"/>
    <w:rsid w:val="00A92017"/>
    <w:rsid w:val="00A9247E"/>
    <w:rsid w:val="00A952AD"/>
    <w:rsid w:val="00AA0DCA"/>
    <w:rsid w:val="00AA7796"/>
    <w:rsid w:val="00AC67A1"/>
    <w:rsid w:val="00AC7977"/>
    <w:rsid w:val="00AC7E56"/>
    <w:rsid w:val="00AE2617"/>
    <w:rsid w:val="00AE352C"/>
    <w:rsid w:val="00AE79AC"/>
    <w:rsid w:val="00B01AAD"/>
    <w:rsid w:val="00B101DB"/>
    <w:rsid w:val="00B21751"/>
    <w:rsid w:val="00B256F0"/>
    <w:rsid w:val="00B31D7D"/>
    <w:rsid w:val="00B32E2D"/>
    <w:rsid w:val="00B416B8"/>
    <w:rsid w:val="00B43741"/>
    <w:rsid w:val="00B45642"/>
    <w:rsid w:val="00B52F29"/>
    <w:rsid w:val="00B5388D"/>
    <w:rsid w:val="00B61990"/>
    <w:rsid w:val="00B6249B"/>
    <w:rsid w:val="00B70CCD"/>
    <w:rsid w:val="00B75E66"/>
    <w:rsid w:val="00B773BF"/>
    <w:rsid w:val="00B804B7"/>
    <w:rsid w:val="00BC3F20"/>
    <w:rsid w:val="00BD13E6"/>
    <w:rsid w:val="00BD28B2"/>
    <w:rsid w:val="00BD5A8D"/>
    <w:rsid w:val="00BD7343"/>
    <w:rsid w:val="00BF0556"/>
    <w:rsid w:val="00BF37EE"/>
    <w:rsid w:val="00BF41E8"/>
    <w:rsid w:val="00C024A1"/>
    <w:rsid w:val="00C02C42"/>
    <w:rsid w:val="00C10FB1"/>
    <w:rsid w:val="00C11282"/>
    <w:rsid w:val="00C14108"/>
    <w:rsid w:val="00C231A5"/>
    <w:rsid w:val="00C261F8"/>
    <w:rsid w:val="00C27662"/>
    <w:rsid w:val="00C32914"/>
    <w:rsid w:val="00C33100"/>
    <w:rsid w:val="00C42EDB"/>
    <w:rsid w:val="00C451B9"/>
    <w:rsid w:val="00C47BDD"/>
    <w:rsid w:val="00C51D9C"/>
    <w:rsid w:val="00C54DA4"/>
    <w:rsid w:val="00C55118"/>
    <w:rsid w:val="00C577D1"/>
    <w:rsid w:val="00C57A2D"/>
    <w:rsid w:val="00C6018C"/>
    <w:rsid w:val="00C67D23"/>
    <w:rsid w:val="00C71827"/>
    <w:rsid w:val="00C75D25"/>
    <w:rsid w:val="00C825E5"/>
    <w:rsid w:val="00C95EB8"/>
    <w:rsid w:val="00CB02C5"/>
    <w:rsid w:val="00CB0D41"/>
    <w:rsid w:val="00CB39CD"/>
    <w:rsid w:val="00CC2A62"/>
    <w:rsid w:val="00CC7CE6"/>
    <w:rsid w:val="00CD044C"/>
    <w:rsid w:val="00CD1A71"/>
    <w:rsid w:val="00CD1FBB"/>
    <w:rsid w:val="00CE033D"/>
    <w:rsid w:val="00CE08E5"/>
    <w:rsid w:val="00D016B5"/>
    <w:rsid w:val="00D034F1"/>
    <w:rsid w:val="00D04527"/>
    <w:rsid w:val="00D05828"/>
    <w:rsid w:val="00D06712"/>
    <w:rsid w:val="00D14C21"/>
    <w:rsid w:val="00D14F42"/>
    <w:rsid w:val="00D171D4"/>
    <w:rsid w:val="00D244CB"/>
    <w:rsid w:val="00D25908"/>
    <w:rsid w:val="00D27D5E"/>
    <w:rsid w:val="00D32B08"/>
    <w:rsid w:val="00D407D1"/>
    <w:rsid w:val="00D43E5F"/>
    <w:rsid w:val="00D51CE6"/>
    <w:rsid w:val="00D5218B"/>
    <w:rsid w:val="00D62AC5"/>
    <w:rsid w:val="00D639BD"/>
    <w:rsid w:val="00D65777"/>
    <w:rsid w:val="00D66E0D"/>
    <w:rsid w:val="00D7425A"/>
    <w:rsid w:val="00D74F7E"/>
    <w:rsid w:val="00D7695F"/>
    <w:rsid w:val="00D9039B"/>
    <w:rsid w:val="00D93582"/>
    <w:rsid w:val="00DA41A2"/>
    <w:rsid w:val="00DA43A1"/>
    <w:rsid w:val="00DA5E1D"/>
    <w:rsid w:val="00DC3628"/>
    <w:rsid w:val="00DC4F43"/>
    <w:rsid w:val="00DC5038"/>
    <w:rsid w:val="00DD0034"/>
    <w:rsid w:val="00DD1ED8"/>
    <w:rsid w:val="00DE6D90"/>
    <w:rsid w:val="00DF002F"/>
    <w:rsid w:val="00DF1D90"/>
    <w:rsid w:val="00E01123"/>
    <w:rsid w:val="00E0244D"/>
    <w:rsid w:val="00E026DF"/>
    <w:rsid w:val="00E02F48"/>
    <w:rsid w:val="00E03712"/>
    <w:rsid w:val="00E06B3F"/>
    <w:rsid w:val="00E10A73"/>
    <w:rsid w:val="00E14F27"/>
    <w:rsid w:val="00E171D2"/>
    <w:rsid w:val="00E25534"/>
    <w:rsid w:val="00E319B6"/>
    <w:rsid w:val="00E32145"/>
    <w:rsid w:val="00E32F5A"/>
    <w:rsid w:val="00E43CB0"/>
    <w:rsid w:val="00E510F3"/>
    <w:rsid w:val="00E51874"/>
    <w:rsid w:val="00E55223"/>
    <w:rsid w:val="00E60012"/>
    <w:rsid w:val="00E606BF"/>
    <w:rsid w:val="00E62CFF"/>
    <w:rsid w:val="00E665EE"/>
    <w:rsid w:val="00E679AE"/>
    <w:rsid w:val="00E71570"/>
    <w:rsid w:val="00E73B13"/>
    <w:rsid w:val="00E75C58"/>
    <w:rsid w:val="00E76819"/>
    <w:rsid w:val="00E81E94"/>
    <w:rsid w:val="00E82607"/>
    <w:rsid w:val="00E84A82"/>
    <w:rsid w:val="00E85025"/>
    <w:rsid w:val="00E9483E"/>
    <w:rsid w:val="00E94E03"/>
    <w:rsid w:val="00E96710"/>
    <w:rsid w:val="00E97E2C"/>
    <w:rsid w:val="00EA3B1D"/>
    <w:rsid w:val="00EB407B"/>
    <w:rsid w:val="00EB77B9"/>
    <w:rsid w:val="00EB7D07"/>
    <w:rsid w:val="00ED3A26"/>
    <w:rsid w:val="00EF5EBC"/>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6B14"/>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C2227"/>
    <w:rsid w:val="00FC2CA9"/>
    <w:rsid w:val="00FC58CD"/>
    <w:rsid w:val="00FD02A2"/>
    <w:rsid w:val="00FD5E64"/>
    <w:rsid w:val="00FD7985"/>
    <w:rsid w:val="00FE2E9C"/>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lang w:val="fr-CH" w:eastAsia="en-US" w:bidi="ar-SA"/>
    </w:r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paragraph" w:customStyle="1" w:styleId="ParNoG">
    <w:name w:val="_ParNo_G"/>
    <w:basedOn w:val="SingleTxtG"/>
    <w:rsid w:val="00FE2E9C"/>
    <w:pPr>
      <w:numPr>
        <w:numId w:val="49"/>
      </w:numPr>
    </w:pPr>
  </w:style>
  <w:style w:type="character" w:customStyle="1" w:styleId="Heading1Char">
    <w:name w:val="Heading 1 Char"/>
    <w:aliases w:val="Table_G Char"/>
    <w:link w:val="Heading1"/>
    <w:rsid w:val="001C08ED"/>
    <w:rPr>
      <w:lang w:val="fr-CH" w:eastAsia="en-US"/>
    </w:rPr>
  </w:style>
  <w:style w:type="paragraph" w:styleId="BalloonText">
    <w:name w:val="Balloon Text"/>
    <w:basedOn w:val="Normal"/>
    <w:link w:val="BalloonTextChar"/>
    <w:rsid w:val="00FC2CA9"/>
    <w:pPr>
      <w:spacing w:line="240" w:lineRule="auto"/>
    </w:pPr>
    <w:rPr>
      <w:rFonts w:ascii="Tahoma" w:hAnsi="Tahoma" w:cs="Tahoma"/>
      <w:sz w:val="16"/>
      <w:szCs w:val="16"/>
    </w:rPr>
  </w:style>
  <w:style w:type="character" w:customStyle="1" w:styleId="BalloonTextChar">
    <w:name w:val="Balloon Text Char"/>
    <w:link w:val="BalloonText"/>
    <w:rsid w:val="00FC2CA9"/>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FRENC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FRENCH my AMEND template.dotx</Template>
  <TotalTime>11</TotalTime>
  <Pages>3</Pages>
  <Words>537</Words>
  <Characters>3065</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E/ECE/324/Rev.2/Add.100/Rev.3/Amend.1</vt:lpstr>
      <vt:lpstr>E/ECE/324/Rev.2/Add.100/Rev.3/Amend.1</vt:lpstr>
    </vt:vector>
  </TitlesOfParts>
  <Company>CSD</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dc:title>
  <dc:subject>final</dc:subject>
  <dc:creator>06</dc:creator>
  <cp:lastModifiedBy>09</cp:lastModifiedBy>
  <cp:revision>8</cp:revision>
  <cp:lastPrinted>2015-11-09T08:51:00Z</cp:lastPrinted>
  <dcterms:created xsi:type="dcterms:W3CDTF">2015-07-14T13:18:00Z</dcterms:created>
  <dcterms:modified xsi:type="dcterms:W3CDTF">2015-11-09T08:51:00Z</dcterms:modified>
</cp:coreProperties>
</file>