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194253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48F2B25" w14:textId="77777777" w:rsidR="00F35BAF" w:rsidRPr="00DB58B5" w:rsidRDefault="00F35BAF" w:rsidP="005D147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377004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753B6AF" w14:textId="77777777" w:rsidR="00F35BAF" w:rsidRPr="00DB58B5" w:rsidRDefault="005D147A" w:rsidP="005D147A">
            <w:pPr>
              <w:jc w:val="right"/>
            </w:pPr>
            <w:r w:rsidRPr="005D147A">
              <w:rPr>
                <w:sz w:val="40"/>
              </w:rPr>
              <w:t>ECE</w:t>
            </w:r>
            <w:r>
              <w:t>/TRANS/WP.29/GRPE/2020/6</w:t>
            </w:r>
            <w:r w:rsidR="00591AB0" w:rsidRPr="00591AB0">
              <w:rPr>
                <w:rStyle w:val="FootnoteReference"/>
                <w:sz w:val="20"/>
                <w:vertAlign w:val="baseline"/>
              </w:rPr>
              <w:footnoteReference w:customMarkFollows="1" w:id="2"/>
              <w:t>*</w:t>
            </w:r>
          </w:p>
        </w:tc>
      </w:tr>
      <w:tr w:rsidR="00F35BAF" w:rsidRPr="00DB58B5" w14:paraId="01099A7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B63F64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091C4BB" wp14:editId="4334E26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EB2F0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D76D17D" w14:textId="77777777" w:rsidR="00F35BAF" w:rsidRDefault="005D147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024F94FC" w14:textId="77777777" w:rsidR="005D147A" w:rsidRDefault="005D147A" w:rsidP="005D147A">
            <w:pPr>
              <w:spacing w:line="240" w:lineRule="exact"/>
            </w:pPr>
            <w:r>
              <w:t>5 novembre 2019</w:t>
            </w:r>
          </w:p>
          <w:p w14:paraId="421342AA" w14:textId="77777777" w:rsidR="005D147A" w:rsidRDefault="005D147A" w:rsidP="005D147A">
            <w:pPr>
              <w:spacing w:line="240" w:lineRule="exact"/>
            </w:pPr>
            <w:r>
              <w:t>Français</w:t>
            </w:r>
          </w:p>
          <w:p w14:paraId="77F159A9" w14:textId="77777777" w:rsidR="005D147A" w:rsidRPr="00DB58B5" w:rsidRDefault="005D147A" w:rsidP="005D147A">
            <w:pPr>
              <w:spacing w:line="240" w:lineRule="exact"/>
            </w:pPr>
            <w:r>
              <w:t>Original : anglais</w:t>
            </w:r>
          </w:p>
        </w:tc>
      </w:tr>
    </w:tbl>
    <w:p w14:paraId="68767FD8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46FCA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2513746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665B782" w14:textId="77777777" w:rsidR="00E204AB" w:rsidRDefault="00E204A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946FCA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73DEE7D" w14:textId="77777777" w:rsidR="00E204AB" w:rsidRDefault="00E204AB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pollution et de l</w:t>
      </w:r>
      <w:r w:rsidR="00946FCA">
        <w:rPr>
          <w:b/>
        </w:rPr>
        <w:t>’</w:t>
      </w:r>
      <w:r>
        <w:rPr>
          <w:b/>
        </w:rPr>
        <w:t>énergie</w:t>
      </w:r>
    </w:p>
    <w:p w14:paraId="5DF2F96A" w14:textId="77777777" w:rsidR="00E204AB" w:rsidRPr="00633300" w:rsidRDefault="00E204AB" w:rsidP="00E204AB">
      <w:pPr>
        <w:rPr>
          <w:rFonts w:eastAsia="MS Mincho"/>
          <w:b/>
          <w:lang w:val="fr-FR"/>
        </w:rPr>
      </w:pPr>
      <w:r w:rsidRPr="00633300">
        <w:rPr>
          <w:rFonts w:eastAsia="MS Mincho"/>
          <w:b/>
          <w:lang w:val="fr-FR"/>
        </w:rPr>
        <w:t>Quatre-vingtième session</w:t>
      </w:r>
    </w:p>
    <w:p w14:paraId="4D5746B3" w14:textId="77777777" w:rsidR="00E204AB" w:rsidRPr="00633300" w:rsidRDefault="00E204AB" w:rsidP="00E204AB">
      <w:pPr>
        <w:rPr>
          <w:lang w:val="fr-FR"/>
        </w:rPr>
      </w:pPr>
      <w:r w:rsidRPr="00633300">
        <w:rPr>
          <w:rFonts w:eastAsia="MS Mincho"/>
          <w:lang w:val="fr-FR"/>
        </w:rPr>
        <w:t>Genève</w:t>
      </w:r>
      <w:r w:rsidRPr="00633300">
        <w:rPr>
          <w:rFonts w:eastAsia="MS Mincho"/>
          <w:bCs/>
          <w:lang w:val="fr-FR"/>
        </w:rPr>
        <w:t xml:space="preserve">, 14-17 </w:t>
      </w:r>
      <w:r>
        <w:rPr>
          <w:rFonts w:eastAsia="MS Mincho"/>
          <w:bCs/>
          <w:lang w:val="fr-FR"/>
        </w:rPr>
        <w:t>janvier</w:t>
      </w:r>
      <w:r w:rsidRPr="00633300">
        <w:rPr>
          <w:rFonts w:eastAsia="MS Mincho"/>
          <w:bCs/>
          <w:lang w:val="fr-FR"/>
        </w:rPr>
        <w:t xml:space="preserve"> 2020</w:t>
      </w:r>
    </w:p>
    <w:p w14:paraId="28403026" w14:textId="77777777" w:rsidR="00E204AB" w:rsidRPr="00633300" w:rsidRDefault="00E204AB" w:rsidP="00E204AB">
      <w:pPr>
        <w:rPr>
          <w:lang w:val="fr-FR"/>
        </w:rPr>
      </w:pPr>
      <w:r w:rsidRPr="00633300">
        <w:rPr>
          <w:lang w:val="fr-FR"/>
        </w:rPr>
        <w:t xml:space="preserve">Point </w:t>
      </w:r>
      <w:r w:rsidRPr="00633300">
        <w:rPr>
          <w:bCs/>
          <w:lang w:val="fr-FR"/>
        </w:rPr>
        <w:t>3 a) de l</w:t>
      </w:r>
      <w:r w:rsidR="00946FCA">
        <w:rPr>
          <w:bCs/>
          <w:lang w:val="fr-FR"/>
        </w:rPr>
        <w:t>’</w:t>
      </w:r>
      <w:r w:rsidRPr="00633300">
        <w:rPr>
          <w:bCs/>
          <w:lang w:val="fr-FR"/>
        </w:rPr>
        <w:t>ordre du jour provisoire</w:t>
      </w:r>
    </w:p>
    <w:p w14:paraId="4183E398" w14:textId="77777777" w:rsidR="00F9573C" w:rsidRDefault="00E204AB" w:rsidP="00E204AB">
      <w:pPr>
        <w:rPr>
          <w:b/>
          <w:lang w:val="fr-FR"/>
        </w:rPr>
      </w:pPr>
      <w:r w:rsidRPr="00633300">
        <w:rPr>
          <w:b/>
          <w:lang w:val="fr-FR"/>
        </w:rPr>
        <w:t>Véhicules légers : Règlements ONU n</w:t>
      </w:r>
      <w:r w:rsidRPr="00633300">
        <w:rPr>
          <w:b/>
          <w:vertAlign w:val="superscript"/>
          <w:lang w:val="fr-FR"/>
        </w:rPr>
        <w:t>os</w:t>
      </w:r>
      <w:r w:rsidR="001E0357">
        <w:rPr>
          <w:b/>
          <w:lang w:val="fr-FR"/>
        </w:rPr>
        <w:t> </w:t>
      </w:r>
      <w:r w:rsidRPr="00633300">
        <w:rPr>
          <w:b/>
          <w:lang w:val="fr-FR"/>
        </w:rPr>
        <w:t>68 (Mesure de la vitesse maximale,</w:t>
      </w:r>
      <w:r>
        <w:rPr>
          <w:b/>
          <w:lang w:val="fr-FR"/>
        </w:rPr>
        <w:br/>
      </w:r>
      <w:r w:rsidRPr="00633300">
        <w:rPr>
          <w:b/>
          <w:lang w:val="fr-FR"/>
        </w:rPr>
        <w:t xml:space="preserve">y compris des véhicules électriques purs), 83 (Émissions polluantes des </w:t>
      </w:r>
      <w:r w:rsidR="001E0357">
        <w:rPr>
          <w:b/>
          <w:lang w:val="fr-FR"/>
        </w:rPr>
        <w:br/>
      </w:r>
      <w:r w:rsidRPr="00633300">
        <w:rPr>
          <w:b/>
          <w:lang w:val="fr-FR"/>
        </w:rPr>
        <w:t>véhicules des catégories M</w:t>
      </w:r>
      <w:r w:rsidRPr="00633300">
        <w:rPr>
          <w:b/>
          <w:vertAlign w:val="subscript"/>
          <w:lang w:val="fr-FR"/>
        </w:rPr>
        <w:t>1</w:t>
      </w:r>
      <w:r w:rsidRPr="00633300">
        <w:rPr>
          <w:b/>
          <w:lang w:val="fr-FR"/>
        </w:rPr>
        <w:t xml:space="preserve"> et N</w:t>
      </w:r>
      <w:r w:rsidRPr="00633300">
        <w:rPr>
          <w:b/>
          <w:vertAlign w:val="subscript"/>
          <w:lang w:val="fr-FR"/>
        </w:rPr>
        <w:t>1</w:t>
      </w:r>
      <w:r w:rsidRPr="00633300">
        <w:rPr>
          <w:b/>
          <w:lang w:val="fr-FR"/>
        </w:rPr>
        <w:t>), 101 (Émissions de CO</w:t>
      </w:r>
      <w:r w:rsidRPr="00633300">
        <w:rPr>
          <w:b/>
          <w:vertAlign w:val="subscript"/>
          <w:lang w:val="fr-FR"/>
        </w:rPr>
        <w:t>2</w:t>
      </w:r>
      <w:r w:rsidRPr="00633300">
        <w:rPr>
          <w:b/>
          <w:lang w:val="fr-FR"/>
        </w:rPr>
        <w:t>/consommation</w:t>
      </w:r>
      <w:r w:rsidR="001E0357">
        <w:rPr>
          <w:b/>
          <w:lang w:val="fr-FR"/>
        </w:rPr>
        <w:br/>
      </w:r>
      <w:r w:rsidRPr="00633300">
        <w:rPr>
          <w:b/>
          <w:lang w:val="fr-FR"/>
        </w:rPr>
        <w:t>de carburant) et 103 (Dispositifs antipollution de remplacement)</w:t>
      </w:r>
    </w:p>
    <w:p w14:paraId="7BBF0420" w14:textId="77777777" w:rsidR="00BC2E1E" w:rsidRPr="00633300" w:rsidRDefault="00BC2E1E" w:rsidP="00BC2E1E">
      <w:pPr>
        <w:pStyle w:val="HChG"/>
        <w:rPr>
          <w:lang w:val="fr-FR"/>
        </w:rPr>
      </w:pPr>
      <w:r w:rsidRPr="00633300">
        <w:rPr>
          <w:lang w:val="fr-FR"/>
        </w:rPr>
        <w:tab/>
      </w:r>
      <w:r w:rsidRPr="00633300">
        <w:rPr>
          <w:lang w:val="fr-FR"/>
        </w:rPr>
        <w:tab/>
        <w:t xml:space="preserve">Proposition de complément à </w:t>
      </w:r>
      <w:r>
        <w:rPr>
          <w:lang w:val="fr-FR"/>
        </w:rPr>
        <w:t>la série</w:t>
      </w:r>
      <w:r w:rsidRPr="00633300">
        <w:rPr>
          <w:lang w:val="fr-FR"/>
        </w:rPr>
        <w:t xml:space="preserve"> 01 </w:t>
      </w:r>
      <w:r>
        <w:rPr>
          <w:lang w:val="fr-FR"/>
        </w:rPr>
        <w:t>d</w:t>
      </w:r>
      <w:r w:rsidR="00946FCA">
        <w:rPr>
          <w:lang w:val="fr-FR"/>
        </w:rPr>
        <w:t>’</w:t>
      </w:r>
      <w:r>
        <w:rPr>
          <w:lang w:val="fr-FR"/>
        </w:rPr>
        <w:t xml:space="preserve">amendements </w:t>
      </w:r>
      <w:r>
        <w:rPr>
          <w:lang w:val="fr-FR"/>
        </w:rPr>
        <w:br/>
        <w:t xml:space="preserve">au </w:t>
      </w:r>
      <w:r w:rsidRPr="00BC2E1E">
        <w:t>Règlement</w:t>
      </w:r>
      <w:r>
        <w:rPr>
          <w:lang w:val="fr-FR"/>
        </w:rPr>
        <w:t xml:space="preserve"> ONU </w:t>
      </w:r>
      <w:r w:rsidRPr="00633300">
        <w:t>n</w:t>
      </w:r>
      <w:r w:rsidRPr="00376AB3">
        <w:rPr>
          <w:vertAlign w:val="superscript"/>
        </w:rPr>
        <w:t>o</w:t>
      </w:r>
      <w:r>
        <w:t> </w:t>
      </w:r>
      <w:r w:rsidRPr="00633300">
        <w:rPr>
          <w:lang w:val="fr-FR"/>
        </w:rPr>
        <w:t>101 (Émissions de CO</w:t>
      </w:r>
      <w:r w:rsidRPr="00633300">
        <w:rPr>
          <w:vertAlign w:val="subscript"/>
          <w:lang w:val="fr-FR"/>
        </w:rPr>
        <w:t>2</w:t>
      </w:r>
      <w:r w:rsidRPr="00633300">
        <w:rPr>
          <w:lang w:val="fr-FR"/>
        </w:rPr>
        <w:t>/</w:t>
      </w:r>
      <w:r>
        <w:rPr>
          <w:lang w:val="fr-FR"/>
        </w:rPr>
        <w:br/>
      </w:r>
      <w:r w:rsidRPr="00633300">
        <w:rPr>
          <w:lang w:val="fr-FR"/>
        </w:rPr>
        <w:t>consommation de carburant)</w:t>
      </w:r>
    </w:p>
    <w:p w14:paraId="6A0E2B85" w14:textId="77777777" w:rsidR="00BC2E1E" w:rsidRDefault="00BC2E1E" w:rsidP="00BC2E1E">
      <w:pPr>
        <w:pStyle w:val="H1G"/>
        <w:rPr>
          <w:b w:val="0"/>
          <w:sz w:val="20"/>
          <w:lang w:val="fr-FR"/>
        </w:rPr>
      </w:pPr>
      <w:r w:rsidRPr="00633300">
        <w:rPr>
          <w:lang w:val="fr-FR"/>
        </w:rPr>
        <w:tab/>
      </w:r>
      <w:r w:rsidRPr="00633300">
        <w:rPr>
          <w:lang w:val="fr-FR"/>
        </w:rPr>
        <w:tab/>
      </w:r>
      <w:r w:rsidRPr="00541583">
        <w:rPr>
          <w:lang w:val="fr-FR"/>
        </w:rPr>
        <w:t>Communication de l</w:t>
      </w:r>
      <w:r w:rsidR="00946FCA">
        <w:rPr>
          <w:lang w:val="fr-FR"/>
        </w:rPr>
        <w:t>’</w:t>
      </w:r>
      <w:r w:rsidRPr="00541583">
        <w:rPr>
          <w:lang w:val="fr-FR"/>
        </w:rPr>
        <w:t>expert de l</w:t>
      </w:r>
      <w:r w:rsidR="00946FCA">
        <w:rPr>
          <w:lang w:val="fr-FR"/>
        </w:rPr>
        <w:t>’</w:t>
      </w:r>
      <w:r w:rsidRPr="00541583">
        <w:rPr>
          <w:lang w:val="fr-FR"/>
        </w:rPr>
        <w:t>Organisation internationale</w:t>
      </w:r>
      <w:r>
        <w:rPr>
          <w:lang w:val="fr-FR"/>
        </w:rPr>
        <w:br/>
      </w:r>
      <w:r w:rsidRPr="00541583">
        <w:rPr>
          <w:lang w:val="fr-FR"/>
        </w:rPr>
        <w:t>des constructeurs d</w:t>
      </w:r>
      <w:r w:rsidR="00946FCA">
        <w:rPr>
          <w:lang w:val="fr-FR"/>
        </w:rPr>
        <w:t>’</w:t>
      </w:r>
      <w:r w:rsidRPr="00541583">
        <w:rPr>
          <w:lang w:val="fr-FR"/>
        </w:rPr>
        <w:t>automobiles</w:t>
      </w:r>
      <w:r w:rsidR="00591AB0" w:rsidRPr="00591AB0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14:paraId="3CA87CBC" w14:textId="77777777" w:rsidR="00086B5C" w:rsidRDefault="00BC2E1E" w:rsidP="00BC2E1E">
      <w:pPr>
        <w:pStyle w:val="SingleTxtG"/>
        <w:ind w:firstLine="567"/>
      </w:pPr>
      <w:r w:rsidRPr="00BC2E1E">
        <w:rPr>
          <w:lang w:val="fr-FR"/>
        </w:rPr>
        <w:t>Le texte ci-après, établi par l</w:t>
      </w:r>
      <w:r w:rsidR="00946FCA">
        <w:rPr>
          <w:lang w:val="fr-FR"/>
        </w:rPr>
        <w:t>’</w:t>
      </w:r>
      <w:r w:rsidRPr="00BC2E1E">
        <w:rPr>
          <w:lang w:val="fr-FR"/>
        </w:rPr>
        <w:t>expert de l</w:t>
      </w:r>
      <w:r w:rsidR="00946FCA">
        <w:rPr>
          <w:lang w:val="fr-FR"/>
        </w:rPr>
        <w:t>’</w:t>
      </w:r>
      <w:r w:rsidRPr="00BC2E1E">
        <w:rPr>
          <w:lang w:val="fr-FR"/>
        </w:rPr>
        <w:t>Organisation internationale des constructeurs d</w:t>
      </w:r>
      <w:r w:rsidR="00946FCA">
        <w:rPr>
          <w:lang w:val="fr-FR"/>
        </w:rPr>
        <w:t>’</w:t>
      </w:r>
      <w:r w:rsidRPr="00BC2E1E">
        <w:rPr>
          <w:lang w:val="fr-FR"/>
        </w:rPr>
        <w:t xml:space="preserve">automobiles (OICA), vise à adapter les dispositions du Règlement ONU </w:t>
      </w:r>
      <w:r w:rsidRPr="00BC2E1E">
        <w:rPr>
          <w:rFonts w:eastAsia="MS Mincho"/>
          <w:szCs w:val="22"/>
          <w:lang w:val="fr-FR"/>
        </w:rPr>
        <w:t>n</w:t>
      </w:r>
      <w:r w:rsidRPr="00BC2E1E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BC2E1E">
        <w:rPr>
          <w:lang w:val="fr-FR"/>
        </w:rPr>
        <w:t>101 afin de permettre l</w:t>
      </w:r>
      <w:r w:rsidR="00946FCA">
        <w:rPr>
          <w:lang w:val="fr-FR"/>
        </w:rPr>
        <w:t>’</w:t>
      </w:r>
      <w:r w:rsidRPr="00BC2E1E">
        <w:rPr>
          <w:lang w:val="fr-FR"/>
        </w:rPr>
        <w:t>utilisation de valeurs de résistance à l</w:t>
      </w:r>
      <w:r w:rsidR="00946FCA">
        <w:rPr>
          <w:lang w:val="fr-FR"/>
        </w:rPr>
        <w:t>’</w:t>
      </w:r>
      <w:r w:rsidRPr="00BC2E1E">
        <w:rPr>
          <w:lang w:val="fr-FR"/>
        </w:rPr>
        <w:t xml:space="preserve">avancement dérivées de celles calculées conformément au RTM ONU </w:t>
      </w:r>
      <w:r w:rsidRPr="00BC2E1E">
        <w:rPr>
          <w:rFonts w:eastAsia="MS Mincho"/>
          <w:szCs w:val="22"/>
          <w:lang w:val="fr-FR"/>
        </w:rPr>
        <w:t>n</w:t>
      </w:r>
      <w:r w:rsidRPr="00BC2E1E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BC2E1E">
        <w:rPr>
          <w:lang w:val="fr-FR"/>
        </w:rPr>
        <w:t>15</w:t>
      </w:r>
      <w:r w:rsidR="00EF4F35">
        <w:rPr>
          <w:lang w:val="fr-FR"/>
        </w:rPr>
        <w:t xml:space="preserve"> (</w:t>
      </w:r>
      <w:r w:rsidR="00EF4F35" w:rsidRPr="00BC2E1E">
        <w:t>WLTP</w:t>
      </w:r>
      <w:r w:rsidR="00EF4F35">
        <w:t>)</w:t>
      </w:r>
      <w:r w:rsidRPr="00BC2E1E">
        <w:rPr>
          <w:lang w:val="fr-FR"/>
        </w:rPr>
        <w:t xml:space="preserve">. </w:t>
      </w:r>
      <w:r w:rsidRPr="00BC2E1E">
        <w:t>Ce concept est actuellement appliqué dans la législation de l</w:t>
      </w:r>
      <w:r w:rsidR="00946FCA">
        <w:t>’</w:t>
      </w:r>
      <w:r w:rsidRPr="00BC2E1E">
        <w:t>Union européenne en tant que composante de la procédure de corrélation entre les procédures WLTP et NEDC.</w:t>
      </w:r>
    </w:p>
    <w:p w14:paraId="26C615F6" w14:textId="77777777" w:rsidR="003F01DE" w:rsidRPr="000D434E" w:rsidRDefault="00086B5C" w:rsidP="003F01DE">
      <w:pPr>
        <w:pStyle w:val="HChG"/>
        <w:rPr>
          <w:lang w:val="fr-FR"/>
        </w:rPr>
      </w:pPr>
      <w:r>
        <w:br w:type="page"/>
      </w:r>
      <w:r w:rsidR="003F01DE" w:rsidRPr="00DB786C">
        <w:lastRenderedPageBreak/>
        <w:tab/>
      </w:r>
      <w:r w:rsidR="003F01DE" w:rsidRPr="000D434E">
        <w:rPr>
          <w:lang w:val="fr-FR"/>
        </w:rPr>
        <w:t>I.</w:t>
      </w:r>
      <w:r w:rsidR="003F01DE" w:rsidRPr="000D434E">
        <w:rPr>
          <w:lang w:val="fr-FR"/>
        </w:rPr>
        <w:tab/>
      </w:r>
      <w:r w:rsidR="003F01DE" w:rsidRPr="003F01DE">
        <w:t>Proposition</w:t>
      </w:r>
    </w:p>
    <w:p w14:paraId="184533CB" w14:textId="77777777" w:rsidR="003F01DE" w:rsidRPr="000D434E" w:rsidRDefault="003F01DE" w:rsidP="003F01DE">
      <w:pPr>
        <w:pStyle w:val="SingleTxtG"/>
        <w:rPr>
          <w:lang w:val="fr-FR"/>
        </w:rPr>
      </w:pPr>
      <w:r w:rsidRPr="003F01DE">
        <w:rPr>
          <w:i/>
          <w:lang w:val="fr-FR"/>
        </w:rPr>
        <w:t>Annexe 6, paragraphe 1.1</w:t>
      </w:r>
      <w:r w:rsidRPr="000D434E">
        <w:rPr>
          <w:lang w:val="fr-FR"/>
        </w:rPr>
        <w:t xml:space="preserve">, </w:t>
      </w:r>
      <w:r w:rsidRPr="000D434E">
        <w:rPr>
          <w:iCs/>
          <w:lang w:val="fr-FR"/>
        </w:rPr>
        <w:t>lire :</w:t>
      </w:r>
    </w:p>
    <w:p w14:paraId="31E0B9C8" w14:textId="77777777" w:rsidR="003F01DE" w:rsidRPr="00A145F5" w:rsidRDefault="003F01DE" w:rsidP="003F01DE">
      <w:pPr>
        <w:pStyle w:val="SingleTxtG"/>
        <w:ind w:left="2268" w:hanging="1134"/>
        <w:rPr>
          <w:lang w:val="fr-FR"/>
        </w:rPr>
      </w:pPr>
      <w:r w:rsidRPr="00A145F5">
        <w:rPr>
          <w:lang w:val="fr-FR"/>
        </w:rPr>
        <w:t>« 1.1</w:t>
      </w:r>
      <w:r w:rsidRPr="00A145F5">
        <w:rPr>
          <w:lang w:val="fr-FR"/>
        </w:rPr>
        <w:tab/>
        <w:t>Les émissions de dioxyde de carbone (CO</w:t>
      </w:r>
      <w:r w:rsidRPr="00A145F5">
        <w:rPr>
          <w:vertAlign w:val="subscript"/>
          <w:lang w:val="fr-FR"/>
        </w:rPr>
        <w:t>2</w:t>
      </w:r>
      <w:r w:rsidRPr="00A145F5">
        <w:rPr>
          <w:lang w:val="fr-FR"/>
        </w:rPr>
        <w:t>) et la consommation de carburant des véhicules mus uniquement par un moteur à combustion interne doivent être déterminées selon la méthode applicable à l</w:t>
      </w:r>
      <w:r w:rsidR="00946FCA">
        <w:rPr>
          <w:lang w:val="fr-FR"/>
        </w:rPr>
        <w:t>’</w:t>
      </w:r>
      <w:r w:rsidRPr="00A145F5">
        <w:rPr>
          <w:lang w:val="fr-FR"/>
        </w:rPr>
        <w:t>essai de type I, telle qu</w:t>
      </w:r>
      <w:r w:rsidR="00946FCA">
        <w:rPr>
          <w:lang w:val="fr-FR"/>
        </w:rPr>
        <w:t>’</w:t>
      </w:r>
      <w:r w:rsidRPr="00A145F5">
        <w:rPr>
          <w:lang w:val="fr-FR"/>
        </w:rPr>
        <w:t>elle est définie dans l</w:t>
      </w:r>
      <w:r w:rsidR="00946FCA">
        <w:rPr>
          <w:lang w:val="fr-FR"/>
        </w:rPr>
        <w:t>’</w:t>
      </w:r>
      <w:r w:rsidRPr="00A145F5">
        <w:rPr>
          <w:lang w:val="fr-FR"/>
        </w:rPr>
        <w:t>annexe</w:t>
      </w:r>
      <w:r w:rsidR="00460B7B">
        <w:rPr>
          <w:lang w:val="fr-FR"/>
        </w:rPr>
        <w:t> </w:t>
      </w:r>
      <w:r w:rsidRPr="00A145F5">
        <w:rPr>
          <w:lang w:val="fr-FR"/>
        </w:rPr>
        <w:t xml:space="preserve">4a du Règlement </w:t>
      </w:r>
      <w:r w:rsidRPr="003F01DE">
        <w:rPr>
          <w:rFonts w:eastAsia="MS Mincho"/>
          <w:szCs w:val="22"/>
          <w:lang w:val="fr-FR"/>
        </w:rPr>
        <w:t>n</w:t>
      </w:r>
      <w:r w:rsidRPr="003F01DE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A145F5">
        <w:rPr>
          <w:lang w:val="fr-FR"/>
        </w:rPr>
        <w:t>83, conformément à la série d</w:t>
      </w:r>
      <w:r w:rsidR="00946FCA">
        <w:rPr>
          <w:lang w:val="fr-FR"/>
        </w:rPr>
        <w:t>’</w:t>
      </w:r>
      <w:r w:rsidRPr="00A145F5">
        <w:rPr>
          <w:lang w:val="fr-FR"/>
        </w:rPr>
        <w:t>amendements en vertu de laquelle le véhicule est homologué, ou dans le cas où le véhicule n</w:t>
      </w:r>
      <w:r w:rsidR="00946FCA">
        <w:rPr>
          <w:lang w:val="fr-FR"/>
        </w:rPr>
        <w:t>’</w:t>
      </w:r>
      <w:r w:rsidRPr="00A145F5">
        <w:rPr>
          <w:lang w:val="fr-FR"/>
        </w:rPr>
        <w:t xml:space="preserve">est pas homologué conformément au Règlement </w:t>
      </w:r>
      <w:r w:rsidR="00460B7B" w:rsidRPr="003F01DE">
        <w:rPr>
          <w:rFonts w:eastAsia="MS Mincho"/>
          <w:szCs w:val="22"/>
          <w:lang w:val="fr-FR"/>
        </w:rPr>
        <w:t>n</w:t>
      </w:r>
      <w:r w:rsidR="00460B7B" w:rsidRPr="003F01DE">
        <w:rPr>
          <w:rFonts w:eastAsia="MS Mincho"/>
          <w:szCs w:val="22"/>
          <w:vertAlign w:val="superscript"/>
          <w:lang w:val="fr-FR"/>
        </w:rPr>
        <w:t>o</w:t>
      </w:r>
      <w:r w:rsidR="00460B7B">
        <w:rPr>
          <w:lang w:val="fr-FR"/>
        </w:rPr>
        <w:t> </w:t>
      </w:r>
      <w:r w:rsidRPr="00A145F5">
        <w:rPr>
          <w:lang w:val="fr-FR"/>
        </w:rPr>
        <w:t>83, à la série d</w:t>
      </w:r>
      <w:r w:rsidR="00946FCA">
        <w:rPr>
          <w:lang w:val="fr-FR"/>
        </w:rPr>
        <w:t>’</w:t>
      </w:r>
      <w:r w:rsidRPr="00A145F5">
        <w:rPr>
          <w:lang w:val="fr-FR"/>
        </w:rPr>
        <w:t>amendements en vigueur à la date de l</w:t>
      </w:r>
      <w:r w:rsidR="00946FCA">
        <w:rPr>
          <w:lang w:val="fr-FR"/>
        </w:rPr>
        <w:t>’</w:t>
      </w:r>
      <w:r w:rsidRPr="00A145F5">
        <w:rPr>
          <w:lang w:val="fr-FR"/>
        </w:rPr>
        <w:t>homologation du véhicule.</w:t>
      </w:r>
    </w:p>
    <w:p w14:paraId="1543E8A1" w14:textId="77777777" w:rsidR="003F01DE" w:rsidRPr="003A5438" w:rsidRDefault="003F01DE" w:rsidP="00460B7B">
      <w:pPr>
        <w:pStyle w:val="SingleTxtG"/>
        <w:ind w:left="2268"/>
        <w:rPr>
          <w:iCs/>
          <w:lang w:val="fr-FR"/>
        </w:rPr>
      </w:pPr>
      <w:r w:rsidRPr="003A5438">
        <w:rPr>
          <w:b/>
          <w:iCs/>
          <w:lang w:val="fr-FR"/>
        </w:rPr>
        <w:t>Dans le cas où les émissions d</w:t>
      </w:r>
      <w:r w:rsidR="00946FCA">
        <w:rPr>
          <w:b/>
          <w:iCs/>
          <w:lang w:val="fr-FR"/>
        </w:rPr>
        <w:t>’</w:t>
      </w:r>
      <w:r w:rsidRPr="003A5438">
        <w:rPr>
          <w:b/>
          <w:iCs/>
          <w:lang w:val="fr-FR"/>
        </w:rPr>
        <w:t xml:space="preserve">un véhicule sont </w:t>
      </w:r>
      <w:r>
        <w:rPr>
          <w:b/>
          <w:iCs/>
          <w:lang w:val="fr-FR"/>
        </w:rPr>
        <w:t>déterminées</w:t>
      </w:r>
      <w:r w:rsidRPr="003A5438">
        <w:rPr>
          <w:b/>
          <w:iCs/>
          <w:lang w:val="fr-FR"/>
        </w:rPr>
        <w:t xml:space="preserve"> </w:t>
      </w:r>
      <w:r>
        <w:rPr>
          <w:b/>
          <w:iCs/>
          <w:lang w:val="fr-FR"/>
        </w:rPr>
        <w:t>conformément à la</w:t>
      </w:r>
      <w:r w:rsidRPr="003A5438">
        <w:rPr>
          <w:b/>
          <w:iCs/>
          <w:lang w:val="fr-FR"/>
        </w:rPr>
        <w:t xml:space="preserve"> procédure WLTP telle qu</w:t>
      </w:r>
      <w:r w:rsidR="00946FCA">
        <w:rPr>
          <w:b/>
          <w:iCs/>
          <w:lang w:val="fr-FR"/>
        </w:rPr>
        <w:t>’</w:t>
      </w:r>
      <w:r w:rsidRPr="003A5438">
        <w:rPr>
          <w:b/>
          <w:iCs/>
          <w:lang w:val="fr-FR"/>
        </w:rPr>
        <w:t>e</w:t>
      </w:r>
      <w:r>
        <w:rPr>
          <w:b/>
          <w:iCs/>
          <w:lang w:val="fr-FR"/>
        </w:rPr>
        <w:t>lle est</w:t>
      </w:r>
      <w:r w:rsidRPr="003A5438">
        <w:rPr>
          <w:b/>
          <w:iCs/>
          <w:lang w:val="fr-FR"/>
        </w:rPr>
        <w:t xml:space="preserve"> définie </w:t>
      </w:r>
      <w:r>
        <w:rPr>
          <w:b/>
          <w:iCs/>
          <w:lang w:val="fr-FR"/>
        </w:rPr>
        <w:t>dans</w:t>
      </w:r>
      <w:r w:rsidRPr="003A5438">
        <w:rPr>
          <w:b/>
          <w:iCs/>
          <w:lang w:val="fr-FR"/>
        </w:rPr>
        <w:t xml:space="preserve"> le R</w:t>
      </w:r>
      <w:r>
        <w:rPr>
          <w:b/>
          <w:iCs/>
          <w:lang w:val="fr-FR"/>
        </w:rPr>
        <w:t xml:space="preserve">èglement technique mondial (RTM) ONU </w:t>
      </w:r>
      <w:r w:rsidRPr="003A5438">
        <w:rPr>
          <w:b/>
          <w:iCs/>
          <w:lang w:val="fr-FR"/>
        </w:rPr>
        <w:t>n</w:t>
      </w:r>
      <w:r w:rsidRPr="00376AB3">
        <w:rPr>
          <w:b/>
          <w:iCs/>
          <w:vertAlign w:val="superscript"/>
          <w:lang w:val="fr-FR"/>
        </w:rPr>
        <w:t>o</w:t>
      </w:r>
      <w:r>
        <w:rPr>
          <w:b/>
          <w:iCs/>
          <w:lang w:val="fr-FR"/>
        </w:rPr>
        <w:t> 15</w:t>
      </w:r>
      <w:r w:rsidRPr="003A5438">
        <w:rPr>
          <w:b/>
          <w:iCs/>
          <w:lang w:val="fr-FR"/>
        </w:rPr>
        <w:t>,</w:t>
      </w:r>
      <w:r>
        <w:rPr>
          <w:b/>
          <w:iCs/>
          <w:lang w:val="fr-FR"/>
        </w:rPr>
        <w:t xml:space="preserve"> la méthode de détermination de la résistance à l</w:t>
      </w:r>
      <w:r w:rsidR="00946FCA">
        <w:rPr>
          <w:b/>
          <w:iCs/>
          <w:lang w:val="fr-FR"/>
        </w:rPr>
        <w:t>’</w:t>
      </w:r>
      <w:r>
        <w:rPr>
          <w:b/>
          <w:iCs/>
          <w:lang w:val="fr-FR"/>
        </w:rPr>
        <w:t>avancement et de réglage du banc à rouleaux décrite à l</w:t>
      </w:r>
      <w:r w:rsidR="00946FCA">
        <w:rPr>
          <w:b/>
          <w:iCs/>
          <w:lang w:val="fr-FR"/>
        </w:rPr>
        <w:t>’</w:t>
      </w:r>
      <w:r>
        <w:rPr>
          <w:b/>
          <w:iCs/>
          <w:lang w:val="fr-FR"/>
        </w:rPr>
        <w:t>appendice</w:t>
      </w:r>
      <w:r w:rsidR="00460B7B">
        <w:rPr>
          <w:b/>
          <w:iCs/>
          <w:lang w:val="fr-FR"/>
        </w:rPr>
        <w:t> </w:t>
      </w:r>
      <w:r>
        <w:rPr>
          <w:b/>
          <w:iCs/>
          <w:lang w:val="fr-FR"/>
        </w:rPr>
        <w:t>2 de l</w:t>
      </w:r>
      <w:r w:rsidR="00946FCA">
        <w:rPr>
          <w:b/>
          <w:iCs/>
          <w:lang w:val="fr-FR"/>
        </w:rPr>
        <w:t>’</w:t>
      </w:r>
      <w:r>
        <w:rPr>
          <w:b/>
          <w:iCs/>
          <w:lang w:val="fr-FR"/>
        </w:rPr>
        <w:t>annexe</w:t>
      </w:r>
      <w:r w:rsidR="00460B7B">
        <w:rPr>
          <w:b/>
          <w:iCs/>
          <w:lang w:val="fr-FR"/>
        </w:rPr>
        <w:t> </w:t>
      </w:r>
      <w:r>
        <w:rPr>
          <w:b/>
          <w:iCs/>
          <w:lang w:val="fr-FR"/>
        </w:rPr>
        <w:t>7 peut être utilisée au lieu de celle de l</w:t>
      </w:r>
      <w:r w:rsidR="00946FCA">
        <w:rPr>
          <w:b/>
          <w:iCs/>
          <w:lang w:val="fr-FR"/>
        </w:rPr>
        <w:t>’</w:t>
      </w:r>
      <w:r>
        <w:rPr>
          <w:b/>
          <w:iCs/>
          <w:lang w:val="fr-FR"/>
        </w:rPr>
        <w:t>appendice</w:t>
      </w:r>
      <w:r w:rsidR="00460B7B">
        <w:rPr>
          <w:b/>
          <w:iCs/>
          <w:lang w:val="fr-FR"/>
        </w:rPr>
        <w:t> </w:t>
      </w:r>
      <w:r>
        <w:rPr>
          <w:b/>
          <w:iCs/>
          <w:lang w:val="fr-FR"/>
        </w:rPr>
        <w:t>7 de l</w:t>
      </w:r>
      <w:r w:rsidR="00946FCA">
        <w:rPr>
          <w:b/>
          <w:iCs/>
          <w:lang w:val="fr-FR"/>
        </w:rPr>
        <w:t>’</w:t>
      </w:r>
      <w:r>
        <w:rPr>
          <w:b/>
          <w:iCs/>
          <w:lang w:val="fr-FR"/>
        </w:rPr>
        <w:t>a</w:t>
      </w:r>
      <w:r w:rsidRPr="003A5438">
        <w:rPr>
          <w:b/>
          <w:iCs/>
          <w:lang w:val="fr-FR"/>
        </w:rPr>
        <w:t>nnex</w:t>
      </w:r>
      <w:r>
        <w:rPr>
          <w:b/>
          <w:iCs/>
          <w:lang w:val="fr-FR"/>
        </w:rPr>
        <w:t>e</w:t>
      </w:r>
      <w:r w:rsidRPr="003A5438">
        <w:rPr>
          <w:b/>
          <w:iCs/>
          <w:lang w:val="fr-FR"/>
        </w:rPr>
        <w:t xml:space="preserve"> 4a </w:t>
      </w:r>
      <w:r>
        <w:rPr>
          <w:b/>
          <w:iCs/>
          <w:lang w:val="fr-FR"/>
        </w:rPr>
        <w:t>du Règlement n</w:t>
      </w:r>
      <w:r w:rsidRPr="00376AB3">
        <w:rPr>
          <w:b/>
          <w:iCs/>
          <w:vertAlign w:val="superscript"/>
          <w:lang w:val="fr-FR"/>
        </w:rPr>
        <w:t>o</w:t>
      </w:r>
      <w:r>
        <w:rPr>
          <w:b/>
          <w:iCs/>
          <w:lang w:val="fr-FR"/>
        </w:rPr>
        <w:t> </w:t>
      </w:r>
      <w:r w:rsidRPr="003A5438">
        <w:rPr>
          <w:b/>
          <w:iCs/>
          <w:lang w:val="fr-FR"/>
        </w:rPr>
        <w:t>83</w:t>
      </w:r>
      <w:r w:rsidRPr="003A5438">
        <w:rPr>
          <w:iCs/>
          <w:lang w:val="fr-FR"/>
        </w:rPr>
        <w:t>.</w:t>
      </w:r>
      <w:r>
        <w:rPr>
          <w:iCs/>
          <w:lang w:val="fr-FR"/>
        </w:rPr>
        <w:t> »</w:t>
      </w:r>
      <w:r w:rsidR="00460B7B">
        <w:rPr>
          <w:iCs/>
          <w:lang w:val="fr-FR"/>
        </w:rPr>
        <w:t>.</w:t>
      </w:r>
    </w:p>
    <w:p w14:paraId="69401A17" w14:textId="77777777" w:rsidR="003F01DE" w:rsidRPr="002B6846" w:rsidRDefault="003F01DE" w:rsidP="00460B7B">
      <w:pPr>
        <w:pStyle w:val="SingleTxtG"/>
        <w:rPr>
          <w:i/>
          <w:lang w:val="fr-FR"/>
        </w:rPr>
      </w:pPr>
      <w:r w:rsidRPr="002B6846">
        <w:rPr>
          <w:i/>
          <w:lang w:val="fr-FR"/>
        </w:rPr>
        <w:t xml:space="preserve">Annexe 7, </w:t>
      </w:r>
      <w:r w:rsidRPr="002B6846">
        <w:rPr>
          <w:i/>
          <w:iCs/>
          <w:lang w:val="fr-FR"/>
        </w:rPr>
        <w:t>a</w:t>
      </w:r>
      <w:r>
        <w:rPr>
          <w:i/>
          <w:iCs/>
          <w:lang w:val="fr-FR"/>
        </w:rPr>
        <w:t>ppendice</w:t>
      </w:r>
      <w:r w:rsidRPr="002B6846">
        <w:rPr>
          <w:lang w:val="fr-FR"/>
        </w:rPr>
        <w:t>, lire :</w:t>
      </w:r>
    </w:p>
    <w:p w14:paraId="5B35C7A2" w14:textId="77777777" w:rsidR="003F01DE" w:rsidRPr="000D434E" w:rsidRDefault="003F01DE" w:rsidP="003F01DE">
      <w:pPr>
        <w:pStyle w:val="HChG"/>
        <w:rPr>
          <w:lang w:val="fr-FR"/>
        </w:rPr>
      </w:pPr>
      <w:r w:rsidRPr="002B6846">
        <w:rPr>
          <w:lang w:val="fr-FR"/>
        </w:rPr>
        <w:tab/>
      </w:r>
      <w:r w:rsidRPr="002B6846">
        <w:rPr>
          <w:lang w:val="fr-FR"/>
        </w:rPr>
        <w:tab/>
      </w:r>
      <w:bookmarkStart w:id="1" w:name="_Toc353371454"/>
      <w:r w:rsidRPr="00FD4F54">
        <w:rPr>
          <w:b w:val="0"/>
          <w:sz w:val="20"/>
          <w:lang w:val="fr-FR"/>
        </w:rPr>
        <w:t>« </w:t>
      </w:r>
      <w:r w:rsidRPr="000D434E">
        <w:rPr>
          <w:lang w:val="fr-FR"/>
        </w:rPr>
        <w:t>Annexe 7 − Appendice</w:t>
      </w:r>
      <w:bookmarkEnd w:id="1"/>
      <w:r w:rsidRPr="000D434E">
        <w:rPr>
          <w:lang w:val="fr-FR"/>
        </w:rPr>
        <w:t xml:space="preserve"> 1</w:t>
      </w:r>
    </w:p>
    <w:p w14:paraId="3938858B" w14:textId="77777777" w:rsidR="003F01DE" w:rsidRPr="000E7FF4" w:rsidRDefault="003F01DE" w:rsidP="005E6FCE">
      <w:pPr>
        <w:pStyle w:val="HChG"/>
        <w:ind w:left="2268" w:firstLine="0"/>
        <w:rPr>
          <w:lang w:val="fr-FR"/>
        </w:rPr>
      </w:pPr>
      <w:bookmarkStart w:id="2" w:name="_Toc353371455"/>
      <w:r w:rsidRPr="005E6FCE">
        <w:rPr>
          <w:rFonts w:ascii="Times New Roman Gras" w:hAnsi="Times New Roman Gras"/>
          <w:spacing w:val="-2"/>
          <w:lang w:val="fr-FR"/>
        </w:rPr>
        <w:t>Détermination de la résistance totale à l</w:t>
      </w:r>
      <w:r w:rsidR="00946FCA" w:rsidRPr="005E6FCE">
        <w:rPr>
          <w:rFonts w:ascii="Times New Roman Gras" w:hAnsi="Times New Roman Gras"/>
          <w:spacing w:val="-2"/>
          <w:lang w:val="fr-FR"/>
        </w:rPr>
        <w:t>’</w:t>
      </w:r>
      <w:r w:rsidRPr="005E6FCE">
        <w:rPr>
          <w:rFonts w:ascii="Times New Roman Gras" w:hAnsi="Times New Roman Gras"/>
          <w:spacing w:val="-2"/>
          <w:lang w:val="fr-FR"/>
        </w:rPr>
        <w:t>avancement</w:t>
      </w:r>
      <w:r w:rsidRPr="000E7FF4">
        <w:rPr>
          <w:lang w:val="fr-FR"/>
        </w:rPr>
        <w:t xml:space="preserve"> d</w:t>
      </w:r>
      <w:r w:rsidR="00946FCA">
        <w:rPr>
          <w:lang w:val="fr-FR"/>
        </w:rPr>
        <w:t>’</w:t>
      </w:r>
      <w:r w:rsidRPr="000E7FF4">
        <w:rPr>
          <w:lang w:val="fr-FR"/>
        </w:rPr>
        <w:t xml:space="preserve">un véhicule mû uniquement par une chaîne </w:t>
      </w:r>
      <w:r w:rsidR="005E6FCE">
        <w:rPr>
          <w:lang w:val="fr-FR"/>
        </w:rPr>
        <w:br/>
      </w:r>
      <w:r w:rsidRPr="000E7FF4">
        <w:rPr>
          <w:lang w:val="fr-FR"/>
        </w:rPr>
        <w:t xml:space="preserve">de traction électrique et étalonnage du banc </w:t>
      </w:r>
      <w:r w:rsidR="005E6FCE">
        <w:rPr>
          <w:lang w:val="fr-FR"/>
        </w:rPr>
        <w:br/>
      </w:r>
      <w:r w:rsidRPr="000E7FF4">
        <w:rPr>
          <w:lang w:val="fr-FR"/>
        </w:rPr>
        <w:t>à roul</w:t>
      </w:r>
      <w:r>
        <w:rPr>
          <w:lang w:val="fr-FR"/>
        </w:rPr>
        <w:t>eaux</w:t>
      </w:r>
      <w:bookmarkEnd w:id="2"/>
      <w:r>
        <w:rPr>
          <w:lang w:val="fr-FR"/>
        </w:rPr>
        <w:t> </w:t>
      </w:r>
      <w:r w:rsidRPr="005E6FCE">
        <w:rPr>
          <w:b w:val="0"/>
          <w:sz w:val="20"/>
          <w:lang w:val="fr-FR"/>
        </w:rPr>
        <w:t>»</w:t>
      </w:r>
    </w:p>
    <w:p w14:paraId="4867EA5B" w14:textId="77777777" w:rsidR="003F01DE" w:rsidRPr="00BC506C" w:rsidRDefault="003F01DE" w:rsidP="00460B7B">
      <w:pPr>
        <w:pStyle w:val="SingleTxtG"/>
        <w:rPr>
          <w:i/>
          <w:lang w:val="fr-FR"/>
        </w:rPr>
      </w:pPr>
      <w:r w:rsidRPr="00BC506C">
        <w:rPr>
          <w:i/>
          <w:lang w:val="fr-FR"/>
        </w:rPr>
        <w:t xml:space="preserve">Annexe 7, </w:t>
      </w:r>
      <w:r w:rsidRPr="00BC506C">
        <w:rPr>
          <w:iCs/>
          <w:lang w:val="fr-FR"/>
        </w:rPr>
        <w:t>ajouter un nouvel appendice, libel</w:t>
      </w:r>
      <w:r>
        <w:rPr>
          <w:iCs/>
          <w:lang w:val="fr-FR"/>
        </w:rPr>
        <w:t>lé comme suit </w:t>
      </w:r>
      <w:r w:rsidRPr="00BC506C">
        <w:rPr>
          <w:iCs/>
          <w:lang w:val="fr-FR"/>
        </w:rPr>
        <w:t>:</w:t>
      </w:r>
    </w:p>
    <w:p w14:paraId="55967C20" w14:textId="77777777" w:rsidR="003F01DE" w:rsidRPr="000D434E" w:rsidRDefault="003F01DE" w:rsidP="00515D13">
      <w:pPr>
        <w:pStyle w:val="HChG"/>
        <w:rPr>
          <w:lang w:val="fr-FR"/>
        </w:rPr>
      </w:pPr>
      <w:r w:rsidRPr="00BC506C">
        <w:rPr>
          <w:lang w:val="fr-FR"/>
        </w:rPr>
        <w:tab/>
      </w:r>
      <w:r w:rsidRPr="00BC506C">
        <w:rPr>
          <w:lang w:val="fr-FR"/>
        </w:rPr>
        <w:tab/>
      </w:r>
      <w:r w:rsidRPr="00515D13">
        <w:rPr>
          <w:b w:val="0"/>
          <w:sz w:val="20"/>
          <w:lang w:val="fr-FR"/>
        </w:rPr>
        <w:t>« </w:t>
      </w:r>
      <w:r w:rsidRPr="00515D13">
        <w:t>Annexe</w:t>
      </w:r>
      <w:r w:rsidRPr="000D434E">
        <w:rPr>
          <w:lang w:val="fr-FR"/>
        </w:rPr>
        <w:t xml:space="preserve"> 7 − Appendice 2</w:t>
      </w:r>
    </w:p>
    <w:p w14:paraId="0924B404" w14:textId="77777777" w:rsidR="003F01DE" w:rsidRPr="002E5E52" w:rsidRDefault="003F01DE" w:rsidP="005E6FCE">
      <w:pPr>
        <w:pStyle w:val="HChG"/>
        <w:ind w:left="2268" w:firstLine="0"/>
        <w:rPr>
          <w:b w:val="0"/>
          <w:sz w:val="32"/>
          <w:szCs w:val="22"/>
          <w:lang w:val="fr-FR"/>
        </w:rPr>
      </w:pPr>
      <w:r w:rsidRPr="000D434E">
        <w:rPr>
          <w:sz w:val="32"/>
          <w:szCs w:val="22"/>
          <w:lang w:val="fr-FR"/>
        </w:rPr>
        <w:tab/>
      </w:r>
      <w:r w:rsidRPr="002E5E52">
        <w:rPr>
          <w:szCs w:val="22"/>
          <w:lang w:val="fr-FR"/>
        </w:rPr>
        <w:t xml:space="preserve">Autre procédure </w:t>
      </w:r>
      <w:r>
        <w:rPr>
          <w:szCs w:val="22"/>
          <w:lang w:val="fr-FR"/>
        </w:rPr>
        <w:t>de</w:t>
      </w:r>
      <w:r w:rsidRPr="002E5E52">
        <w:rPr>
          <w:szCs w:val="22"/>
          <w:lang w:val="fr-FR"/>
        </w:rPr>
        <w:t xml:space="preserve"> détermination de la résistance totale à l</w:t>
      </w:r>
      <w:r w:rsidR="00946FCA">
        <w:rPr>
          <w:b w:val="0"/>
          <w:szCs w:val="22"/>
          <w:lang w:val="fr-FR"/>
        </w:rPr>
        <w:t>’</w:t>
      </w:r>
      <w:r w:rsidRPr="002E5E52">
        <w:rPr>
          <w:szCs w:val="22"/>
          <w:lang w:val="fr-FR"/>
        </w:rPr>
        <w:t>avancement d</w:t>
      </w:r>
      <w:r w:rsidR="00946FCA">
        <w:rPr>
          <w:b w:val="0"/>
          <w:szCs w:val="22"/>
          <w:lang w:val="fr-FR"/>
        </w:rPr>
        <w:t>’</w:t>
      </w:r>
      <w:r w:rsidRPr="002E5E52">
        <w:rPr>
          <w:szCs w:val="22"/>
          <w:lang w:val="fr-FR"/>
        </w:rPr>
        <w:t>un véhicule</w:t>
      </w:r>
    </w:p>
    <w:p w14:paraId="601AAF81" w14:textId="77777777" w:rsidR="003F01DE" w:rsidRPr="000D434E" w:rsidRDefault="003F01DE" w:rsidP="00515D13">
      <w:pPr>
        <w:pStyle w:val="SingleTxtG"/>
        <w:ind w:left="2268" w:hanging="1134"/>
        <w:rPr>
          <w:lang w:val="fr-FR"/>
        </w:rPr>
      </w:pPr>
      <w:r w:rsidRPr="000D434E">
        <w:rPr>
          <w:rFonts w:eastAsia="MS Mincho"/>
          <w:kern w:val="2"/>
          <w:lang w:val="fr-FR" w:eastAsia="ja-JP"/>
        </w:rPr>
        <w:t>1.</w:t>
      </w:r>
      <w:r w:rsidRPr="000D434E">
        <w:rPr>
          <w:rFonts w:eastAsia="MS Mincho"/>
          <w:kern w:val="2"/>
          <w:lang w:val="fr-FR" w:eastAsia="ja-JP"/>
        </w:rPr>
        <w:tab/>
      </w:r>
      <w:r w:rsidRPr="000D434E">
        <w:rPr>
          <w:lang w:val="fr-FR"/>
        </w:rPr>
        <w:t>Introduction</w:t>
      </w:r>
    </w:p>
    <w:p w14:paraId="7ACBCE96" w14:textId="77777777" w:rsidR="003F01DE" w:rsidRPr="00DA6CAA" w:rsidRDefault="003F01DE" w:rsidP="00515D13">
      <w:pPr>
        <w:pStyle w:val="SingleTxtG"/>
        <w:ind w:left="2268"/>
        <w:rPr>
          <w:lang w:val="fr-FR"/>
        </w:rPr>
      </w:pPr>
      <w:r w:rsidRPr="00DA6CAA">
        <w:rPr>
          <w:lang w:val="fr-FR"/>
        </w:rPr>
        <w:t xml:space="preserve">Le présent appendice </w:t>
      </w:r>
      <w:r>
        <w:rPr>
          <w:lang w:val="fr-FR"/>
        </w:rPr>
        <w:t xml:space="preserve">décrit la </w:t>
      </w:r>
      <w:r w:rsidRPr="00DA6CAA">
        <w:rPr>
          <w:lang w:val="fr-FR"/>
        </w:rPr>
        <w:t>méthode de calcul de la résistance à l</w:t>
      </w:r>
      <w:r w:rsidR="00946FCA">
        <w:rPr>
          <w:lang w:val="fr-FR"/>
        </w:rPr>
        <w:t>’</w:t>
      </w:r>
      <w:r w:rsidRPr="00DA6CAA">
        <w:rPr>
          <w:lang w:val="fr-FR"/>
        </w:rPr>
        <w:t>avancement qui peut être utilisée, au ch</w:t>
      </w:r>
      <w:r>
        <w:rPr>
          <w:lang w:val="fr-FR"/>
        </w:rPr>
        <w:t>oix du constructeur</w:t>
      </w:r>
      <w:r w:rsidRPr="00DA6CAA">
        <w:rPr>
          <w:lang w:val="fr-FR"/>
        </w:rPr>
        <w:t xml:space="preserve">, </w:t>
      </w:r>
      <w:r>
        <w:rPr>
          <w:lang w:val="fr-FR"/>
        </w:rPr>
        <w:t>lorsque les émissions du véhicule sont déterminées au moyen de la procédure décrite dans le RTM ONU n</w:t>
      </w:r>
      <w:r w:rsidRPr="00376AB3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DA6CAA">
        <w:rPr>
          <w:lang w:val="fr-FR"/>
        </w:rPr>
        <w:t>15</w:t>
      </w:r>
      <w:r>
        <w:rPr>
          <w:lang w:val="fr-FR"/>
        </w:rPr>
        <w:t>.</w:t>
      </w:r>
    </w:p>
    <w:p w14:paraId="77C151D1" w14:textId="77777777" w:rsidR="003F01DE" w:rsidRPr="000D434E" w:rsidRDefault="003F01DE" w:rsidP="00515D13">
      <w:pPr>
        <w:pStyle w:val="SingleTxtG"/>
        <w:ind w:left="2268" w:hanging="1134"/>
        <w:rPr>
          <w:lang w:val="fr-FR"/>
        </w:rPr>
      </w:pPr>
      <w:r w:rsidRPr="000D434E">
        <w:rPr>
          <w:rFonts w:eastAsia="MS Mincho"/>
          <w:kern w:val="2"/>
          <w:lang w:val="fr-FR" w:eastAsia="ja-JP"/>
        </w:rPr>
        <w:t>2.</w:t>
      </w:r>
      <w:r w:rsidRPr="000D434E">
        <w:rPr>
          <w:rFonts w:eastAsia="MS Mincho"/>
          <w:kern w:val="2"/>
          <w:lang w:val="fr-FR" w:eastAsia="ja-JP"/>
        </w:rPr>
        <w:tab/>
      </w:r>
      <w:r w:rsidRPr="000D434E">
        <w:rPr>
          <w:lang w:val="fr-FR"/>
        </w:rPr>
        <w:t>Méthode</w:t>
      </w:r>
    </w:p>
    <w:p w14:paraId="4E6CAC8C" w14:textId="77777777" w:rsidR="003F01DE" w:rsidRPr="00730B73" w:rsidRDefault="003F01DE" w:rsidP="00515D13">
      <w:pPr>
        <w:pStyle w:val="SingleTxtG"/>
        <w:ind w:left="2268" w:hanging="1134"/>
        <w:rPr>
          <w:lang w:val="fr-FR"/>
        </w:rPr>
      </w:pPr>
      <w:r w:rsidRPr="000D434E">
        <w:rPr>
          <w:lang w:val="fr-FR"/>
        </w:rPr>
        <w:t>2.1</w:t>
      </w:r>
      <w:r w:rsidRPr="000D434E">
        <w:rPr>
          <w:lang w:val="fr-FR"/>
        </w:rPr>
        <w:tab/>
      </w:r>
      <w:r w:rsidRPr="00730B73">
        <w:rPr>
          <w:lang w:val="fr-FR"/>
        </w:rPr>
        <w:t>Calcul de la résistance à l</w:t>
      </w:r>
      <w:r w:rsidR="00946FCA">
        <w:rPr>
          <w:lang w:val="fr-FR"/>
        </w:rPr>
        <w:t>’</w:t>
      </w:r>
      <w:r w:rsidRPr="00730B73">
        <w:rPr>
          <w:lang w:val="fr-FR"/>
        </w:rPr>
        <w:t>avancement du vé</w:t>
      </w:r>
      <w:r>
        <w:rPr>
          <w:lang w:val="fr-FR"/>
        </w:rPr>
        <w:t xml:space="preserve">hicule (procédure </w:t>
      </w:r>
      <w:r w:rsidRPr="00730B73">
        <w:rPr>
          <w:lang w:val="fr-FR"/>
        </w:rPr>
        <w:t>WLTP</w:t>
      </w:r>
      <w:r>
        <w:rPr>
          <w:lang w:val="fr-FR"/>
        </w:rPr>
        <w:t>)</w:t>
      </w:r>
    </w:p>
    <w:p w14:paraId="3A2446CF" w14:textId="77777777" w:rsidR="003F01DE" w:rsidRPr="00756402" w:rsidRDefault="003F01DE" w:rsidP="00515D13">
      <w:pPr>
        <w:pStyle w:val="SingleTxtG"/>
        <w:ind w:left="2268"/>
        <w:rPr>
          <w:lang w:val="fr-FR"/>
        </w:rPr>
      </w:pPr>
      <w:r w:rsidRPr="006F375A">
        <w:rPr>
          <w:lang w:val="fr-FR"/>
        </w:rPr>
        <w:t>La résistance à l</w:t>
      </w:r>
      <w:r w:rsidR="00946FCA">
        <w:rPr>
          <w:lang w:val="fr-FR"/>
        </w:rPr>
        <w:t>’</w:t>
      </w:r>
      <w:r w:rsidRPr="006F375A">
        <w:rPr>
          <w:lang w:val="fr-FR"/>
        </w:rPr>
        <w:t>avancement du véhicule (procédure WLTP) doit être déterminée conformé</w:t>
      </w:r>
      <w:r>
        <w:rPr>
          <w:lang w:val="fr-FR"/>
        </w:rPr>
        <w:t>ment à l</w:t>
      </w:r>
      <w:r w:rsidR="00946FCA">
        <w:rPr>
          <w:lang w:val="fr-FR"/>
        </w:rPr>
        <w:t>’</w:t>
      </w:r>
      <w:r>
        <w:rPr>
          <w:lang w:val="fr-FR"/>
        </w:rPr>
        <w:t>annexe</w:t>
      </w:r>
      <w:r w:rsidR="007646DC">
        <w:rPr>
          <w:lang w:val="fr-FR"/>
        </w:rPr>
        <w:t> </w:t>
      </w:r>
      <w:r>
        <w:rPr>
          <w:lang w:val="fr-FR"/>
        </w:rPr>
        <w:t xml:space="preserve">4 du RTM ONU </w:t>
      </w:r>
      <w:r w:rsidR="007646DC" w:rsidRPr="007646DC">
        <w:rPr>
          <w:rFonts w:eastAsia="MS Mincho"/>
          <w:szCs w:val="22"/>
          <w:lang w:val="fr-FR"/>
        </w:rPr>
        <w:t>n</w:t>
      </w:r>
      <w:r w:rsidR="007646DC" w:rsidRPr="007646DC">
        <w:rPr>
          <w:rFonts w:eastAsia="MS Mincho"/>
          <w:szCs w:val="22"/>
          <w:vertAlign w:val="superscript"/>
          <w:lang w:val="fr-FR"/>
        </w:rPr>
        <w:t>o</w:t>
      </w:r>
      <w:r w:rsidR="007646DC">
        <w:rPr>
          <w:lang w:val="fr-FR"/>
        </w:rPr>
        <w:t> </w:t>
      </w:r>
      <w:r>
        <w:rPr>
          <w:lang w:val="fr-FR"/>
        </w:rPr>
        <w:t>15 ou, dans le cas où le véhicule appartient à une famille d</w:t>
      </w:r>
      <w:r w:rsidR="00946FCA">
        <w:rPr>
          <w:lang w:val="fr-FR"/>
        </w:rPr>
        <w:t>’</w:t>
      </w:r>
      <w:r>
        <w:rPr>
          <w:lang w:val="fr-FR"/>
        </w:rPr>
        <w:t>interpolation, conformément au paragraphe</w:t>
      </w:r>
      <w:r w:rsidR="007646DC">
        <w:rPr>
          <w:lang w:val="fr-FR"/>
        </w:rPr>
        <w:t> </w:t>
      </w:r>
      <w:r>
        <w:rPr>
          <w:lang w:val="fr-FR"/>
        </w:rPr>
        <w:t>3.2.3.2.2 de son annexe</w:t>
      </w:r>
      <w:r w:rsidR="00280939">
        <w:rPr>
          <w:lang w:val="fr-FR"/>
        </w:rPr>
        <w:t> </w:t>
      </w:r>
      <w:r>
        <w:rPr>
          <w:lang w:val="fr-FR"/>
        </w:rPr>
        <w:t>7 (Calcul de la résistance à l</w:t>
      </w:r>
      <w:r w:rsidR="00946FCA">
        <w:rPr>
          <w:lang w:val="fr-FR"/>
        </w:rPr>
        <w:t>’</w:t>
      </w:r>
      <w:r>
        <w:rPr>
          <w:lang w:val="fr-FR"/>
        </w:rPr>
        <w:t>avancement sur route pour un véhicule donné), avec les paramètres d</w:t>
      </w:r>
      <w:r w:rsidR="00946FCA">
        <w:rPr>
          <w:lang w:val="fr-FR"/>
        </w:rPr>
        <w:t>’</w:t>
      </w:r>
      <w:r>
        <w:rPr>
          <w:lang w:val="fr-FR"/>
        </w:rPr>
        <w:t>entrée suivants</w:t>
      </w:r>
      <w:r w:rsidR="007646DC">
        <w:rPr>
          <w:lang w:val="fr-FR"/>
        </w:rPr>
        <w:t> </w:t>
      </w:r>
      <w:r w:rsidRPr="00756402">
        <w:rPr>
          <w:lang w:val="fr-FR"/>
        </w:rPr>
        <w:t>:</w:t>
      </w:r>
    </w:p>
    <w:p w14:paraId="1CBD45C6" w14:textId="77777777" w:rsidR="003F01DE" w:rsidRPr="00F57C78" w:rsidRDefault="003F01DE" w:rsidP="007646DC">
      <w:pPr>
        <w:pStyle w:val="SingleTxtG"/>
        <w:ind w:left="2835" w:hanging="567"/>
        <w:rPr>
          <w:rFonts w:asciiTheme="majorBidi" w:hAnsiTheme="majorBidi"/>
          <w:lang w:val="fr-FR"/>
        </w:rPr>
      </w:pPr>
      <w:r w:rsidRPr="00F57C78">
        <w:rPr>
          <w:rFonts w:asciiTheme="majorBidi" w:eastAsia="MS Mincho" w:hAnsiTheme="majorBidi" w:cstheme="majorBidi"/>
          <w:kern w:val="2"/>
          <w:lang w:val="fr-FR" w:eastAsia="ja-JP"/>
        </w:rPr>
        <w:t>a)</w:t>
      </w:r>
      <w:r w:rsidRPr="00F57C78">
        <w:rPr>
          <w:rFonts w:asciiTheme="majorBidi" w:eastAsia="MS Mincho" w:hAnsiTheme="majorBidi"/>
          <w:kern w:val="2"/>
          <w:lang w:val="fr-FR" w:eastAsia="ja-JP"/>
        </w:rPr>
        <w:tab/>
      </w:r>
      <w:r w:rsidRPr="00F57C78">
        <w:rPr>
          <w:rFonts w:asciiTheme="majorBidi" w:hAnsiTheme="majorBidi"/>
          <w:lang w:val="fr-FR"/>
        </w:rPr>
        <w:t>La masse d</w:t>
      </w:r>
      <w:r w:rsidR="00946FCA" w:rsidRPr="00F57C78">
        <w:rPr>
          <w:rFonts w:asciiTheme="majorBidi" w:hAnsiTheme="majorBidi"/>
          <w:lang w:val="fr-FR"/>
        </w:rPr>
        <w:t>’</w:t>
      </w:r>
      <w:r w:rsidRPr="00F57C78">
        <w:rPr>
          <w:rFonts w:asciiTheme="majorBidi" w:hAnsiTheme="majorBidi"/>
          <w:lang w:val="fr-FR"/>
        </w:rPr>
        <w:t>essai du véhicule (1) pourvu de son équipement de série</w:t>
      </w:r>
      <w:r w:rsidR="00F57C78">
        <w:rPr>
          <w:rFonts w:asciiTheme="majorBidi" w:hAnsiTheme="majorBidi"/>
          <w:lang w:val="fr-FR"/>
        </w:rPr>
        <w:t> </w:t>
      </w:r>
      <w:r w:rsidRPr="00F57C78">
        <w:rPr>
          <w:rFonts w:asciiTheme="majorBidi" w:hAnsiTheme="majorBidi"/>
          <w:lang w:val="fr-FR"/>
        </w:rPr>
        <w:t>(1)</w:t>
      </w:r>
      <w:r w:rsidR="007646DC" w:rsidRPr="00F57C78">
        <w:rPr>
          <w:rFonts w:asciiTheme="majorBidi" w:hAnsiTheme="majorBidi"/>
          <w:lang w:val="fr-FR"/>
        </w:rPr>
        <w:t> </w:t>
      </w:r>
      <w:r w:rsidRPr="00F57C78">
        <w:rPr>
          <w:rFonts w:asciiTheme="majorBidi" w:hAnsiTheme="majorBidi"/>
          <w:lang w:val="fr-FR"/>
        </w:rPr>
        <w:t>;</w:t>
      </w:r>
    </w:p>
    <w:p w14:paraId="242A76DA" w14:textId="77777777" w:rsidR="003F01DE" w:rsidRPr="00355382" w:rsidRDefault="003F01DE" w:rsidP="007C6DD5">
      <w:pPr>
        <w:pStyle w:val="SingleTxtG"/>
        <w:ind w:left="2835" w:hanging="567"/>
        <w:rPr>
          <w:lang w:val="fr-FR"/>
        </w:rPr>
      </w:pPr>
      <w:r w:rsidRPr="00355382">
        <w:rPr>
          <w:rFonts w:asciiTheme="majorBidi" w:eastAsia="MS Mincho" w:hAnsiTheme="majorBidi" w:cstheme="majorBidi"/>
          <w:kern w:val="2"/>
          <w:lang w:val="fr-FR" w:eastAsia="ja-JP"/>
        </w:rPr>
        <w:t>b)</w:t>
      </w:r>
      <w:r w:rsidRPr="00355382">
        <w:rPr>
          <w:rFonts w:ascii="Symbol" w:eastAsia="MS Mincho" w:hAnsi="Symbol"/>
          <w:kern w:val="2"/>
          <w:lang w:val="fr-FR" w:eastAsia="ja-JP"/>
        </w:rPr>
        <w:tab/>
      </w:r>
      <w:r>
        <w:rPr>
          <w:lang w:val="fr-FR"/>
        </w:rPr>
        <w:t xml:space="preserve">La </w:t>
      </w:r>
      <w:r w:rsidRPr="00355382">
        <w:rPr>
          <w:lang w:val="fr-FR"/>
        </w:rPr>
        <w:t>valeur d</w:t>
      </w:r>
      <w:r>
        <w:rPr>
          <w:lang w:val="fr-FR"/>
        </w:rPr>
        <w:t>u</w:t>
      </w:r>
      <w:r w:rsidRPr="00355382">
        <w:rPr>
          <w:lang w:val="fr-FR"/>
        </w:rPr>
        <w:t xml:space="preserve"> CRR de la classe d</w:t>
      </w:r>
      <w:r w:rsidR="00946FCA">
        <w:rPr>
          <w:lang w:val="fr-FR"/>
        </w:rPr>
        <w:t>’</w:t>
      </w:r>
      <w:r w:rsidRPr="00355382">
        <w:rPr>
          <w:lang w:val="fr-FR"/>
        </w:rPr>
        <w:t xml:space="preserve">efficacité énergétique </w:t>
      </w:r>
      <w:r>
        <w:rPr>
          <w:lang w:val="fr-FR"/>
        </w:rPr>
        <w:t>correspondante</w:t>
      </w:r>
      <w:r w:rsidRPr="00355382">
        <w:rPr>
          <w:lang w:val="fr-FR"/>
        </w:rPr>
        <w:t xml:space="preserve"> selon le tableau A4/2 de</w:t>
      </w:r>
      <w:r>
        <w:rPr>
          <w:lang w:val="fr-FR"/>
        </w:rPr>
        <w:t xml:space="preserve"> l</w:t>
      </w:r>
      <w:r w:rsidR="00946FCA">
        <w:rPr>
          <w:lang w:val="fr-FR"/>
        </w:rPr>
        <w:t>’</w:t>
      </w:r>
      <w:r>
        <w:rPr>
          <w:lang w:val="fr-FR"/>
        </w:rPr>
        <w:t>annexe</w:t>
      </w:r>
      <w:r w:rsidR="007C6DD5">
        <w:rPr>
          <w:lang w:val="fr-FR"/>
        </w:rPr>
        <w:t> </w:t>
      </w:r>
      <w:r>
        <w:rPr>
          <w:lang w:val="fr-FR"/>
        </w:rPr>
        <w:t>4</w:t>
      </w:r>
      <w:r w:rsidRPr="00355382">
        <w:rPr>
          <w:lang w:val="fr-FR"/>
        </w:rPr>
        <w:t xml:space="preserve"> du RTM </w:t>
      </w:r>
      <w:r>
        <w:rPr>
          <w:lang w:val="fr-FR"/>
        </w:rPr>
        <w:t xml:space="preserve">ONU </w:t>
      </w:r>
      <w:r w:rsidR="007C6DD5" w:rsidRPr="007646DC">
        <w:rPr>
          <w:rFonts w:eastAsia="MS Mincho"/>
          <w:szCs w:val="22"/>
          <w:lang w:val="fr-FR"/>
        </w:rPr>
        <w:t>n</w:t>
      </w:r>
      <w:r w:rsidR="007C6DD5" w:rsidRPr="007646DC">
        <w:rPr>
          <w:rFonts w:eastAsia="MS Mincho"/>
          <w:szCs w:val="22"/>
          <w:vertAlign w:val="superscript"/>
          <w:lang w:val="fr-FR"/>
        </w:rPr>
        <w:t>o</w:t>
      </w:r>
      <w:r w:rsidR="007C6DD5">
        <w:rPr>
          <w:lang w:val="fr-FR"/>
        </w:rPr>
        <w:t> </w:t>
      </w:r>
      <w:r w:rsidRPr="00355382">
        <w:rPr>
          <w:lang w:val="fr-FR"/>
        </w:rPr>
        <w:t>15 o</w:t>
      </w:r>
      <w:r>
        <w:rPr>
          <w:lang w:val="fr-FR"/>
        </w:rPr>
        <w:t>u</w:t>
      </w:r>
      <w:r w:rsidRPr="00355382">
        <w:rPr>
          <w:lang w:val="fr-FR"/>
        </w:rPr>
        <w:t xml:space="preserve">, </w:t>
      </w:r>
      <w:r>
        <w:rPr>
          <w:lang w:val="fr-FR"/>
        </w:rPr>
        <w:t xml:space="preserve">si les pneumatiques montés sur les essieux avant et arrière relèvent de </w:t>
      </w:r>
      <w:proofErr w:type="gramStart"/>
      <w:r>
        <w:rPr>
          <w:lang w:val="fr-FR"/>
        </w:rPr>
        <w:lastRenderedPageBreak/>
        <w:t>différentes</w:t>
      </w:r>
      <w:proofErr w:type="gramEnd"/>
      <w:r>
        <w:rPr>
          <w:lang w:val="fr-FR"/>
        </w:rPr>
        <w:t xml:space="preserve"> classes d</w:t>
      </w:r>
      <w:r w:rsidR="00946FCA">
        <w:rPr>
          <w:lang w:val="fr-FR"/>
        </w:rPr>
        <w:t>’</w:t>
      </w:r>
      <w:r>
        <w:rPr>
          <w:lang w:val="fr-FR"/>
        </w:rPr>
        <w:t>efficacité énergétique</w:t>
      </w:r>
      <w:r w:rsidRPr="00355382">
        <w:rPr>
          <w:lang w:val="fr-FR"/>
        </w:rPr>
        <w:t xml:space="preserve">, </w:t>
      </w:r>
      <w:r>
        <w:rPr>
          <w:lang w:val="fr-FR"/>
        </w:rPr>
        <w:t>la moyenne pondérée calculée à l</w:t>
      </w:r>
      <w:r w:rsidR="00946FCA">
        <w:rPr>
          <w:lang w:val="fr-FR"/>
        </w:rPr>
        <w:t>’</w:t>
      </w:r>
      <w:r>
        <w:rPr>
          <w:lang w:val="fr-FR"/>
        </w:rPr>
        <w:t>aide de l</w:t>
      </w:r>
      <w:r w:rsidR="00946FCA">
        <w:rPr>
          <w:lang w:val="fr-FR"/>
        </w:rPr>
        <w:t>’</w:t>
      </w:r>
      <w:r>
        <w:rPr>
          <w:lang w:val="fr-FR"/>
        </w:rPr>
        <w:t>équation qui figure au paragraphe</w:t>
      </w:r>
      <w:r w:rsidRPr="00355382">
        <w:rPr>
          <w:lang w:val="fr-FR"/>
        </w:rPr>
        <w:t xml:space="preserve"> </w:t>
      </w:r>
      <w:r w:rsidRPr="00355382">
        <w:rPr>
          <w:lang w:val="fr-FR" w:eastAsia="en-GB"/>
        </w:rPr>
        <w:t>3.2.3.2.2.2.3</w:t>
      </w:r>
      <w:r>
        <w:rPr>
          <w:lang w:val="fr-FR" w:eastAsia="en-GB"/>
        </w:rPr>
        <w:t xml:space="preserve"> de l</w:t>
      </w:r>
      <w:r w:rsidR="00946FCA">
        <w:rPr>
          <w:lang w:val="fr-FR" w:eastAsia="en-GB"/>
        </w:rPr>
        <w:t>’</w:t>
      </w:r>
      <w:r>
        <w:rPr>
          <w:lang w:val="fr-FR" w:eastAsia="en-GB"/>
        </w:rPr>
        <w:t>annexe 4 du RTM ONU n</w:t>
      </w:r>
      <w:r w:rsidRPr="00376AB3">
        <w:rPr>
          <w:vertAlign w:val="superscript"/>
          <w:lang w:val="fr-FR" w:eastAsia="en-GB"/>
        </w:rPr>
        <w:t>o</w:t>
      </w:r>
      <w:r>
        <w:rPr>
          <w:lang w:val="fr-FR" w:eastAsia="en-GB"/>
        </w:rPr>
        <w:t> 15</w:t>
      </w:r>
      <w:r w:rsidR="00C51132">
        <w:rPr>
          <w:lang w:val="fr-FR" w:eastAsia="en-GB"/>
        </w:rPr>
        <w:t> </w:t>
      </w:r>
      <w:r>
        <w:rPr>
          <w:lang w:val="fr-FR" w:eastAsia="en-GB"/>
        </w:rPr>
        <w:t>;</w:t>
      </w:r>
    </w:p>
    <w:p w14:paraId="0C1E4C56" w14:textId="77777777" w:rsidR="003F01DE" w:rsidRPr="00AD6BFC" w:rsidRDefault="003F01DE" w:rsidP="007C6DD5">
      <w:pPr>
        <w:pStyle w:val="SingleTxtG"/>
        <w:ind w:left="2835" w:hanging="567"/>
        <w:rPr>
          <w:lang w:val="fr-FR"/>
        </w:rPr>
      </w:pPr>
      <w:r w:rsidRPr="00AD6BFC">
        <w:rPr>
          <w:rFonts w:asciiTheme="majorBidi" w:eastAsia="MS Mincho" w:hAnsiTheme="majorBidi" w:cstheme="majorBidi"/>
          <w:kern w:val="2"/>
          <w:lang w:val="fr-FR" w:eastAsia="ja-JP"/>
        </w:rPr>
        <w:t>c)</w:t>
      </w:r>
      <w:r w:rsidRPr="00AD6BFC">
        <w:rPr>
          <w:rFonts w:ascii="Symbol" w:eastAsia="MS Mincho" w:hAnsi="Symbol"/>
          <w:kern w:val="2"/>
          <w:lang w:val="fr-FR" w:eastAsia="ja-JP"/>
        </w:rPr>
        <w:tab/>
      </w:r>
      <w:r>
        <w:rPr>
          <w:lang w:val="fr-FR"/>
        </w:rPr>
        <w:t xml:space="preserve">La </w:t>
      </w:r>
      <w:r w:rsidRPr="00AD6BFC">
        <w:rPr>
          <w:lang w:val="fr-FR"/>
        </w:rPr>
        <w:t>traînée aérodynamique du véhicule pourvu de son équipeme</w:t>
      </w:r>
      <w:r>
        <w:rPr>
          <w:lang w:val="fr-FR"/>
        </w:rPr>
        <w:t>nt de</w:t>
      </w:r>
      <w:r w:rsidR="007F707A">
        <w:rPr>
          <w:lang w:val="fr-FR"/>
        </w:rPr>
        <w:t> </w:t>
      </w:r>
      <w:r>
        <w:rPr>
          <w:lang w:val="fr-FR"/>
        </w:rPr>
        <w:t>série</w:t>
      </w:r>
      <w:r>
        <w:rPr>
          <w:rStyle w:val="FootnoteReference"/>
        </w:rPr>
        <w:footnoteReference w:id="4"/>
      </w:r>
      <w:r>
        <w:rPr>
          <w:lang w:val="fr-FR"/>
        </w:rPr>
        <w:t>.</w:t>
      </w:r>
    </w:p>
    <w:p w14:paraId="01632922" w14:textId="77777777" w:rsidR="003F01DE" w:rsidRPr="00CC643E" w:rsidRDefault="003F01DE" w:rsidP="007C6DD5">
      <w:pPr>
        <w:pStyle w:val="SingleTxtG"/>
        <w:ind w:left="2268" w:hanging="1134"/>
        <w:rPr>
          <w:lang w:val="fr-FR"/>
        </w:rPr>
      </w:pPr>
      <w:r w:rsidRPr="000D434E">
        <w:rPr>
          <w:lang w:val="fr-FR"/>
        </w:rPr>
        <w:t>2.2</w:t>
      </w:r>
      <w:r w:rsidRPr="000D434E">
        <w:rPr>
          <w:lang w:val="fr-FR"/>
        </w:rPr>
        <w:tab/>
      </w:r>
      <w:r w:rsidRPr="00CC643E">
        <w:rPr>
          <w:lang w:val="fr-FR"/>
        </w:rPr>
        <w:t>Calcul de la résistance à l</w:t>
      </w:r>
      <w:r w:rsidR="00946FCA">
        <w:rPr>
          <w:lang w:val="fr-FR"/>
        </w:rPr>
        <w:t>’</w:t>
      </w:r>
      <w:r w:rsidRPr="00CC643E">
        <w:rPr>
          <w:lang w:val="fr-FR"/>
        </w:rPr>
        <w:t>avancement du véhicule (</w:t>
      </w:r>
      <w:r>
        <w:rPr>
          <w:lang w:val="fr-FR"/>
        </w:rPr>
        <w:t>procédure NEDC</w:t>
      </w:r>
      <w:r w:rsidRPr="00CC643E">
        <w:rPr>
          <w:lang w:val="fr-FR"/>
        </w:rPr>
        <w:t>)</w:t>
      </w:r>
    </w:p>
    <w:p w14:paraId="542D9F12" w14:textId="77777777" w:rsidR="003F01DE" w:rsidRPr="00C23CEA" w:rsidRDefault="003F01DE" w:rsidP="007C6DD5">
      <w:pPr>
        <w:pStyle w:val="SingleTxtG"/>
        <w:ind w:left="2268" w:hanging="1134"/>
        <w:rPr>
          <w:lang w:val="fr-FR"/>
        </w:rPr>
      </w:pPr>
      <w:r w:rsidRPr="000D434E">
        <w:rPr>
          <w:lang w:val="fr-FR"/>
        </w:rPr>
        <w:t>2.2.1</w:t>
      </w:r>
      <w:r w:rsidRPr="000D434E">
        <w:rPr>
          <w:lang w:val="fr-FR"/>
        </w:rPr>
        <w:tab/>
      </w:r>
      <w:r w:rsidRPr="000D434E">
        <w:rPr>
          <w:lang w:val="fr-FR"/>
        </w:rPr>
        <w:tab/>
      </w:r>
      <w:r>
        <w:rPr>
          <w:lang w:val="fr-FR"/>
        </w:rPr>
        <w:t>Effet</w:t>
      </w:r>
      <w:r w:rsidRPr="00C23CEA">
        <w:rPr>
          <w:lang w:val="fr-FR"/>
        </w:rPr>
        <w:t xml:space="preserve"> de la différence de</w:t>
      </w:r>
      <w:r>
        <w:rPr>
          <w:lang w:val="fr-FR"/>
        </w:rPr>
        <w:t xml:space="preserve"> pression recommandée des pneumatiques</w:t>
      </w:r>
    </w:p>
    <w:p w14:paraId="753C4556" w14:textId="77777777" w:rsidR="003F01DE" w:rsidRPr="00C23CEA" w:rsidRDefault="003F01DE" w:rsidP="00362A99">
      <w:pPr>
        <w:pStyle w:val="SingleTxtG"/>
        <w:ind w:left="2268"/>
        <w:rPr>
          <w:lang w:val="fr-FR"/>
        </w:rPr>
      </w:pPr>
      <w:r w:rsidRPr="00C23CEA">
        <w:rPr>
          <w:lang w:val="fr-FR"/>
        </w:rPr>
        <w:tab/>
        <w:t>La pression des pneumatiques à prendre en considération aux fins du calcul de la résistance à l</w:t>
      </w:r>
      <w:r w:rsidR="00946FCA">
        <w:rPr>
          <w:lang w:val="fr-FR"/>
        </w:rPr>
        <w:t>’</w:t>
      </w:r>
      <w:r w:rsidRPr="00C23CEA">
        <w:rPr>
          <w:lang w:val="fr-FR"/>
        </w:rPr>
        <w:t>avancement par la procédure N</w:t>
      </w:r>
      <w:r>
        <w:rPr>
          <w:lang w:val="fr-FR"/>
        </w:rPr>
        <w:t>EDC</w:t>
      </w:r>
      <w:r w:rsidRPr="00C23CEA">
        <w:rPr>
          <w:lang w:val="fr-FR"/>
        </w:rPr>
        <w:t xml:space="preserve"> est la moyenne entre les deux essieux de la moyenne entre la pression minimale et la pression maximale autorisées des pneumatiques sélectionnés, pour chaque essieu, pour la masse de référence N</w:t>
      </w:r>
      <w:r>
        <w:rPr>
          <w:lang w:val="fr-FR"/>
        </w:rPr>
        <w:t>EDC</w:t>
      </w:r>
      <w:r w:rsidRPr="00C23CEA">
        <w:rPr>
          <w:lang w:val="fr-FR"/>
        </w:rPr>
        <w:t xml:space="preserve"> du véhicule. Le calcul doit être effectué à l</w:t>
      </w:r>
      <w:r w:rsidR="00946FCA">
        <w:rPr>
          <w:lang w:val="fr-FR"/>
        </w:rPr>
        <w:t>’</w:t>
      </w:r>
      <w:r w:rsidRPr="00C23CEA">
        <w:rPr>
          <w:lang w:val="fr-FR"/>
        </w:rPr>
        <w:t>aide de</w:t>
      </w:r>
      <w:r>
        <w:rPr>
          <w:lang w:val="fr-FR"/>
        </w:rPr>
        <w:t xml:space="preserve"> la</w:t>
      </w:r>
      <w:r w:rsidRPr="00C23CEA">
        <w:rPr>
          <w:lang w:val="fr-FR"/>
        </w:rPr>
        <w:t xml:space="preserve"> formule suivante</w:t>
      </w:r>
      <w:r w:rsidR="00362A99">
        <w:rPr>
          <w:lang w:val="fr-FR"/>
        </w:rPr>
        <w:t> </w:t>
      </w:r>
      <w:r w:rsidRPr="00C23CEA">
        <w:rPr>
          <w:lang w:val="fr-FR"/>
        </w:rPr>
        <w:t>:</w:t>
      </w:r>
    </w:p>
    <w:p w14:paraId="243CEAB5" w14:textId="77777777" w:rsidR="003F01DE" w:rsidRPr="007F707A" w:rsidRDefault="00F11DAA" w:rsidP="003F01DE">
      <w:pPr>
        <w:pStyle w:val="WP29Para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avg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</w:rPr>
            <m:t>=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min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den>
              </m:f>
            </m:e>
          </m:d>
        </m:oMath>
      </m:oMathPara>
    </w:p>
    <w:p w14:paraId="5004DBF9" w14:textId="77777777" w:rsidR="003F01DE" w:rsidRPr="000D434E" w:rsidRDefault="003F01DE" w:rsidP="00E7253F">
      <w:pPr>
        <w:pStyle w:val="SingleTxtG"/>
        <w:ind w:left="2268"/>
        <w:rPr>
          <w:lang w:val="fr-FR"/>
        </w:rPr>
      </w:pPr>
      <w:proofErr w:type="gramStart"/>
      <w:r w:rsidRPr="000D434E">
        <w:rPr>
          <w:lang w:val="fr-FR"/>
        </w:rPr>
        <w:t>où</w:t>
      </w:r>
      <w:proofErr w:type="gramEnd"/>
      <w:r w:rsidR="00E7253F">
        <w:rPr>
          <w:lang w:val="fr-FR"/>
        </w:rPr>
        <w:t> </w:t>
      </w:r>
      <w:r w:rsidRPr="000D434E">
        <w:rPr>
          <w:lang w:val="fr-FR"/>
        </w:rPr>
        <w:t>:</w:t>
      </w:r>
    </w:p>
    <w:p w14:paraId="6577BE77" w14:textId="77777777" w:rsidR="003F01DE" w:rsidRPr="005B537B" w:rsidRDefault="003F01DE" w:rsidP="00E7253F">
      <w:pPr>
        <w:pStyle w:val="SingleTxtG"/>
        <w:ind w:left="3119" w:hanging="851"/>
        <w:rPr>
          <w:lang w:val="fr-FR"/>
        </w:rPr>
      </w:pPr>
      <w:r w:rsidRPr="005B537B">
        <w:rPr>
          <w:lang w:val="fr-FR"/>
        </w:rPr>
        <w:t>P</w:t>
      </w:r>
      <w:r w:rsidRPr="005B537B">
        <w:rPr>
          <w:vertAlign w:val="subscript"/>
          <w:lang w:val="fr-FR"/>
        </w:rPr>
        <w:t>max</w:t>
      </w:r>
      <w:r w:rsidRPr="005B537B">
        <w:rPr>
          <w:lang w:val="fr-FR"/>
        </w:rPr>
        <w:tab/>
        <w:t>désigne la moyenne des pressions maximales des pneumatiques sélectionnés pour les deux essieux</w:t>
      </w:r>
      <w:r w:rsidR="00E7253F">
        <w:rPr>
          <w:lang w:val="fr-FR"/>
        </w:rPr>
        <w:t> </w:t>
      </w:r>
      <w:r w:rsidRPr="005B537B">
        <w:rPr>
          <w:lang w:val="fr-FR"/>
        </w:rPr>
        <w:t>;</w:t>
      </w:r>
    </w:p>
    <w:p w14:paraId="3DD2C15C" w14:textId="77777777" w:rsidR="003F01DE" w:rsidRPr="005B537B" w:rsidRDefault="003F01DE" w:rsidP="00E7253F">
      <w:pPr>
        <w:pStyle w:val="SingleTxtG"/>
        <w:ind w:left="3119" w:hanging="851"/>
        <w:rPr>
          <w:lang w:val="fr-FR"/>
        </w:rPr>
      </w:pPr>
      <w:proofErr w:type="spellStart"/>
      <w:r w:rsidRPr="005B537B">
        <w:rPr>
          <w:lang w:val="fr-FR"/>
        </w:rPr>
        <w:t>P</w:t>
      </w:r>
      <w:r w:rsidRPr="005B537B">
        <w:rPr>
          <w:vertAlign w:val="subscript"/>
          <w:lang w:val="fr-FR"/>
        </w:rPr>
        <w:t>min</w:t>
      </w:r>
      <w:proofErr w:type="spellEnd"/>
      <w:r w:rsidRPr="005B537B">
        <w:rPr>
          <w:lang w:val="fr-FR"/>
        </w:rPr>
        <w:t xml:space="preserve"> </w:t>
      </w:r>
      <w:r w:rsidRPr="005B537B">
        <w:rPr>
          <w:lang w:val="fr-FR"/>
        </w:rPr>
        <w:tab/>
        <w:t>désigne la moyenne des pressions minimales des pneumatiques sélectionnés pour les deux essieux.</w:t>
      </w:r>
    </w:p>
    <w:p w14:paraId="5950B000" w14:textId="77777777" w:rsidR="003F01DE" w:rsidRPr="005B537B" w:rsidRDefault="003F01DE" w:rsidP="00362A99">
      <w:pPr>
        <w:pStyle w:val="SingleTxtG"/>
        <w:ind w:left="2268"/>
        <w:rPr>
          <w:lang w:val="fr-FR"/>
        </w:rPr>
      </w:pPr>
      <w:r w:rsidRPr="005B537B">
        <w:rPr>
          <w:lang w:val="fr-FR"/>
        </w:rPr>
        <w:t>L</w:t>
      </w:r>
      <w:r w:rsidR="00946FCA">
        <w:rPr>
          <w:lang w:val="fr-FR"/>
        </w:rPr>
        <w:t>’</w:t>
      </w:r>
      <w:r w:rsidRPr="005B537B">
        <w:rPr>
          <w:lang w:val="fr-FR"/>
        </w:rPr>
        <w:t>effet qui en résulte sur la résistance appliquée au véhicule doit être calculé à l</w:t>
      </w:r>
      <w:r w:rsidR="00946FCA">
        <w:rPr>
          <w:lang w:val="fr-FR"/>
        </w:rPr>
        <w:t>’</w:t>
      </w:r>
      <w:r w:rsidRPr="005B537B">
        <w:rPr>
          <w:lang w:val="fr-FR"/>
        </w:rPr>
        <w:t>aide de</w:t>
      </w:r>
      <w:r>
        <w:rPr>
          <w:lang w:val="fr-FR"/>
        </w:rPr>
        <w:t xml:space="preserve"> la</w:t>
      </w:r>
      <w:r w:rsidRPr="005B537B">
        <w:rPr>
          <w:lang w:val="fr-FR"/>
        </w:rPr>
        <w:t xml:space="preserve"> formule suivante</w:t>
      </w:r>
      <w:r w:rsidR="00E7253F">
        <w:rPr>
          <w:lang w:val="fr-FR"/>
        </w:rPr>
        <w:t> </w:t>
      </w:r>
      <w:r w:rsidRPr="005B537B">
        <w:rPr>
          <w:lang w:val="fr-FR"/>
        </w:rPr>
        <w:t>:</w:t>
      </w:r>
    </w:p>
    <w:p w14:paraId="077CD814" w14:textId="77777777" w:rsidR="003F01DE" w:rsidRPr="007F707A" w:rsidRDefault="00E7253F" w:rsidP="003F01DE">
      <w:pPr>
        <w:pStyle w:val="WP29Para"/>
        <w:rPr>
          <w:sz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0"/>
            </w:rPr>
            <m:t>TP=</m:t>
          </m:r>
          <m:sSup>
            <m:sSupPr>
              <m:ctrlPr>
                <w:rPr>
                  <w:rFonts w:ascii="Cambria Math" w:hAnsi="Cambria Math"/>
                  <w:sz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avg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min</m:t>
                          </m:r>
                        </m:sub>
                      </m:sSub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-0,4</m:t>
              </m:r>
            </m:sup>
          </m:sSup>
        </m:oMath>
      </m:oMathPara>
    </w:p>
    <w:p w14:paraId="5B7A3634" w14:textId="77777777" w:rsidR="003F01DE" w:rsidRPr="000D434E" w:rsidRDefault="003F01DE" w:rsidP="00382BDC">
      <w:pPr>
        <w:pStyle w:val="SingleTxtG"/>
        <w:ind w:left="2268" w:hanging="1134"/>
        <w:rPr>
          <w:lang w:val="fr-FR"/>
        </w:rPr>
      </w:pPr>
      <w:r w:rsidRPr="000D434E">
        <w:rPr>
          <w:lang w:val="fr-FR"/>
        </w:rPr>
        <w:t>2.2.2</w:t>
      </w:r>
      <w:r w:rsidRPr="000D434E">
        <w:rPr>
          <w:lang w:val="fr-FR"/>
        </w:rPr>
        <w:tab/>
      </w:r>
      <w:r>
        <w:rPr>
          <w:lang w:val="fr-FR"/>
        </w:rPr>
        <w:t>Effet</w:t>
      </w:r>
      <w:r w:rsidRPr="000D434E">
        <w:rPr>
          <w:lang w:val="fr-FR"/>
        </w:rPr>
        <w:t xml:space="preserve"> de la profondeur de sculpture d</w:t>
      </w:r>
      <w:r>
        <w:rPr>
          <w:lang w:val="fr-FR"/>
        </w:rPr>
        <w:t>es pneumatiques</w:t>
      </w:r>
    </w:p>
    <w:p w14:paraId="7A7E58E8" w14:textId="77777777" w:rsidR="003F01DE" w:rsidRPr="000D434E" w:rsidRDefault="003F01DE" w:rsidP="00362A99">
      <w:pPr>
        <w:pStyle w:val="SingleTxtG"/>
        <w:ind w:left="2268"/>
        <w:rPr>
          <w:lang w:val="fr-FR"/>
        </w:rPr>
      </w:pPr>
      <w:r w:rsidRPr="000D434E">
        <w:rPr>
          <w:lang w:val="fr-FR"/>
        </w:rPr>
        <w:tab/>
        <w:t>L</w:t>
      </w:r>
      <w:r w:rsidR="00946FCA">
        <w:rPr>
          <w:lang w:val="fr-FR"/>
        </w:rPr>
        <w:t>’</w:t>
      </w:r>
      <w:r>
        <w:rPr>
          <w:lang w:val="fr-FR"/>
        </w:rPr>
        <w:t>effet</w:t>
      </w:r>
      <w:r w:rsidRPr="000D434E">
        <w:rPr>
          <w:lang w:val="fr-FR"/>
        </w:rPr>
        <w:t xml:space="preserve"> de la profondeur de sculpture des pneumatiques </w:t>
      </w:r>
      <w:r>
        <w:rPr>
          <w:lang w:val="fr-FR"/>
        </w:rPr>
        <w:t>sur</w:t>
      </w:r>
      <w:r w:rsidRPr="000D434E">
        <w:rPr>
          <w:lang w:val="fr-FR"/>
        </w:rPr>
        <w:t xml:space="preserve"> la résistance appliquée au</w:t>
      </w:r>
      <w:r>
        <w:rPr>
          <w:lang w:val="fr-FR"/>
        </w:rPr>
        <w:t xml:space="preserve"> véhicule doit être déterminé à l</w:t>
      </w:r>
      <w:r w:rsidR="00946FCA">
        <w:rPr>
          <w:lang w:val="fr-FR"/>
        </w:rPr>
        <w:t>’</w:t>
      </w:r>
      <w:r>
        <w:rPr>
          <w:lang w:val="fr-FR"/>
        </w:rPr>
        <w:t>aide de la formule suivante</w:t>
      </w:r>
      <w:r w:rsidR="00382BDC">
        <w:rPr>
          <w:lang w:val="fr-FR"/>
        </w:rPr>
        <w:t> </w:t>
      </w:r>
      <w:r w:rsidRPr="000D434E">
        <w:rPr>
          <w:lang w:val="fr-FR"/>
        </w:rPr>
        <w:t>:</w:t>
      </w:r>
    </w:p>
    <w:p w14:paraId="5C25AB53" w14:textId="77777777" w:rsidR="003F01DE" w:rsidRPr="007F707A" w:rsidRDefault="003F01DE" w:rsidP="00382BDC">
      <w:pPr>
        <w:pStyle w:val="WP29Para"/>
        <w:ind w:left="2268" w:firstLine="0"/>
        <w:rPr>
          <w:sz w:val="20"/>
        </w:rPr>
      </w:pPr>
      <w:r w:rsidRPr="007F707A">
        <w:rPr>
          <w:sz w:val="20"/>
          <w:lang w:val="fr-FR"/>
        </w:rPr>
        <w:tab/>
      </w:r>
      <m:oMath>
        <m:r>
          <m:rPr>
            <m:sty m:val="p"/>
          </m:rPr>
          <w:rPr>
            <w:rFonts w:ascii="Cambria Math" w:hAnsi="Cambria Math"/>
            <w:sz w:val="20"/>
          </w:rPr>
          <m:t>TTD=</m:t>
        </m:r>
        <m:d>
          <m:dPr>
            <m:ctrlPr>
              <w:rPr>
                <w:rFonts w:ascii="Cambria Math" w:hAnsi="Cambria Math"/>
                <w:sz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2∙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0,1∙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RM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∙9,81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1 000</m:t>
                </m:r>
              </m:den>
            </m:f>
          </m:e>
        </m:d>
      </m:oMath>
    </w:p>
    <w:p w14:paraId="2C2A707C" w14:textId="77777777" w:rsidR="003F01DE" w:rsidRPr="000D434E" w:rsidRDefault="003F01DE" w:rsidP="00362A99">
      <w:pPr>
        <w:pStyle w:val="SingleTxtG"/>
        <w:ind w:left="2268"/>
      </w:pPr>
      <w:r w:rsidRPr="00740D49">
        <w:tab/>
      </w:r>
      <w:proofErr w:type="gramStart"/>
      <w:r w:rsidRPr="000D434E">
        <w:t>où</w:t>
      </w:r>
      <w:proofErr w:type="gramEnd"/>
      <w:r w:rsidRPr="000D434E">
        <w:t xml:space="preserve"> </w:t>
      </w:r>
      <w:proofErr w:type="spellStart"/>
      <w:r w:rsidRPr="000D434E">
        <w:t>RM</w:t>
      </w:r>
      <w:r w:rsidRPr="000D434E">
        <w:rPr>
          <w:vertAlign w:val="subscript"/>
        </w:rPr>
        <w:t>n</w:t>
      </w:r>
      <w:proofErr w:type="spellEnd"/>
      <w:r w:rsidRPr="000D434E">
        <w:t xml:space="preserve"> est la masse de référence du véhicule </w:t>
      </w:r>
      <w:r>
        <w:t>telle que définie dans le présent Règlement.</w:t>
      </w:r>
    </w:p>
    <w:p w14:paraId="732A1D03" w14:textId="77777777" w:rsidR="003F01DE" w:rsidRPr="000D434E" w:rsidRDefault="003F01DE" w:rsidP="00382BDC">
      <w:pPr>
        <w:pStyle w:val="SingleTxtG"/>
        <w:ind w:left="2268" w:hanging="1134"/>
        <w:rPr>
          <w:lang w:val="fr-FR"/>
        </w:rPr>
      </w:pPr>
      <w:r w:rsidRPr="00683989">
        <w:rPr>
          <w:lang w:val="fr-FR"/>
        </w:rPr>
        <w:t>2.2.3</w:t>
      </w:r>
      <w:r w:rsidRPr="00683989">
        <w:rPr>
          <w:lang w:val="fr-FR"/>
        </w:rPr>
        <w:tab/>
      </w:r>
      <w:r>
        <w:rPr>
          <w:lang w:val="fr-FR"/>
        </w:rPr>
        <w:t>Effet</w:t>
      </w:r>
      <w:r w:rsidRPr="000D434E">
        <w:rPr>
          <w:lang w:val="fr-FR"/>
        </w:rPr>
        <w:t xml:space="preserve"> </w:t>
      </w:r>
      <w:r>
        <w:rPr>
          <w:lang w:val="fr-FR"/>
        </w:rPr>
        <w:t>de la différence de prise</w:t>
      </w:r>
      <w:r w:rsidRPr="000D434E">
        <w:rPr>
          <w:lang w:val="fr-FR"/>
        </w:rPr>
        <w:t xml:space="preserve"> en compte des </w:t>
      </w:r>
      <w:r>
        <w:rPr>
          <w:lang w:val="fr-FR"/>
        </w:rPr>
        <w:t>composants en rotation</w:t>
      </w:r>
    </w:p>
    <w:p w14:paraId="31A7DF5F" w14:textId="77777777" w:rsidR="003F01DE" w:rsidRPr="00AE38A0" w:rsidRDefault="003F01DE" w:rsidP="00362A99">
      <w:pPr>
        <w:pStyle w:val="SingleTxtG"/>
        <w:ind w:left="2268"/>
        <w:rPr>
          <w:lang w:val="fr-FR"/>
        </w:rPr>
      </w:pPr>
      <w:r w:rsidRPr="000D434E">
        <w:rPr>
          <w:lang w:val="fr-FR"/>
        </w:rPr>
        <w:tab/>
      </w:r>
      <w:r w:rsidRPr="004F4A3B">
        <w:rPr>
          <w:lang w:val="fr-FR"/>
        </w:rPr>
        <w:t xml:space="preserve">Dans le cadre de la méthode de la décélération libre </w:t>
      </w:r>
      <w:r>
        <w:rPr>
          <w:lang w:val="fr-FR"/>
        </w:rPr>
        <w:t xml:space="preserve">de la </w:t>
      </w:r>
      <w:r w:rsidRPr="004F4A3B">
        <w:rPr>
          <w:lang w:val="fr-FR"/>
        </w:rPr>
        <w:t>procédure WTLP, les temps de décélération libre sont convertis en forces et invers</w:t>
      </w:r>
      <w:r>
        <w:rPr>
          <w:lang w:val="fr-FR"/>
        </w:rPr>
        <w:t>ement par prise en compte de la masse d</w:t>
      </w:r>
      <w:r w:rsidR="00946FCA">
        <w:rPr>
          <w:lang w:val="fr-FR"/>
        </w:rPr>
        <w:t>’</w:t>
      </w:r>
      <w:r>
        <w:rPr>
          <w:lang w:val="fr-FR"/>
        </w:rPr>
        <w:t>essai applicable et de la masse rotative</w:t>
      </w:r>
      <w:r w:rsidRPr="004F4A3B">
        <w:rPr>
          <w:lang w:val="fr-FR"/>
        </w:rPr>
        <w:t xml:space="preserve"> (3</w:t>
      </w:r>
      <w:r>
        <w:rPr>
          <w:lang w:val="fr-FR"/>
        </w:rPr>
        <w:t> </w:t>
      </w:r>
      <w:r w:rsidRPr="004F4A3B">
        <w:rPr>
          <w:lang w:val="fr-FR"/>
        </w:rPr>
        <w:t xml:space="preserve">% </w:t>
      </w:r>
      <w:r>
        <w:rPr>
          <w:lang w:val="fr-FR"/>
        </w:rPr>
        <w:t>de la somme de la masse en ordre de marche du véhicule et de 25 kg).</w:t>
      </w:r>
      <w:r w:rsidRPr="004F4A3B">
        <w:rPr>
          <w:lang w:val="fr-FR"/>
        </w:rPr>
        <w:t xml:space="preserve"> </w:t>
      </w:r>
      <w:r w:rsidRPr="004A2AD5">
        <w:rPr>
          <w:lang w:val="fr-FR"/>
        </w:rPr>
        <w:t xml:space="preserve">Dans le cadre de la méthode de la décélération libre de la procédure </w:t>
      </w:r>
      <w:r>
        <w:rPr>
          <w:lang w:val="fr-FR"/>
        </w:rPr>
        <w:t>NEDC</w:t>
      </w:r>
      <w:r w:rsidRPr="004A2AD5">
        <w:rPr>
          <w:lang w:val="fr-FR"/>
        </w:rPr>
        <w:t>, les temps de décélération libre sont convertis en forces et inversement</w:t>
      </w:r>
      <w:r>
        <w:rPr>
          <w:lang w:val="fr-FR"/>
        </w:rPr>
        <w:t xml:space="preserve"> en faisant abstraction de la masse rotative</w:t>
      </w:r>
      <w:r w:rsidRPr="00AE38A0">
        <w:rPr>
          <w:lang w:val="fr-FR"/>
        </w:rPr>
        <w:t>.</w:t>
      </w:r>
    </w:p>
    <w:p w14:paraId="10310CEA" w14:textId="77777777" w:rsidR="003F01DE" w:rsidRPr="00165092" w:rsidRDefault="003F01DE" w:rsidP="00624599">
      <w:pPr>
        <w:pStyle w:val="SingleTxtG"/>
        <w:keepNext/>
        <w:ind w:left="2268" w:hanging="1134"/>
        <w:rPr>
          <w:lang w:val="fr-FR"/>
        </w:rPr>
      </w:pPr>
      <w:r w:rsidRPr="00683989">
        <w:rPr>
          <w:lang w:val="fr-FR"/>
        </w:rPr>
        <w:t>2.2.4</w:t>
      </w:r>
      <w:r w:rsidRPr="00683989">
        <w:rPr>
          <w:lang w:val="fr-FR"/>
        </w:rPr>
        <w:tab/>
      </w:r>
      <w:r w:rsidRPr="00165092">
        <w:rPr>
          <w:lang w:val="fr-FR"/>
        </w:rPr>
        <w:t>Détermination des coefficients de rési</w:t>
      </w:r>
      <w:r>
        <w:rPr>
          <w:lang w:val="fr-FR"/>
        </w:rPr>
        <w:t>stance à l</w:t>
      </w:r>
      <w:r w:rsidR="00946FCA">
        <w:rPr>
          <w:lang w:val="fr-FR"/>
        </w:rPr>
        <w:t>’</w:t>
      </w:r>
      <w:r>
        <w:rPr>
          <w:lang w:val="fr-FR"/>
        </w:rPr>
        <w:t>avancement pour la procédure NEDC</w:t>
      </w:r>
    </w:p>
    <w:p w14:paraId="44C938D6" w14:textId="77777777" w:rsidR="003F01DE" w:rsidRPr="008E203C" w:rsidRDefault="003F01DE" w:rsidP="00624599">
      <w:pPr>
        <w:pStyle w:val="SingleTxtG"/>
        <w:keepNext/>
        <w:ind w:left="2835" w:hanging="567"/>
        <w:rPr>
          <w:lang w:val="fr-FR"/>
        </w:rPr>
      </w:pPr>
      <w:r w:rsidRPr="008E203C">
        <w:rPr>
          <w:lang w:val="fr-FR"/>
        </w:rPr>
        <w:t>a)</w:t>
      </w:r>
      <w:r w:rsidRPr="008E203C">
        <w:rPr>
          <w:lang w:val="fr-FR"/>
        </w:rPr>
        <w:tab/>
        <w:t>Le coefficient de résistance à l</w:t>
      </w:r>
      <w:r w:rsidR="00946FCA">
        <w:rPr>
          <w:lang w:val="fr-FR"/>
        </w:rPr>
        <w:t>’</w:t>
      </w:r>
      <w:r w:rsidRPr="008E203C">
        <w:rPr>
          <w:lang w:val="fr-FR"/>
        </w:rPr>
        <w:t>avancement F</w:t>
      </w:r>
      <w:r w:rsidR="00E331D4">
        <w:rPr>
          <w:vertAlign w:val="subscript"/>
          <w:lang w:val="fr-FR"/>
        </w:rPr>
        <w:t>0</w:t>
      </w:r>
      <w:r w:rsidRPr="008E203C">
        <w:rPr>
          <w:vertAlign w:val="subscript"/>
          <w:lang w:val="fr-FR"/>
        </w:rPr>
        <w:t>n</w:t>
      </w:r>
      <w:r>
        <w:rPr>
          <w:lang w:val="fr-FR"/>
        </w:rPr>
        <w:t xml:space="preserve"> du véhicule,</w:t>
      </w:r>
      <w:r w:rsidRPr="008E203C">
        <w:rPr>
          <w:lang w:val="fr-FR"/>
        </w:rPr>
        <w:t xml:space="preserve"> </w:t>
      </w:r>
      <w:r>
        <w:rPr>
          <w:lang w:val="fr-FR"/>
        </w:rPr>
        <w:t>en</w:t>
      </w:r>
      <w:r w:rsidRPr="008E203C">
        <w:rPr>
          <w:lang w:val="fr-FR"/>
        </w:rPr>
        <w:t xml:space="preserve"> </w:t>
      </w:r>
      <w:r>
        <w:rPr>
          <w:lang w:val="fr-FR"/>
        </w:rPr>
        <w:t>n</w:t>
      </w:r>
      <w:r w:rsidRPr="008E203C">
        <w:rPr>
          <w:lang w:val="fr-FR"/>
        </w:rPr>
        <w:t>ewton</w:t>
      </w:r>
      <w:r>
        <w:rPr>
          <w:lang w:val="fr-FR"/>
        </w:rPr>
        <w:t>s</w:t>
      </w:r>
      <w:r w:rsidRPr="008E203C">
        <w:rPr>
          <w:lang w:val="fr-FR"/>
        </w:rPr>
        <w:t xml:space="preserve"> (N)</w:t>
      </w:r>
      <w:r>
        <w:rPr>
          <w:lang w:val="fr-FR"/>
        </w:rPr>
        <w:t>,</w:t>
      </w:r>
      <w:r w:rsidRPr="008E203C">
        <w:rPr>
          <w:lang w:val="fr-FR"/>
        </w:rPr>
        <w:t xml:space="preserve"> </w:t>
      </w:r>
      <w:r>
        <w:rPr>
          <w:lang w:val="fr-FR"/>
        </w:rPr>
        <w:t>est calculé comme suit</w:t>
      </w:r>
      <w:r w:rsidR="006C2A0F">
        <w:rPr>
          <w:lang w:val="fr-FR"/>
        </w:rPr>
        <w:t> </w:t>
      </w:r>
      <w:r w:rsidRPr="008E203C">
        <w:rPr>
          <w:lang w:val="fr-FR"/>
        </w:rPr>
        <w:t>:</w:t>
      </w:r>
    </w:p>
    <w:p w14:paraId="76963CAF" w14:textId="77777777" w:rsidR="003F01DE" w:rsidRPr="006C2A0F" w:rsidRDefault="003F01DE" w:rsidP="00624599">
      <w:pPr>
        <w:pStyle w:val="WP29Para"/>
        <w:keepNext/>
        <w:ind w:left="3402" w:hanging="567"/>
        <w:rPr>
          <w:sz w:val="20"/>
          <w:lang w:val="fr-FR"/>
        </w:rPr>
      </w:pPr>
      <w:r w:rsidRPr="006C2A0F">
        <w:rPr>
          <w:sz w:val="20"/>
          <w:lang w:val="fr-FR"/>
        </w:rPr>
        <w:t>i)</w:t>
      </w:r>
      <w:r w:rsidRPr="006C2A0F">
        <w:rPr>
          <w:sz w:val="20"/>
          <w:lang w:val="fr-FR"/>
        </w:rPr>
        <w:tab/>
        <w:t>Effet de la différence d</w:t>
      </w:r>
      <w:r w:rsidR="00946FCA">
        <w:rPr>
          <w:sz w:val="20"/>
          <w:lang w:val="fr-FR"/>
        </w:rPr>
        <w:t>’</w:t>
      </w:r>
      <w:r w:rsidRPr="006C2A0F">
        <w:rPr>
          <w:sz w:val="20"/>
          <w:lang w:val="fr-FR"/>
        </w:rPr>
        <w:t>inertie</w:t>
      </w:r>
      <w:r w:rsidR="006C2A0F">
        <w:rPr>
          <w:sz w:val="20"/>
          <w:lang w:val="fr-FR"/>
        </w:rPr>
        <w:t> </w:t>
      </w:r>
      <w:r w:rsidRPr="006C2A0F">
        <w:rPr>
          <w:sz w:val="20"/>
          <w:lang w:val="fr-FR"/>
        </w:rPr>
        <w:t>:</w:t>
      </w:r>
    </w:p>
    <w:p w14:paraId="7CA308B2" w14:textId="77777777" w:rsidR="003F01DE" w:rsidRPr="007F707A" w:rsidRDefault="00F11DAA" w:rsidP="007F707A">
      <w:pPr>
        <w:pStyle w:val="WP29Para"/>
        <w:ind w:left="3402" w:firstLine="0"/>
        <w:rPr>
          <w:sz w:val="2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0n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0"/>
            </w:rPr>
            <m:t>=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0w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</w:rPr>
            <m:t>∙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RM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TM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w</m:t>
                      </m:r>
                    </m:sub>
                  </m:sSub>
                </m:den>
              </m:f>
            </m:e>
          </m:d>
        </m:oMath>
      </m:oMathPara>
    </w:p>
    <w:p w14:paraId="15919013" w14:textId="77777777" w:rsidR="003F01DE" w:rsidRPr="00683989" w:rsidRDefault="003F01DE" w:rsidP="007F707A">
      <w:pPr>
        <w:pStyle w:val="SingleTxtG"/>
        <w:keepNext/>
        <w:ind w:left="2268"/>
        <w:rPr>
          <w:lang w:val="fr-FR"/>
        </w:rPr>
      </w:pPr>
      <w:proofErr w:type="gramStart"/>
      <w:r w:rsidRPr="00683989">
        <w:rPr>
          <w:lang w:val="fr-FR"/>
        </w:rPr>
        <w:lastRenderedPageBreak/>
        <w:t>où</w:t>
      </w:r>
      <w:proofErr w:type="gramEnd"/>
      <w:r w:rsidR="0097415C">
        <w:rPr>
          <w:lang w:val="fr-FR"/>
        </w:rPr>
        <w:t> </w:t>
      </w:r>
      <w:r w:rsidRPr="00683989">
        <w:rPr>
          <w:lang w:val="fr-FR"/>
        </w:rPr>
        <w:t>:</w:t>
      </w:r>
    </w:p>
    <w:p w14:paraId="0C50E2AD" w14:textId="77777777" w:rsidR="003F01DE" w:rsidRPr="00A545BC" w:rsidRDefault="003F01DE" w:rsidP="0097415C">
      <w:pPr>
        <w:pStyle w:val="SingleTxtG"/>
        <w:ind w:left="3119" w:hanging="851"/>
        <w:rPr>
          <w:lang w:val="fr-FR"/>
        </w:rPr>
      </w:pPr>
      <w:proofErr w:type="spellStart"/>
      <w:r w:rsidRPr="00A545BC">
        <w:rPr>
          <w:lang w:val="fr-FR"/>
        </w:rPr>
        <w:t>RM</w:t>
      </w:r>
      <w:r w:rsidRPr="00A545BC">
        <w:rPr>
          <w:vertAlign w:val="subscript"/>
          <w:lang w:val="fr-FR"/>
        </w:rPr>
        <w:t>n</w:t>
      </w:r>
      <w:proofErr w:type="spellEnd"/>
      <w:r w:rsidR="0097415C">
        <w:rPr>
          <w:vertAlign w:val="subscript"/>
          <w:lang w:val="fr-FR"/>
        </w:rPr>
        <w:tab/>
      </w:r>
      <w:r w:rsidRPr="00A545BC">
        <w:rPr>
          <w:lang w:val="fr-FR"/>
        </w:rPr>
        <w:t>est la masse de référence du véhicule telle que dé</w:t>
      </w:r>
      <w:r>
        <w:rPr>
          <w:lang w:val="fr-FR"/>
        </w:rPr>
        <w:t>finie dans le présent Règlement</w:t>
      </w:r>
      <w:r w:rsidR="004F7FDF">
        <w:rPr>
          <w:lang w:val="fr-FR"/>
        </w:rPr>
        <w:t> </w:t>
      </w:r>
      <w:r>
        <w:rPr>
          <w:lang w:val="fr-FR"/>
        </w:rPr>
        <w:t>;</w:t>
      </w:r>
    </w:p>
    <w:p w14:paraId="1614BC0D" w14:textId="77777777" w:rsidR="003F01DE" w:rsidRPr="00A545BC" w:rsidRDefault="003F01DE" w:rsidP="0097415C">
      <w:pPr>
        <w:pStyle w:val="SingleTxtG"/>
        <w:ind w:left="3119" w:hanging="851"/>
        <w:rPr>
          <w:lang w:val="fr-FR"/>
        </w:rPr>
      </w:pPr>
      <w:r w:rsidRPr="00A545BC">
        <w:rPr>
          <w:i/>
          <w:iCs/>
          <w:lang w:val="fr-FR"/>
        </w:rPr>
        <w:t>F</w:t>
      </w:r>
      <w:r w:rsidRPr="00A545BC">
        <w:rPr>
          <w:vertAlign w:val="subscript"/>
          <w:lang w:val="fr-FR"/>
        </w:rPr>
        <w:t>0</w:t>
      </w:r>
      <w:r w:rsidRPr="00A545BC">
        <w:rPr>
          <w:i/>
          <w:iCs/>
          <w:vertAlign w:val="subscript"/>
          <w:lang w:val="fr-FR"/>
        </w:rPr>
        <w:t>w</w:t>
      </w:r>
      <w:r w:rsidR="0097415C">
        <w:rPr>
          <w:i/>
          <w:iCs/>
          <w:vertAlign w:val="subscript"/>
          <w:lang w:val="fr-FR"/>
        </w:rPr>
        <w:tab/>
      </w:r>
      <w:r w:rsidRPr="00A545BC">
        <w:rPr>
          <w:lang w:val="fr-FR"/>
        </w:rPr>
        <w:t>est le coefficient de résistance à l</w:t>
      </w:r>
      <w:r w:rsidR="00946FCA">
        <w:rPr>
          <w:lang w:val="fr-FR"/>
        </w:rPr>
        <w:t>’</w:t>
      </w:r>
      <w:r w:rsidRPr="00A545BC">
        <w:rPr>
          <w:lang w:val="fr-FR"/>
        </w:rPr>
        <w:t>avancement F</w:t>
      </w:r>
      <w:r w:rsidRPr="00A545BC">
        <w:rPr>
          <w:vertAlign w:val="subscript"/>
          <w:lang w:val="fr-FR"/>
        </w:rPr>
        <w:t>0</w:t>
      </w:r>
      <w:r w:rsidRPr="00A545BC">
        <w:rPr>
          <w:lang w:val="fr-FR"/>
        </w:rPr>
        <w:t xml:space="preserve"> déterminé aux </w:t>
      </w:r>
      <w:r>
        <w:rPr>
          <w:lang w:val="fr-FR"/>
        </w:rPr>
        <w:t>fins de l</w:t>
      </w:r>
      <w:r w:rsidR="00946FCA">
        <w:rPr>
          <w:lang w:val="fr-FR"/>
        </w:rPr>
        <w:t>’</w:t>
      </w:r>
      <w:r>
        <w:rPr>
          <w:lang w:val="fr-FR"/>
        </w:rPr>
        <w:t xml:space="preserve">essai </w:t>
      </w:r>
      <w:r w:rsidRPr="00A545BC">
        <w:rPr>
          <w:lang w:val="fr-FR"/>
        </w:rPr>
        <w:t xml:space="preserve">WLTP </w:t>
      </w:r>
      <w:r>
        <w:rPr>
          <w:lang w:val="fr-FR"/>
        </w:rPr>
        <w:t>du véhicule</w:t>
      </w:r>
      <w:r w:rsidR="004F7FDF">
        <w:rPr>
          <w:lang w:val="fr-FR"/>
        </w:rPr>
        <w:t> </w:t>
      </w:r>
      <w:r w:rsidRPr="00A545BC">
        <w:rPr>
          <w:lang w:val="fr-FR"/>
        </w:rPr>
        <w:t>;</w:t>
      </w:r>
    </w:p>
    <w:p w14:paraId="347EF0DA" w14:textId="77777777" w:rsidR="003F01DE" w:rsidRPr="00A545BC" w:rsidRDefault="003F01DE" w:rsidP="0097415C">
      <w:pPr>
        <w:pStyle w:val="SingleTxtG"/>
        <w:ind w:left="3119" w:hanging="851"/>
        <w:rPr>
          <w:lang w:val="fr-FR"/>
        </w:rPr>
      </w:pPr>
      <w:proofErr w:type="spellStart"/>
      <w:r w:rsidRPr="00A545BC">
        <w:rPr>
          <w:lang w:val="fr-FR"/>
        </w:rPr>
        <w:t>TM</w:t>
      </w:r>
      <w:r w:rsidRPr="00A545BC">
        <w:rPr>
          <w:vertAlign w:val="subscript"/>
          <w:lang w:val="fr-FR"/>
        </w:rPr>
        <w:t>w</w:t>
      </w:r>
      <w:proofErr w:type="spellEnd"/>
      <w:r w:rsidR="0097415C">
        <w:rPr>
          <w:vertAlign w:val="subscript"/>
          <w:lang w:val="fr-FR"/>
        </w:rPr>
        <w:tab/>
      </w:r>
      <w:r w:rsidRPr="00A545BC">
        <w:rPr>
          <w:lang w:val="fr-FR"/>
        </w:rPr>
        <w:t>est la masse d</w:t>
      </w:r>
      <w:r w:rsidR="00946FCA">
        <w:rPr>
          <w:lang w:val="fr-FR"/>
        </w:rPr>
        <w:t>’</w:t>
      </w:r>
      <w:r w:rsidRPr="00A545BC">
        <w:rPr>
          <w:lang w:val="fr-FR"/>
        </w:rPr>
        <w:t>essai utilisée pour l</w:t>
      </w:r>
      <w:r w:rsidR="00946FCA">
        <w:rPr>
          <w:lang w:val="fr-FR"/>
        </w:rPr>
        <w:t>’</w:t>
      </w:r>
      <w:r w:rsidRPr="00A545BC">
        <w:rPr>
          <w:lang w:val="fr-FR"/>
        </w:rPr>
        <w:t>essai WLTP d</w:t>
      </w:r>
      <w:r>
        <w:rPr>
          <w:lang w:val="fr-FR"/>
        </w:rPr>
        <w:t>u</w:t>
      </w:r>
      <w:r w:rsidRPr="00A545BC">
        <w:rPr>
          <w:lang w:val="fr-FR"/>
        </w:rPr>
        <w:t xml:space="preserve"> v</w:t>
      </w:r>
      <w:r>
        <w:rPr>
          <w:lang w:val="fr-FR"/>
        </w:rPr>
        <w:t>é</w:t>
      </w:r>
      <w:r w:rsidRPr="00A545BC">
        <w:rPr>
          <w:lang w:val="fr-FR"/>
        </w:rPr>
        <w:t>hic</w:t>
      </w:r>
      <w:r>
        <w:rPr>
          <w:lang w:val="fr-FR"/>
        </w:rPr>
        <w:t>u</w:t>
      </w:r>
      <w:r w:rsidRPr="00A545BC">
        <w:rPr>
          <w:lang w:val="fr-FR"/>
        </w:rPr>
        <w:t xml:space="preserve">le </w:t>
      </w:r>
      <w:r>
        <w:rPr>
          <w:lang w:val="fr-FR"/>
        </w:rPr>
        <w:t>pourvu de son équipement de série</w:t>
      </w:r>
      <w:r w:rsidR="004F7FDF">
        <w:rPr>
          <w:lang w:val="fr-FR"/>
        </w:rPr>
        <w:t> ;</w:t>
      </w:r>
    </w:p>
    <w:p w14:paraId="04EAA288" w14:textId="77777777" w:rsidR="003F01DE" w:rsidRPr="0097415C" w:rsidRDefault="003F01DE" w:rsidP="0097415C">
      <w:pPr>
        <w:pStyle w:val="WP29Para"/>
        <w:ind w:left="3402" w:hanging="567"/>
        <w:rPr>
          <w:sz w:val="20"/>
          <w:lang w:val="fr-FR"/>
        </w:rPr>
      </w:pPr>
      <w:r w:rsidRPr="0097415C">
        <w:rPr>
          <w:sz w:val="20"/>
          <w:lang w:val="fr-FR"/>
        </w:rPr>
        <w:t>ii)</w:t>
      </w:r>
      <w:r w:rsidR="0097415C">
        <w:rPr>
          <w:sz w:val="20"/>
          <w:lang w:val="fr-FR"/>
        </w:rPr>
        <w:tab/>
      </w:r>
      <w:r w:rsidRPr="0097415C">
        <w:rPr>
          <w:sz w:val="20"/>
          <w:lang w:val="fr-FR"/>
        </w:rPr>
        <w:t>Effet de la différence de pression des pneumatiques</w:t>
      </w:r>
      <w:r w:rsidR="0097415C">
        <w:rPr>
          <w:sz w:val="20"/>
          <w:lang w:val="fr-FR"/>
        </w:rPr>
        <w:t> </w:t>
      </w:r>
      <w:r w:rsidRPr="0097415C">
        <w:rPr>
          <w:sz w:val="20"/>
          <w:lang w:val="fr-FR"/>
        </w:rPr>
        <w:t>:</w:t>
      </w:r>
    </w:p>
    <w:p w14:paraId="3869EBE3" w14:textId="77777777" w:rsidR="003F01DE" w:rsidRPr="006D63AC" w:rsidRDefault="00F11DAA" w:rsidP="006D63AC">
      <w:pPr>
        <w:pStyle w:val="WP29Para"/>
        <w:ind w:left="3402" w:firstLine="0"/>
        <w:rPr>
          <w:sz w:val="2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0n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0"/>
            </w:rPr>
            <m:t>=</m:t>
          </m:r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0w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0"/>
            </w:rPr>
            <m:t>∙TP</m:t>
          </m:r>
        </m:oMath>
      </m:oMathPara>
    </w:p>
    <w:p w14:paraId="528B2AF2" w14:textId="77777777" w:rsidR="003F01DE" w:rsidRPr="00624599" w:rsidRDefault="003F01DE" w:rsidP="00362A99">
      <w:pPr>
        <w:pStyle w:val="SingleTxtG"/>
        <w:ind w:left="2268"/>
        <w:rPr>
          <w:lang w:val="fr-FR"/>
        </w:rPr>
      </w:pPr>
      <w:proofErr w:type="gramStart"/>
      <w:r w:rsidRPr="00624599">
        <w:rPr>
          <w:lang w:val="fr-FR"/>
        </w:rPr>
        <w:t>où</w:t>
      </w:r>
      <w:proofErr w:type="gramEnd"/>
      <w:r w:rsidRPr="00624599">
        <w:rPr>
          <w:lang w:val="fr-FR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TP</m:t>
        </m:r>
      </m:oMath>
      <w:r w:rsidRPr="00624599">
        <w:rPr>
          <w:lang w:val="fr-FR"/>
        </w:rPr>
        <w:t xml:space="preserve"> est tel que défini au 2.2.1</w:t>
      </w:r>
      <w:r w:rsidR="004F7FDF">
        <w:rPr>
          <w:lang w:val="fr-FR"/>
        </w:rPr>
        <w:t> ;</w:t>
      </w:r>
    </w:p>
    <w:p w14:paraId="3FFB6AB1" w14:textId="77777777" w:rsidR="003F01DE" w:rsidRPr="007F707A" w:rsidRDefault="003F01DE" w:rsidP="0097415C">
      <w:pPr>
        <w:pStyle w:val="WP29Para"/>
        <w:ind w:left="3402" w:hanging="567"/>
        <w:rPr>
          <w:sz w:val="20"/>
          <w:lang w:val="fr-FR"/>
        </w:rPr>
      </w:pPr>
      <w:r w:rsidRPr="007F707A">
        <w:rPr>
          <w:sz w:val="20"/>
          <w:lang w:val="fr-FR"/>
        </w:rPr>
        <w:t>iii)</w:t>
      </w:r>
      <w:r w:rsidR="007F707A">
        <w:rPr>
          <w:sz w:val="20"/>
          <w:lang w:val="fr-FR"/>
        </w:rPr>
        <w:tab/>
      </w:r>
      <w:r w:rsidRPr="007F707A">
        <w:rPr>
          <w:sz w:val="20"/>
          <w:lang w:val="fr-FR"/>
        </w:rPr>
        <w:t>Effet de l</w:t>
      </w:r>
      <w:r w:rsidR="00946FCA">
        <w:rPr>
          <w:sz w:val="20"/>
          <w:lang w:val="fr-FR"/>
        </w:rPr>
        <w:t>’</w:t>
      </w:r>
      <w:r w:rsidRPr="007F707A">
        <w:rPr>
          <w:sz w:val="20"/>
          <w:lang w:val="fr-FR"/>
        </w:rPr>
        <w:t>inertie des composants en rotation</w:t>
      </w:r>
      <w:r w:rsidR="00AC5ED2">
        <w:rPr>
          <w:sz w:val="20"/>
          <w:lang w:val="fr-FR"/>
        </w:rPr>
        <w:t> </w:t>
      </w:r>
      <w:r w:rsidRPr="007F707A">
        <w:rPr>
          <w:sz w:val="20"/>
          <w:lang w:val="fr-FR"/>
        </w:rPr>
        <w:t>:</w:t>
      </w:r>
    </w:p>
    <w:p w14:paraId="2B38EDE8" w14:textId="77777777" w:rsidR="003F01DE" w:rsidRPr="006D63AC" w:rsidRDefault="00F11DAA" w:rsidP="006D63AC">
      <w:pPr>
        <w:pStyle w:val="WP29Para"/>
        <w:ind w:left="3402" w:firstLine="0"/>
        <w:rPr>
          <w:sz w:val="2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0n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3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0"/>
            </w:rPr>
            <m:t>=</m:t>
          </m:r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0w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0"/>
            </w:rPr>
            <m:t>∙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1,03</m:t>
                  </m:r>
                </m:den>
              </m:f>
            </m:e>
          </m:d>
        </m:oMath>
      </m:oMathPara>
    </w:p>
    <w:p w14:paraId="420B9C72" w14:textId="77777777" w:rsidR="003F01DE" w:rsidRPr="00CA6C39" w:rsidRDefault="003F01DE" w:rsidP="0097415C">
      <w:pPr>
        <w:pStyle w:val="WP29Para"/>
        <w:ind w:left="3402" w:hanging="567"/>
        <w:rPr>
          <w:sz w:val="20"/>
          <w:lang w:val="fr-FR"/>
        </w:rPr>
      </w:pPr>
      <w:r w:rsidRPr="00CA6C39">
        <w:rPr>
          <w:sz w:val="20"/>
          <w:lang w:val="fr-FR"/>
        </w:rPr>
        <w:t>iv)</w:t>
      </w:r>
      <w:r w:rsidR="00CA6C39">
        <w:rPr>
          <w:sz w:val="20"/>
          <w:lang w:val="fr-FR"/>
        </w:rPr>
        <w:tab/>
      </w:r>
      <w:r w:rsidRPr="00CA6C39">
        <w:rPr>
          <w:sz w:val="20"/>
          <w:lang w:val="fr-FR"/>
        </w:rPr>
        <w:t>Effet de la différence de profondeur de sculpture des pneumatiques</w:t>
      </w:r>
      <w:r w:rsidR="00AC5ED2">
        <w:rPr>
          <w:sz w:val="20"/>
          <w:lang w:val="fr-FR"/>
        </w:rPr>
        <w:t> </w:t>
      </w:r>
      <w:r w:rsidRPr="00CA6C39">
        <w:rPr>
          <w:sz w:val="20"/>
          <w:lang w:val="fr-FR"/>
        </w:rPr>
        <w:t>:</w:t>
      </w:r>
    </w:p>
    <w:p w14:paraId="527D9FF9" w14:textId="77777777" w:rsidR="003F01DE" w:rsidRPr="00CA6C39" w:rsidRDefault="00F11DAA" w:rsidP="00CA6C39">
      <w:pPr>
        <w:pStyle w:val="WP29Para"/>
        <w:ind w:left="3402" w:firstLine="0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0n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</w:rPr>
            <m:t>=</m:t>
          </m:r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0w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3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0"/>
            </w:rPr>
            <m:t>∙TTD</m:t>
          </m:r>
        </m:oMath>
      </m:oMathPara>
    </w:p>
    <w:p w14:paraId="386EF623" w14:textId="77777777" w:rsidR="003F01DE" w:rsidRPr="00A04B0A" w:rsidRDefault="003F01DE" w:rsidP="00362A99">
      <w:pPr>
        <w:pStyle w:val="SingleTxtG"/>
        <w:ind w:left="2268"/>
        <w:rPr>
          <w:lang w:val="fr-FR"/>
        </w:rPr>
      </w:pPr>
      <w:proofErr w:type="gramStart"/>
      <w:r w:rsidRPr="00A04B0A">
        <w:rPr>
          <w:lang w:val="fr-FR"/>
        </w:rPr>
        <w:t>où</w:t>
      </w:r>
      <w:proofErr w:type="gramEnd"/>
      <w:r w:rsidRPr="00A04B0A">
        <w:rPr>
          <w:lang w:val="fr-FR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TTD</m:t>
        </m:r>
      </m:oMath>
      <w:r w:rsidRPr="00A04B0A">
        <w:rPr>
          <w:lang w:val="fr-FR"/>
        </w:rPr>
        <w:t xml:space="preserve"> est tel que défini au 2.2.2</w:t>
      </w:r>
      <w:r w:rsidR="00AC5ED2">
        <w:rPr>
          <w:lang w:val="fr-FR"/>
        </w:rPr>
        <w:t> ;</w:t>
      </w:r>
    </w:p>
    <w:p w14:paraId="13E57F06" w14:textId="77777777" w:rsidR="003F01DE" w:rsidRPr="00A04B0A" w:rsidRDefault="003F01DE" w:rsidP="00CA6C39">
      <w:pPr>
        <w:pStyle w:val="SingleTxtG"/>
        <w:keepNext/>
        <w:ind w:left="2835" w:hanging="567"/>
        <w:rPr>
          <w:lang w:val="fr-FR"/>
        </w:rPr>
      </w:pPr>
      <w:r w:rsidRPr="00A04B0A">
        <w:rPr>
          <w:lang w:val="fr-FR"/>
        </w:rPr>
        <w:t>b)</w:t>
      </w:r>
      <w:r w:rsidRPr="00A04B0A">
        <w:rPr>
          <w:lang w:val="fr-FR"/>
        </w:rPr>
        <w:tab/>
      </w:r>
      <w:r w:rsidRPr="008E203C">
        <w:rPr>
          <w:lang w:val="fr-FR"/>
        </w:rPr>
        <w:t>Le coefficient de résistance à l</w:t>
      </w:r>
      <w:r w:rsidR="00946FCA">
        <w:rPr>
          <w:lang w:val="fr-FR"/>
        </w:rPr>
        <w:t>’</w:t>
      </w:r>
      <w:r w:rsidRPr="008E203C">
        <w:rPr>
          <w:lang w:val="fr-FR"/>
        </w:rPr>
        <w:t>avancement F</w:t>
      </w:r>
      <w:r>
        <w:rPr>
          <w:vertAlign w:val="subscript"/>
          <w:lang w:val="fr-FR"/>
        </w:rPr>
        <w:t>1</w:t>
      </w:r>
      <w:r w:rsidRPr="008E203C">
        <w:rPr>
          <w:vertAlign w:val="subscript"/>
          <w:lang w:val="fr-FR"/>
        </w:rPr>
        <w:t>n</w:t>
      </w:r>
      <w:r w:rsidRPr="008E203C">
        <w:rPr>
          <w:lang w:val="fr-FR"/>
        </w:rPr>
        <w:t xml:space="preserve"> </w:t>
      </w:r>
      <w:r>
        <w:rPr>
          <w:lang w:val="fr-FR"/>
        </w:rPr>
        <w:t>du véhicule est calculé comme suit </w:t>
      </w:r>
      <w:r w:rsidRPr="008E203C">
        <w:rPr>
          <w:lang w:val="fr-FR"/>
        </w:rPr>
        <w:t>:</w:t>
      </w:r>
    </w:p>
    <w:p w14:paraId="6646C8A4" w14:textId="77777777" w:rsidR="003F01DE" w:rsidRPr="00CA6C39" w:rsidRDefault="00F11DAA" w:rsidP="00CA6C39">
      <w:pPr>
        <w:pStyle w:val="WP29Para"/>
        <w:ind w:left="2835" w:firstLine="0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</w:rPr>
            <m:t>=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1w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</w:rPr>
            <m:t>∙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1,03</m:t>
                  </m:r>
                </m:den>
              </m:f>
            </m:e>
          </m:d>
        </m:oMath>
      </m:oMathPara>
    </w:p>
    <w:p w14:paraId="448C3603" w14:textId="77777777" w:rsidR="003F01DE" w:rsidRPr="00A04B0A" w:rsidRDefault="003F01DE" w:rsidP="00CA6C39">
      <w:pPr>
        <w:pStyle w:val="SingleTxtG"/>
        <w:keepNext/>
        <w:ind w:left="2835" w:hanging="567"/>
        <w:rPr>
          <w:lang w:val="fr-FR"/>
        </w:rPr>
      </w:pPr>
      <w:r w:rsidRPr="00A04B0A">
        <w:rPr>
          <w:lang w:val="fr-FR"/>
        </w:rPr>
        <w:t>c)</w:t>
      </w:r>
      <w:r w:rsidRPr="00A04B0A">
        <w:rPr>
          <w:lang w:val="fr-FR"/>
        </w:rPr>
        <w:tab/>
      </w:r>
      <w:r w:rsidRPr="008E203C">
        <w:rPr>
          <w:lang w:val="fr-FR"/>
        </w:rPr>
        <w:t>Le coefficient de résistance à l</w:t>
      </w:r>
      <w:r w:rsidR="00946FCA">
        <w:rPr>
          <w:lang w:val="fr-FR"/>
        </w:rPr>
        <w:t>’</w:t>
      </w:r>
      <w:r w:rsidRPr="008E203C">
        <w:rPr>
          <w:lang w:val="fr-FR"/>
        </w:rPr>
        <w:t>avancement F</w:t>
      </w:r>
      <w:r>
        <w:rPr>
          <w:vertAlign w:val="subscript"/>
          <w:lang w:val="fr-FR"/>
        </w:rPr>
        <w:t>2</w:t>
      </w:r>
      <w:r w:rsidRPr="008E203C">
        <w:rPr>
          <w:vertAlign w:val="subscript"/>
          <w:lang w:val="fr-FR"/>
        </w:rPr>
        <w:t>n</w:t>
      </w:r>
      <w:r w:rsidRPr="008E203C">
        <w:rPr>
          <w:lang w:val="fr-FR"/>
        </w:rPr>
        <w:t xml:space="preserve"> </w:t>
      </w:r>
      <w:r>
        <w:rPr>
          <w:lang w:val="fr-FR"/>
        </w:rPr>
        <w:t>du véhicule est calculé comme suit </w:t>
      </w:r>
      <w:r w:rsidRPr="008E203C">
        <w:rPr>
          <w:lang w:val="fr-FR"/>
        </w:rPr>
        <w:t>:</w:t>
      </w:r>
    </w:p>
    <w:p w14:paraId="5200E349" w14:textId="77777777" w:rsidR="003F01DE" w:rsidRPr="00CA6C39" w:rsidRDefault="00F11DAA" w:rsidP="00CA6C39">
      <w:pPr>
        <w:pStyle w:val="WP29Para"/>
        <w:ind w:left="2835" w:firstLine="0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2n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</w:rPr>
            <m:t>=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2w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</w:rPr>
            <m:t>∙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1,03</m:t>
                  </m:r>
                </m:den>
              </m:f>
            </m:e>
          </m:d>
        </m:oMath>
      </m:oMathPara>
    </w:p>
    <w:p w14:paraId="071C4B54" w14:textId="77777777" w:rsidR="003F01DE" w:rsidRPr="00A04B0A" w:rsidRDefault="003F01DE" w:rsidP="00362A99">
      <w:pPr>
        <w:pStyle w:val="SingleTxtG"/>
        <w:ind w:left="2268"/>
      </w:pPr>
      <w:proofErr w:type="gramStart"/>
      <w:r w:rsidRPr="00A04B0A">
        <w:t>où</w:t>
      </w:r>
      <w:proofErr w:type="gramEnd"/>
      <w:r w:rsidRPr="00A04B0A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2w</m:t>
            </m:r>
          </m:sub>
        </m:sSub>
      </m:oMath>
      <w:r w:rsidRPr="00A04B0A">
        <w:t xml:space="preserve"> désigne le coefficient de résistance à l</w:t>
      </w:r>
      <w:r w:rsidR="00946FCA">
        <w:t>’</w:t>
      </w:r>
      <w:r w:rsidRPr="00A04B0A">
        <w:t>avancement F</w:t>
      </w:r>
      <w:r w:rsidRPr="00A04B0A">
        <w:rPr>
          <w:vertAlign w:val="subscript"/>
        </w:rPr>
        <w:t>2</w:t>
      </w:r>
      <w:r w:rsidRPr="00A04B0A">
        <w:t xml:space="preserve"> d</w:t>
      </w:r>
      <w:r>
        <w:t>e la procédure WLTP déterminé pour le véhicule pourvu de son équipement de série</w:t>
      </w:r>
      <w:r w:rsidRPr="00A04B0A">
        <w:t>.</w:t>
      </w:r>
      <w:r>
        <w:t> »</w:t>
      </w:r>
      <w:r w:rsidR="00946FCA">
        <w:t>.</w:t>
      </w:r>
    </w:p>
    <w:p w14:paraId="638286E4" w14:textId="77777777" w:rsidR="003F01DE" w:rsidRPr="00683989" w:rsidRDefault="003F01DE" w:rsidP="003F01DE">
      <w:pPr>
        <w:pStyle w:val="HChG"/>
        <w:rPr>
          <w:lang w:val="fr-FR"/>
        </w:rPr>
      </w:pPr>
      <w:r w:rsidRPr="00A04B0A">
        <w:tab/>
      </w:r>
      <w:r w:rsidRPr="00683989">
        <w:rPr>
          <w:lang w:val="fr-FR"/>
        </w:rPr>
        <w:t>II.</w:t>
      </w:r>
      <w:r w:rsidRPr="00683989">
        <w:rPr>
          <w:lang w:val="fr-FR"/>
        </w:rPr>
        <w:tab/>
        <w:t>Justification</w:t>
      </w:r>
    </w:p>
    <w:p w14:paraId="217DCD92" w14:textId="77777777" w:rsidR="003F01DE" w:rsidRPr="004D0218" w:rsidRDefault="003F01DE" w:rsidP="00362A99">
      <w:pPr>
        <w:pStyle w:val="SingleTxtG"/>
        <w:rPr>
          <w:lang w:val="fr-FR"/>
        </w:rPr>
      </w:pPr>
      <w:r w:rsidRPr="004D0218">
        <w:rPr>
          <w:lang w:val="fr-FR"/>
        </w:rPr>
        <w:t>1.</w:t>
      </w:r>
      <w:r w:rsidRPr="004D0218">
        <w:rPr>
          <w:lang w:val="fr-FR"/>
        </w:rPr>
        <w:tab/>
        <w:t>Le RTM ONU n</w:t>
      </w:r>
      <w:r w:rsidRPr="00376AB3">
        <w:rPr>
          <w:vertAlign w:val="superscript"/>
          <w:lang w:val="fr-FR"/>
        </w:rPr>
        <w:t>o</w:t>
      </w:r>
      <w:r w:rsidRPr="004D0218">
        <w:rPr>
          <w:lang w:val="fr-FR"/>
        </w:rPr>
        <w:t xml:space="preserve"> 15 (WLTP) a apporté des modifications à certains des paramètres utilisés aux fins de la détermination de la résistance à </w:t>
      </w:r>
      <w:r>
        <w:rPr>
          <w:lang w:val="fr-FR"/>
        </w:rPr>
        <w:t>l</w:t>
      </w:r>
      <w:r w:rsidR="00946FCA">
        <w:rPr>
          <w:lang w:val="fr-FR"/>
        </w:rPr>
        <w:t>’</w:t>
      </w:r>
      <w:r>
        <w:rPr>
          <w:lang w:val="fr-FR"/>
        </w:rPr>
        <w:t>avancement</w:t>
      </w:r>
      <w:r w:rsidRPr="004D0218">
        <w:rPr>
          <w:lang w:val="fr-FR"/>
        </w:rPr>
        <w:t>.</w:t>
      </w:r>
    </w:p>
    <w:p w14:paraId="72440D5D" w14:textId="77777777" w:rsidR="003F01DE" w:rsidRPr="00452EEE" w:rsidRDefault="003F01DE" w:rsidP="00362A99">
      <w:pPr>
        <w:pStyle w:val="SingleTxtG"/>
        <w:rPr>
          <w:lang w:val="fr-FR"/>
        </w:rPr>
      </w:pPr>
      <w:r w:rsidRPr="00452EEE">
        <w:rPr>
          <w:lang w:val="fr-FR"/>
        </w:rPr>
        <w:t>2.</w:t>
      </w:r>
      <w:r w:rsidRPr="00452EEE">
        <w:rPr>
          <w:lang w:val="fr-FR"/>
        </w:rPr>
        <w:tab/>
        <w:t xml:space="preserve">En Europe, les constructeurs réalisent des essais </w:t>
      </w:r>
      <w:r>
        <w:rPr>
          <w:lang w:val="fr-FR"/>
        </w:rPr>
        <w:t>NEDC</w:t>
      </w:r>
      <w:r w:rsidRPr="00452EEE">
        <w:rPr>
          <w:lang w:val="fr-FR"/>
        </w:rPr>
        <w:t xml:space="preserve"> dans le cadre de nomb</w:t>
      </w:r>
      <w:r>
        <w:rPr>
          <w:lang w:val="fr-FR"/>
        </w:rPr>
        <w:t>reuses homologations de type afin d</w:t>
      </w:r>
      <w:r w:rsidR="00946FCA">
        <w:rPr>
          <w:lang w:val="fr-FR"/>
        </w:rPr>
        <w:t>’</w:t>
      </w:r>
      <w:r>
        <w:rPr>
          <w:lang w:val="fr-FR"/>
        </w:rPr>
        <w:t>établir une corrélation entre les deux cycles pour les émissions de CO</w:t>
      </w:r>
      <w:r w:rsidRPr="00376AB3">
        <w:rPr>
          <w:vertAlign w:val="subscript"/>
          <w:lang w:val="fr-FR"/>
        </w:rPr>
        <w:t>2</w:t>
      </w:r>
      <w:r>
        <w:rPr>
          <w:lang w:val="fr-FR"/>
        </w:rPr>
        <w:t>.</w:t>
      </w:r>
    </w:p>
    <w:p w14:paraId="37C192E2" w14:textId="77777777" w:rsidR="003F01DE" w:rsidRPr="00452EEE" w:rsidRDefault="003F01DE" w:rsidP="00362A99">
      <w:pPr>
        <w:pStyle w:val="SingleTxtG"/>
        <w:rPr>
          <w:lang w:val="fr-FR"/>
        </w:rPr>
      </w:pPr>
      <w:r w:rsidRPr="00452EEE">
        <w:rPr>
          <w:lang w:val="fr-FR"/>
        </w:rPr>
        <w:t>3.</w:t>
      </w:r>
      <w:r w:rsidRPr="00452EEE">
        <w:rPr>
          <w:lang w:val="fr-FR"/>
        </w:rPr>
        <w:tab/>
        <w:t xml:space="preserve">Les </w:t>
      </w:r>
      <w:r>
        <w:rPr>
          <w:lang w:val="fr-FR"/>
        </w:rPr>
        <w:t>valeurs</w:t>
      </w:r>
      <w:r w:rsidRPr="00452EEE">
        <w:rPr>
          <w:lang w:val="fr-FR"/>
        </w:rPr>
        <w:t xml:space="preserve"> </w:t>
      </w:r>
      <w:r>
        <w:rPr>
          <w:lang w:val="fr-FR"/>
        </w:rPr>
        <w:t>de résistance à l</w:t>
      </w:r>
      <w:r w:rsidR="00946FCA">
        <w:rPr>
          <w:lang w:val="fr-FR"/>
        </w:rPr>
        <w:t>’</w:t>
      </w:r>
      <w:r>
        <w:rPr>
          <w:lang w:val="fr-FR"/>
        </w:rPr>
        <w:t xml:space="preserve">avancement </w:t>
      </w:r>
      <w:r w:rsidRPr="00452EEE">
        <w:rPr>
          <w:lang w:val="fr-FR"/>
        </w:rPr>
        <w:t>utilisé</w:t>
      </w:r>
      <w:r>
        <w:rPr>
          <w:lang w:val="fr-FR"/>
        </w:rPr>
        <w:t>e</w:t>
      </w:r>
      <w:r w:rsidRPr="00452EEE">
        <w:rPr>
          <w:lang w:val="fr-FR"/>
        </w:rPr>
        <w:t>s aux fins de ces essais sont dérivé</w:t>
      </w:r>
      <w:r>
        <w:rPr>
          <w:lang w:val="fr-FR"/>
        </w:rPr>
        <w:t>e</w:t>
      </w:r>
      <w:r w:rsidRPr="00452EEE">
        <w:rPr>
          <w:lang w:val="fr-FR"/>
        </w:rPr>
        <w:t>s de ce</w:t>
      </w:r>
      <w:r>
        <w:rPr>
          <w:lang w:val="fr-FR"/>
        </w:rPr>
        <w:t>lles</w:t>
      </w:r>
      <w:r w:rsidRPr="00452EEE">
        <w:rPr>
          <w:lang w:val="fr-FR"/>
        </w:rPr>
        <w:t xml:space="preserve"> qui sont obtenu</w:t>
      </w:r>
      <w:r>
        <w:rPr>
          <w:lang w:val="fr-FR"/>
        </w:rPr>
        <w:t>e</w:t>
      </w:r>
      <w:r w:rsidRPr="00452EEE">
        <w:rPr>
          <w:lang w:val="fr-FR"/>
        </w:rPr>
        <w:t xml:space="preserve">s </w:t>
      </w:r>
      <w:r>
        <w:rPr>
          <w:lang w:val="fr-FR"/>
        </w:rPr>
        <w:t xml:space="preserve">conformément au RTM ONU </w:t>
      </w:r>
      <w:r w:rsidR="00946FCA" w:rsidRPr="004D0218">
        <w:rPr>
          <w:lang w:val="fr-FR"/>
        </w:rPr>
        <w:t>n</w:t>
      </w:r>
      <w:r w:rsidR="00946FCA" w:rsidRPr="00376AB3">
        <w:rPr>
          <w:vertAlign w:val="superscript"/>
          <w:lang w:val="fr-FR"/>
        </w:rPr>
        <w:t>o</w:t>
      </w:r>
      <w:r w:rsidR="00946FCA" w:rsidRPr="004D0218">
        <w:rPr>
          <w:lang w:val="fr-FR"/>
        </w:rPr>
        <w:t> </w:t>
      </w:r>
      <w:r>
        <w:rPr>
          <w:lang w:val="fr-FR"/>
        </w:rPr>
        <w:t>15 de façon à alléger les démarches des constructeurs</w:t>
      </w:r>
      <w:r w:rsidRPr="00452EEE">
        <w:rPr>
          <w:lang w:val="fr-FR"/>
        </w:rPr>
        <w:t>.</w:t>
      </w:r>
    </w:p>
    <w:p w14:paraId="182CC9BC" w14:textId="77777777" w:rsidR="00BC2E1E" w:rsidRDefault="003F01DE" w:rsidP="00362A99">
      <w:pPr>
        <w:pStyle w:val="SingleTxtG"/>
        <w:rPr>
          <w:lang w:val="fr-FR"/>
        </w:rPr>
      </w:pPr>
      <w:r w:rsidRPr="00E80911">
        <w:rPr>
          <w:lang w:val="fr-FR"/>
        </w:rPr>
        <w:t>4.</w:t>
      </w:r>
      <w:r w:rsidRPr="00E80911">
        <w:rPr>
          <w:lang w:val="fr-FR"/>
        </w:rPr>
        <w:tab/>
      </w:r>
      <w:r>
        <w:rPr>
          <w:lang w:val="fr-FR"/>
        </w:rPr>
        <w:t>L</w:t>
      </w:r>
      <w:r w:rsidRPr="00E80911">
        <w:rPr>
          <w:lang w:val="fr-FR"/>
        </w:rPr>
        <w:t xml:space="preserve">e complément proposé permettrait que les essais </w:t>
      </w:r>
      <w:r>
        <w:rPr>
          <w:lang w:val="fr-FR"/>
        </w:rPr>
        <w:t>NEDC</w:t>
      </w:r>
      <w:r w:rsidRPr="00E80911">
        <w:rPr>
          <w:lang w:val="fr-FR"/>
        </w:rPr>
        <w:t xml:space="preserve"> réalisés dans le cadre de la procédure de corrélation soient utilisés aux fins de l</w:t>
      </w:r>
      <w:r w:rsidR="00946FCA">
        <w:rPr>
          <w:lang w:val="fr-FR"/>
        </w:rPr>
        <w:t>’</w:t>
      </w:r>
      <w:r w:rsidRPr="00E80911">
        <w:rPr>
          <w:lang w:val="fr-FR"/>
        </w:rPr>
        <w:t xml:space="preserve">homologation au titre </w:t>
      </w:r>
      <w:r>
        <w:rPr>
          <w:lang w:val="fr-FR"/>
        </w:rPr>
        <w:t xml:space="preserve">du Règlement ONU </w:t>
      </w:r>
      <w:r w:rsidR="00946FCA" w:rsidRPr="004D0218">
        <w:rPr>
          <w:lang w:val="fr-FR"/>
        </w:rPr>
        <w:t>n</w:t>
      </w:r>
      <w:r w:rsidR="00946FCA" w:rsidRPr="00376AB3">
        <w:rPr>
          <w:vertAlign w:val="superscript"/>
          <w:lang w:val="fr-FR"/>
        </w:rPr>
        <w:t>o</w:t>
      </w:r>
      <w:r w:rsidR="00946FCA" w:rsidRPr="004D0218">
        <w:rPr>
          <w:lang w:val="fr-FR"/>
        </w:rPr>
        <w:t> </w:t>
      </w:r>
      <w:r w:rsidRPr="00E80911">
        <w:rPr>
          <w:lang w:val="fr-FR"/>
        </w:rPr>
        <w:t>101</w:t>
      </w:r>
      <w:r>
        <w:rPr>
          <w:lang w:val="fr-FR"/>
        </w:rPr>
        <w:t>, et décrit une méthode autorisée pour le calcul des données relatives à la résistance à l</w:t>
      </w:r>
      <w:r w:rsidR="00946FCA">
        <w:rPr>
          <w:lang w:val="fr-FR"/>
        </w:rPr>
        <w:t>’</w:t>
      </w:r>
      <w:r>
        <w:rPr>
          <w:lang w:val="fr-FR"/>
        </w:rPr>
        <w:t>avancement qui allégerait tout de même les démarches si aucun essai physique n</w:t>
      </w:r>
      <w:r w:rsidR="00946FCA">
        <w:rPr>
          <w:lang w:val="fr-FR"/>
        </w:rPr>
        <w:t>’</w:t>
      </w:r>
      <w:r>
        <w:rPr>
          <w:lang w:val="fr-FR"/>
        </w:rPr>
        <w:t>a eu lieu au cours de la procédure de corrélation</w:t>
      </w:r>
      <w:r w:rsidRPr="00E80911">
        <w:rPr>
          <w:lang w:val="fr-FR"/>
        </w:rPr>
        <w:t>.</w:t>
      </w:r>
    </w:p>
    <w:p w14:paraId="0943FEC7" w14:textId="77777777" w:rsidR="00946FCA" w:rsidRPr="00946FCA" w:rsidRDefault="00946FCA" w:rsidP="00946FCA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946FCA" w:rsidRPr="00946FCA" w:rsidSect="005D147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7C2B6" w14:textId="77777777" w:rsidR="00191746" w:rsidRDefault="00191746" w:rsidP="00F95C08">
      <w:pPr>
        <w:spacing w:line="240" w:lineRule="auto"/>
      </w:pPr>
    </w:p>
  </w:endnote>
  <w:endnote w:type="continuationSeparator" w:id="0">
    <w:p w14:paraId="5ADCBB46" w14:textId="77777777" w:rsidR="00191746" w:rsidRPr="00AC3823" w:rsidRDefault="00191746" w:rsidP="00AC3823">
      <w:pPr>
        <w:pStyle w:val="Footer"/>
      </w:pPr>
    </w:p>
  </w:endnote>
  <w:endnote w:type="continuationNotice" w:id="1">
    <w:p w14:paraId="3E3AFB52" w14:textId="77777777" w:rsidR="00191746" w:rsidRDefault="001917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2F82" w14:textId="77777777" w:rsidR="005D147A" w:rsidRPr="005D147A" w:rsidRDefault="005D147A" w:rsidP="005D147A">
    <w:pPr>
      <w:pStyle w:val="Footer"/>
      <w:tabs>
        <w:tab w:val="right" w:pos="9638"/>
      </w:tabs>
    </w:pPr>
    <w:r w:rsidRPr="005D147A">
      <w:rPr>
        <w:b/>
        <w:sz w:val="18"/>
      </w:rPr>
      <w:fldChar w:fldCharType="begin"/>
    </w:r>
    <w:r w:rsidRPr="005D147A">
      <w:rPr>
        <w:b/>
        <w:sz w:val="18"/>
      </w:rPr>
      <w:instrText xml:space="preserve"> PAGE  \* MERGEFORMAT </w:instrText>
    </w:r>
    <w:r w:rsidRPr="005D147A">
      <w:rPr>
        <w:b/>
        <w:sz w:val="18"/>
      </w:rPr>
      <w:fldChar w:fldCharType="separate"/>
    </w:r>
    <w:r w:rsidRPr="005D147A">
      <w:rPr>
        <w:b/>
        <w:noProof/>
        <w:sz w:val="18"/>
      </w:rPr>
      <w:t>2</w:t>
    </w:r>
    <w:r w:rsidRPr="005D147A">
      <w:rPr>
        <w:b/>
        <w:sz w:val="18"/>
      </w:rPr>
      <w:fldChar w:fldCharType="end"/>
    </w:r>
    <w:r>
      <w:rPr>
        <w:b/>
        <w:sz w:val="18"/>
      </w:rPr>
      <w:tab/>
    </w:r>
    <w:r>
      <w:t>GE.19-19099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3918F" w14:textId="77777777" w:rsidR="005D147A" w:rsidRPr="005D147A" w:rsidRDefault="005D147A" w:rsidP="005D147A">
    <w:pPr>
      <w:pStyle w:val="Footer"/>
      <w:tabs>
        <w:tab w:val="right" w:pos="9638"/>
      </w:tabs>
      <w:rPr>
        <w:b/>
        <w:sz w:val="18"/>
      </w:rPr>
    </w:pPr>
    <w:r>
      <w:t>GE.19-19099</w:t>
    </w:r>
    <w:r>
      <w:tab/>
    </w:r>
    <w:r w:rsidRPr="005D147A">
      <w:rPr>
        <w:b/>
        <w:sz w:val="18"/>
      </w:rPr>
      <w:fldChar w:fldCharType="begin"/>
    </w:r>
    <w:r w:rsidRPr="005D147A">
      <w:rPr>
        <w:b/>
        <w:sz w:val="18"/>
      </w:rPr>
      <w:instrText xml:space="preserve"> PAGE  \* MERGEFORMAT </w:instrText>
    </w:r>
    <w:r w:rsidRPr="005D147A">
      <w:rPr>
        <w:b/>
        <w:sz w:val="18"/>
      </w:rPr>
      <w:fldChar w:fldCharType="separate"/>
    </w:r>
    <w:r w:rsidRPr="005D147A">
      <w:rPr>
        <w:b/>
        <w:noProof/>
        <w:sz w:val="18"/>
      </w:rPr>
      <w:t>3</w:t>
    </w:r>
    <w:r w:rsidRPr="005D147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7A765" w14:textId="77777777" w:rsidR="007F20FA" w:rsidRPr="005D147A" w:rsidRDefault="005D147A" w:rsidP="005D147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5AF2D92" wp14:editId="3C740FA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19099  (</w:t>
    </w:r>
    <w:proofErr w:type="gramEnd"/>
    <w:r>
      <w:rPr>
        <w:sz w:val="20"/>
      </w:rPr>
      <w:t>F)    121119    251119</w:t>
    </w:r>
    <w:r>
      <w:rPr>
        <w:sz w:val="20"/>
      </w:rPr>
      <w:br/>
    </w:r>
    <w:r w:rsidRPr="005D147A">
      <w:rPr>
        <w:rFonts w:ascii="C39T30Lfz" w:hAnsi="C39T30Lfz"/>
        <w:sz w:val="56"/>
      </w:rPr>
      <w:t></w:t>
    </w:r>
    <w:r w:rsidRPr="005D147A">
      <w:rPr>
        <w:rFonts w:ascii="C39T30Lfz" w:hAnsi="C39T30Lfz"/>
        <w:sz w:val="56"/>
      </w:rPr>
      <w:t></w:t>
    </w:r>
    <w:r w:rsidRPr="005D147A">
      <w:rPr>
        <w:rFonts w:ascii="C39T30Lfz" w:hAnsi="C39T30Lfz"/>
        <w:sz w:val="56"/>
      </w:rPr>
      <w:t></w:t>
    </w:r>
    <w:r w:rsidRPr="005D147A">
      <w:rPr>
        <w:rFonts w:ascii="C39T30Lfz" w:hAnsi="C39T30Lfz"/>
        <w:sz w:val="56"/>
      </w:rPr>
      <w:t></w:t>
    </w:r>
    <w:r w:rsidRPr="005D147A">
      <w:rPr>
        <w:rFonts w:ascii="C39T30Lfz" w:hAnsi="C39T30Lfz"/>
        <w:sz w:val="56"/>
      </w:rPr>
      <w:t></w:t>
    </w:r>
    <w:r w:rsidRPr="005D147A">
      <w:rPr>
        <w:rFonts w:ascii="C39T30Lfz" w:hAnsi="C39T30Lfz"/>
        <w:sz w:val="56"/>
      </w:rPr>
      <w:t></w:t>
    </w:r>
    <w:r w:rsidRPr="005D147A">
      <w:rPr>
        <w:rFonts w:ascii="C39T30Lfz" w:hAnsi="C39T30Lfz"/>
        <w:sz w:val="56"/>
      </w:rPr>
      <w:t></w:t>
    </w:r>
    <w:r w:rsidRPr="005D147A">
      <w:rPr>
        <w:rFonts w:ascii="C39T30Lfz" w:hAnsi="C39T30Lfz"/>
        <w:sz w:val="56"/>
      </w:rPr>
      <w:t></w:t>
    </w:r>
    <w:r w:rsidRPr="005D147A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B8A77A7" wp14:editId="1A1D1BA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PE/2020/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20/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0ED09" w14:textId="77777777" w:rsidR="00191746" w:rsidRPr="00AC3823" w:rsidRDefault="0019174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AB11EF" w14:textId="77777777" w:rsidR="00191746" w:rsidRPr="00AC3823" w:rsidRDefault="0019174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215D021" w14:textId="77777777" w:rsidR="00191746" w:rsidRPr="00AC3823" w:rsidRDefault="00191746">
      <w:pPr>
        <w:spacing w:line="240" w:lineRule="auto"/>
        <w:rPr>
          <w:sz w:val="2"/>
          <w:szCs w:val="2"/>
        </w:rPr>
      </w:pPr>
    </w:p>
  </w:footnote>
  <w:footnote w:id="2">
    <w:p w14:paraId="69BADBA3" w14:textId="77777777" w:rsidR="00591AB0" w:rsidRPr="00591AB0" w:rsidRDefault="00591AB0">
      <w:pPr>
        <w:pStyle w:val="FootnoteText"/>
        <w:rPr>
          <w:szCs w:val="18"/>
        </w:rPr>
      </w:pPr>
      <w:r>
        <w:rPr>
          <w:rStyle w:val="FootnoteReference"/>
        </w:rPr>
        <w:tab/>
      </w:r>
      <w:r w:rsidRPr="00591AB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szCs w:val="18"/>
        </w:rPr>
        <w:t>Nouveau tirage pour raisons techniques (</w:t>
      </w:r>
      <w:r w:rsidR="00AE1303">
        <w:rPr>
          <w:szCs w:val="18"/>
        </w:rPr>
        <w:t>26 novembre 2019).</w:t>
      </w:r>
    </w:p>
  </w:footnote>
  <w:footnote w:id="3">
    <w:p w14:paraId="4088F3BA" w14:textId="77777777" w:rsidR="00591AB0" w:rsidRPr="00591AB0" w:rsidRDefault="00591AB0">
      <w:pPr>
        <w:pStyle w:val="FootnoteText"/>
      </w:pPr>
      <w:r>
        <w:rPr>
          <w:rStyle w:val="FootnoteReference"/>
        </w:rPr>
        <w:tab/>
      </w:r>
      <w:r w:rsidRPr="00591AB0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380757">
        <w:rPr>
          <w:lang w:val="fr-FR"/>
        </w:rPr>
        <w:t xml:space="preserve">Conformément au programme de travail du Comité des transports intérieurs pour </w:t>
      </w:r>
      <w:r>
        <w:rPr>
          <w:lang w:val="fr-FR"/>
        </w:rPr>
        <w:t>2020 tel qu’il figure dans le projet de budget-programme pour 2020</w:t>
      </w:r>
      <w:r w:rsidRPr="00380757">
        <w:rPr>
          <w:lang w:val="fr-FR"/>
        </w:rPr>
        <w:t xml:space="preserve"> </w:t>
      </w:r>
      <w:r>
        <w:rPr>
          <w:lang w:val="fr-FR"/>
        </w:rPr>
        <w:t>(</w:t>
      </w:r>
      <w:r w:rsidRPr="00380757">
        <w:rPr>
          <w:szCs w:val="18"/>
          <w:lang w:val="fr-FR"/>
        </w:rPr>
        <w:t>A/74/6 (</w:t>
      </w:r>
      <w:r>
        <w:rPr>
          <w:szCs w:val="18"/>
          <w:lang w:val="fr-FR"/>
        </w:rPr>
        <w:t>titre </w:t>
      </w:r>
      <w:r w:rsidRPr="00380757">
        <w:rPr>
          <w:szCs w:val="18"/>
          <w:lang w:val="fr-FR"/>
        </w:rPr>
        <w:t>V</w:t>
      </w:r>
      <w:r>
        <w:rPr>
          <w:szCs w:val="18"/>
          <w:lang w:val="fr-FR"/>
        </w:rPr>
        <w:t>, chap. </w:t>
      </w:r>
      <w:r w:rsidRPr="00380757">
        <w:rPr>
          <w:szCs w:val="18"/>
          <w:lang w:val="fr-FR"/>
        </w:rPr>
        <w:t>20) par</w:t>
      </w:r>
      <w:r>
        <w:rPr>
          <w:szCs w:val="18"/>
          <w:lang w:val="fr-FR"/>
        </w:rPr>
        <w:t>. </w:t>
      </w:r>
      <w:r w:rsidRPr="00380757">
        <w:rPr>
          <w:szCs w:val="18"/>
          <w:lang w:val="fr-FR"/>
        </w:rPr>
        <w:t>20.37</w:t>
      </w:r>
      <w:r>
        <w:rPr>
          <w:szCs w:val="18"/>
          <w:lang w:val="fr-FR"/>
        </w:rPr>
        <w:t>)</w:t>
      </w:r>
      <w:r w:rsidRPr="00380757">
        <w:rPr>
          <w:szCs w:val="18"/>
          <w:lang w:val="fr-FR"/>
        </w:rPr>
        <w:t>,</w:t>
      </w:r>
      <w:r w:rsidRPr="00380757">
        <w:rPr>
          <w:lang w:val="fr-FR"/>
        </w:rPr>
        <w:t xml:space="preserve"> le Forum mondial a pour mission d’élaborer, d’harmoniser et de mettre à jour les Règlements ONU en vue d’améliorer les caractéristiques fonctionnelles des véhicules.</w:t>
      </w:r>
      <w:r w:rsidRPr="00380757">
        <w:t xml:space="preserve"> </w:t>
      </w:r>
      <w:r w:rsidRPr="00380757">
        <w:rPr>
          <w:lang w:val="fr-FR"/>
        </w:rPr>
        <w:t>Le présent document est soumis en vertu de ce mandat.</w:t>
      </w:r>
    </w:p>
  </w:footnote>
  <w:footnote w:id="4">
    <w:p w14:paraId="60FAF58B" w14:textId="77777777" w:rsidR="003F01DE" w:rsidRPr="00CC643E" w:rsidRDefault="003F01DE" w:rsidP="003F01DE">
      <w:pPr>
        <w:pStyle w:val="FootnoteText"/>
        <w:tabs>
          <w:tab w:val="clear" w:pos="1021"/>
          <w:tab w:val="right" w:pos="1418"/>
        </w:tabs>
        <w:ind w:left="1560" w:hanging="567"/>
        <w:rPr>
          <w:lang w:val="fr-FR"/>
        </w:rPr>
      </w:pPr>
      <w:r w:rsidRPr="00380757">
        <w:rPr>
          <w:lang w:val="fr-FR"/>
        </w:rPr>
        <w:tab/>
      </w:r>
      <w:r>
        <w:rPr>
          <w:rStyle w:val="FootnoteReference"/>
        </w:rPr>
        <w:footnoteRef/>
      </w:r>
      <w:r w:rsidRPr="00CC643E">
        <w:rPr>
          <w:lang w:val="fr-FR"/>
        </w:rPr>
        <w:tab/>
      </w:r>
      <w:r>
        <w:rPr>
          <w:lang w:val="fr-FR"/>
        </w:rPr>
        <w:t xml:space="preserve">Selon la définition figurant </w:t>
      </w:r>
      <w:r w:rsidRPr="00CC643E">
        <w:rPr>
          <w:lang w:val="fr-FR"/>
        </w:rPr>
        <w:t>dans le RTM</w:t>
      </w:r>
      <w:r>
        <w:rPr>
          <w:lang w:val="fr-FR"/>
        </w:rPr>
        <w:t xml:space="preserve"> ONU</w:t>
      </w:r>
      <w:r w:rsidRPr="00CC643E">
        <w:rPr>
          <w:lang w:val="fr-FR"/>
        </w:rPr>
        <w:t xml:space="preserve"> </w:t>
      </w:r>
      <w:r w:rsidR="006C2A0F" w:rsidRPr="006C2A0F">
        <w:rPr>
          <w:rFonts w:eastAsia="MS Mincho"/>
          <w:szCs w:val="22"/>
          <w:lang w:val="fr-FR"/>
        </w:rPr>
        <w:t>n</w:t>
      </w:r>
      <w:r w:rsidR="006C2A0F" w:rsidRPr="006C2A0F">
        <w:rPr>
          <w:rFonts w:eastAsia="MS Mincho"/>
          <w:szCs w:val="22"/>
          <w:vertAlign w:val="superscript"/>
          <w:lang w:val="fr-FR"/>
        </w:rPr>
        <w:t>o</w:t>
      </w:r>
      <w:r w:rsidR="006C2A0F">
        <w:rPr>
          <w:lang w:val="fr-FR"/>
        </w:rPr>
        <w:t> </w:t>
      </w:r>
      <w:r w:rsidRPr="00CC643E">
        <w:rPr>
          <w:lang w:val="fr-FR"/>
        </w:rPr>
        <w:t>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2EDEF" w14:textId="45BDF884" w:rsidR="005D147A" w:rsidRPr="005D147A" w:rsidRDefault="00A029C5">
    <w:pPr>
      <w:pStyle w:val="Header"/>
    </w:pPr>
    <w:fldSimple w:instr=" TITLE  \* MERGEFORMAT ">
      <w:r>
        <w:t>ECE/TRANS/WP.29/GRPE/2020/6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2170D" w14:textId="5645A846" w:rsidR="005D147A" w:rsidRPr="005D147A" w:rsidRDefault="00A029C5" w:rsidP="005D147A">
    <w:pPr>
      <w:pStyle w:val="Header"/>
      <w:jc w:val="right"/>
    </w:pPr>
    <w:fldSimple w:instr=" TITLE  \* MERGEFORMAT ">
      <w:r>
        <w:t>ECE/TRANS/WP.29/GRPE/2020/6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46"/>
    <w:rsid w:val="00017F94"/>
    <w:rsid w:val="00023842"/>
    <w:rsid w:val="000334F9"/>
    <w:rsid w:val="00045FEB"/>
    <w:rsid w:val="0007796D"/>
    <w:rsid w:val="00086B5C"/>
    <w:rsid w:val="000B7790"/>
    <w:rsid w:val="00111F2F"/>
    <w:rsid w:val="0014365E"/>
    <w:rsid w:val="00143C66"/>
    <w:rsid w:val="00176178"/>
    <w:rsid w:val="00191746"/>
    <w:rsid w:val="001E0357"/>
    <w:rsid w:val="001F525A"/>
    <w:rsid w:val="00223272"/>
    <w:rsid w:val="0024779E"/>
    <w:rsid w:val="00257168"/>
    <w:rsid w:val="002744B8"/>
    <w:rsid w:val="00280939"/>
    <w:rsid w:val="002832AC"/>
    <w:rsid w:val="002B3837"/>
    <w:rsid w:val="002D7C93"/>
    <w:rsid w:val="00305801"/>
    <w:rsid w:val="00362A99"/>
    <w:rsid w:val="00382BDC"/>
    <w:rsid w:val="003916DE"/>
    <w:rsid w:val="003F01DE"/>
    <w:rsid w:val="00421996"/>
    <w:rsid w:val="00441C3B"/>
    <w:rsid w:val="00446FE5"/>
    <w:rsid w:val="00452396"/>
    <w:rsid w:val="00460B7B"/>
    <w:rsid w:val="004837D8"/>
    <w:rsid w:val="004C7CA2"/>
    <w:rsid w:val="004E2EED"/>
    <w:rsid w:val="004E468C"/>
    <w:rsid w:val="004F7FDF"/>
    <w:rsid w:val="00515D13"/>
    <w:rsid w:val="005505B7"/>
    <w:rsid w:val="00573BE5"/>
    <w:rsid w:val="0058615C"/>
    <w:rsid w:val="00586ED3"/>
    <w:rsid w:val="00591AB0"/>
    <w:rsid w:val="00596AA9"/>
    <w:rsid w:val="005D147A"/>
    <w:rsid w:val="005E6FCE"/>
    <w:rsid w:val="00624599"/>
    <w:rsid w:val="006C2A0F"/>
    <w:rsid w:val="006D63AC"/>
    <w:rsid w:val="0071601D"/>
    <w:rsid w:val="007646DC"/>
    <w:rsid w:val="007A62E6"/>
    <w:rsid w:val="007C6DD5"/>
    <w:rsid w:val="007F20FA"/>
    <w:rsid w:val="007F707A"/>
    <w:rsid w:val="0080684C"/>
    <w:rsid w:val="00871C75"/>
    <w:rsid w:val="008776DC"/>
    <w:rsid w:val="009446C0"/>
    <w:rsid w:val="00946FCA"/>
    <w:rsid w:val="009705C8"/>
    <w:rsid w:val="0097415C"/>
    <w:rsid w:val="009C1CF4"/>
    <w:rsid w:val="009F6B74"/>
    <w:rsid w:val="00A029C5"/>
    <w:rsid w:val="00A3029F"/>
    <w:rsid w:val="00A30353"/>
    <w:rsid w:val="00AC3823"/>
    <w:rsid w:val="00AC5ED2"/>
    <w:rsid w:val="00AE1303"/>
    <w:rsid w:val="00AE323C"/>
    <w:rsid w:val="00AF0CB5"/>
    <w:rsid w:val="00AF1E70"/>
    <w:rsid w:val="00B00181"/>
    <w:rsid w:val="00B00B0D"/>
    <w:rsid w:val="00B45F2E"/>
    <w:rsid w:val="00B765F7"/>
    <w:rsid w:val="00BA0CA9"/>
    <w:rsid w:val="00BC2E1E"/>
    <w:rsid w:val="00C02897"/>
    <w:rsid w:val="00C51132"/>
    <w:rsid w:val="00C6335F"/>
    <w:rsid w:val="00C82AA2"/>
    <w:rsid w:val="00C97039"/>
    <w:rsid w:val="00CA6C39"/>
    <w:rsid w:val="00D3439C"/>
    <w:rsid w:val="00DB1831"/>
    <w:rsid w:val="00DD3B5F"/>
    <w:rsid w:val="00DD3BFD"/>
    <w:rsid w:val="00DF6678"/>
    <w:rsid w:val="00E0299A"/>
    <w:rsid w:val="00E204AB"/>
    <w:rsid w:val="00E331D4"/>
    <w:rsid w:val="00E7253F"/>
    <w:rsid w:val="00E85C74"/>
    <w:rsid w:val="00E9036C"/>
    <w:rsid w:val="00EA6547"/>
    <w:rsid w:val="00EF2E22"/>
    <w:rsid w:val="00EF4F35"/>
    <w:rsid w:val="00F11DAA"/>
    <w:rsid w:val="00F35BAF"/>
    <w:rsid w:val="00F57C78"/>
    <w:rsid w:val="00F660DF"/>
    <w:rsid w:val="00F94664"/>
    <w:rsid w:val="00F9573C"/>
    <w:rsid w:val="00F95C08"/>
    <w:rsid w:val="00FD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6FBC8B"/>
  <w15:docId w15:val="{F14DC91B-DD31-4BDC-8A7F-958D75D4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5_G_6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BC2E1E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BC2E1E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3F01DE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para">
    <w:name w:val="para"/>
    <w:basedOn w:val="SingleTxtG"/>
    <w:link w:val="paraChar"/>
    <w:qFormat/>
    <w:rsid w:val="003F01DE"/>
    <w:pPr>
      <w:kinsoku/>
      <w:overflowPunct/>
      <w:autoSpaceDE/>
      <w:autoSpaceDN/>
      <w:adjustRightInd/>
      <w:snapToGrid/>
      <w:ind w:left="2268" w:hanging="1134"/>
    </w:pPr>
    <w:rPr>
      <w:rFonts w:eastAsia="MS Mincho"/>
    </w:rPr>
  </w:style>
  <w:style w:type="character" w:customStyle="1" w:styleId="paraChar">
    <w:name w:val="para Char"/>
    <w:link w:val="para"/>
    <w:rsid w:val="003F01DE"/>
    <w:rPr>
      <w:rFonts w:ascii="Times New Roman" w:eastAsia="MS Mincho" w:hAnsi="Times New Roman" w:cs="Times New Roman"/>
      <w:sz w:val="20"/>
      <w:szCs w:val="20"/>
      <w:lang w:eastAsia="en-US"/>
    </w:rPr>
  </w:style>
  <w:style w:type="paragraph" w:customStyle="1" w:styleId="WP29Para">
    <w:name w:val="_ WP.29Para"/>
    <w:basedOn w:val="SingleTxtG"/>
    <w:link w:val="WP29ParaChar"/>
    <w:qFormat/>
    <w:rsid w:val="003F01DE"/>
    <w:pPr>
      <w:kinsoku/>
      <w:overflowPunct/>
      <w:autoSpaceDE/>
      <w:autoSpaceDN/>
      <w:adjustRightInd/>
      <w:snapToGrid/>
      <w:ind w:left="2259" w:hanging="1125"/>
    </w:pPr>
    <w:rPr>
      <w:sz w:val="24"/>
      <w:lang w:eastAsia="de-DE"/>
    </w:rPr>
  </w:style>
  <w:style w:type="character" w:customStyle="1" w:styleId="WP29ParaChar">
    <w:name w:val="_ WP.29Para Char"/>
    <w:basedOn w:val="SingleTxtGChar"/>
    <w:link w:val="WP29Para"/>
    <w:rsid w:val="003F01DE"/>
    <w:rPr>
      <w:rFonts w:ascii="Times New Roman" w:eastAsiaTheme="minorHAnsi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ECE/TRANS/WP.29/GRPE/2020/6</vt:lpstr>
      <vt:lpstr>ECE/TRANS/WP.29/GRPE/2020/6</vt:lpstr>
    </vt:vector>
  </TitlesOfParts>
  <Company>DCM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ECE/TRANS/WP.29/GRPE/2020/6</dc:title>
  <dc:subject/>
  <dc:creator>Corinne ROBERT</dc:creator>
  <cp:keywords/>
  <cp:lastModifiedBy>Benedicte Boudol</cp:lastModifiedBy>
  <cp:revision>2</cp:revision>
  <cp:lastPrinted>2019-11-26T13:14:00Z</cp:lastPrinted>
  <dcterms:created xsi:type="dcterms:W3CDTF">2019-11-26T14:14:00Z</dcterms:created>
  <dcterms:modified xsi:type="dcterms:W3CDTF">2019-11-26T14:14:00Z</dcterms:modified>
</cp:coreProperties>
</file>