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D2F3055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432C037" w14:textId="77777777" w:rsidR="002D5AAC" w:rsidRDefault="002D5AAC" w:rsidP="009904D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A04FA49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C02A98D" w14:textId="77777777" w:rsidR="002D5AAC" w:rsidRDefault="009904D5" w:rsidP="009904D5">
            <w:pPr>
              <w:jc w:val="right"/>
            </w:pPr>
            <w:r w:rsidRPr="009904D5">
              <w:rPr>
                <w:sz w:val="40"/>
              </w:rPr>
              <w:t>ECE</w:t>
            </w:r>
            <w:r>
              <w:t>/TRANS/2020/5</w:t>
            </w:r>
          </w:p>
        </w:tc>
      </w:tr>
      <w:tr w:rsidR="002D5AAC" w:rsidRPr="003B2FBC" w14:paraId="292E476C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65E09DD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65F30BC" wp14:editId="7CDD7921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0AD4D16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3730AC0" w14:textId="3FF9D6B4" w:rsidR="009904D5" w:rsidRDefault="009904D5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EAE7FEB" w14:textId="376E53FB" w:rsidR="00311B0D" w:rsidRDefault="00311B0D" w:rsidP="00311B0D">
            <w:pPr>
              <w:rPr>
                <w:lang w:val="en-US"/>
              </w:rPr>
            </w:pPr>
            <w:r w:rsidRPr="00D36073">
              <w:rPr>
                <w:lang w:val="en-US"/>
              </w:rPr>
              <w:t>19 December 2019</w:t>
            </w:r>
          </w:p>
          <w:p w14:paraId="4F7045B6" w14:textId="77777777" w:rsidR="009904D5" w:rsidRDefault="009904D5" w:rsidP="009904D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12F286B" w14:textId="77777777" w:rsidR="009904D5" w:rsidRPr="008D53B6" w:rsidRDefault="009904D5" w:rsidP="009904D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F76B6B3" w14:textId="77777777" w:rsidR="009904D5" w:rsidRDefault="009904D5" w:rsidP="009904D5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84BE145" w14:textId="7E7E3E00" w:rsidR="009904D5" w:rsidRPr="007341F1" w:rsidRDefault="009904D5" w:rsidP="009904D5">
      <w:pPr>
        <w:spacing w:before="120"/>
        <w:rPr>
          <w:b/>
          <w:bCs/>
        </w:rPr>
      </w:pPr>
      <w:r w:rsidRPr="005B3DDE">
        <w:rPr>
          <w:sz w:val="28"/>
          <w:szCs w:val="28"/>
        </w:rPr>
        <w:t>Комитет по внутреннему транспорту</w:t>
      </w:r>
      <w:r>
        <w:rPr>
          <w:sz w:val="28"/>
          <w:szCs w:val="28"/>
        </w:rPr>
        <w:br/>
      </w:r>
      <w:r>
        <w:rPr>
          <w:b/>
          <w:bCs/>
        </w:rPr>
        <w:t xml:space="preserve">Восемьдесят </w:t>
      </w:r>
      <w:r w:rsidR="00605F27">
        <w:rPr>
          <w:b/>
          <w:bCs/>
        </w:rPr>
        <w:t>вторая</w:t>
      </w:r>
      <w:r>
        <w:rPr>
          <w:b/>
          <w:bCs/>
        </w:rPr>
        <w:t xml:space="preserve"> сессия</w:t>
      </w:r>
      <w:r>
        <w:rPr>
          <w:b/>
          <w:bCs/>
        </w:rPr>
        <w:br/>
      </w:r>
      <w:r>
        <w:t xml:space="preserve">Женева, </w:t>
      </w:r>
      <w:r w:rsidR="00605F27">
        <w:t>25</w:t>
      </w:r>
      <w:r w:rsidRPr="00605F27">
        <w:t>−2</w:t>
      </w:r>
      <w:r w:rsidR="00605F27">
        <w:t>8</w:t>
      </w:r>
      <w:r>
        <w:t xml:space="preserve"> февраля 20</w:t>
      </w:r>
      <w:r w:rsidR="00D36073" w:rsidRPr="00C5307F">
        <w:t>20</w:t>
      </w:r>
      <w:r>
        <w:t> года</w:t>
      </w:r>
      <w:r>
        <w:br/>
        <w:t>Пункт 4 e) i) предварительной повестки дня</w:t>
      </w:r>
      <w:r>
        <w:br/>
      </w:r>
      <w:r>
        <w:rPr>
          <w:b/>
          <w:bCs/>
        </w:rPr>
        <w:t>Стратегические вопросы горизонтальной политики</w:t>
      </w:r>
      <w:r>
        <w:rPr>
          <w:b/>
          <w:bCs/>
        </w:rPr>
        <w:br/>
        <w:t>или нормативного характера:</w:t>
      </w:r>
      <w:r>
        <w:rPr>
          <w:b/>
          <w:bCs/>
        </w:rPr>
        <w:br/>
        <w:t>окружающая среда, изменение климата и транспорт:</w:t>
      </w:r>
      <w:r>
        <w:rPr>
          <w:b/>
          <w:bCs/>
        </w:rPr>
        <w:br/>
        <w:t>последующая деятельность Комитета</w:t>
      </w:r>
      <w:r>
        <w:rPr>
          <w:b/>
          <w:bCs/>
        </w:rPr>
        <w:br/>
        <w:t>по внутреннему транспорту в контексте</w:t>
      </w:r>
      <w:r>
        <w:rPr>
          <w:b/>
          <w:bCs/>
        </w:rPr>
        <w:br/>
        <w:t>Повестки дня на период до 2030 года</w:t>
      </w:r>
    </w:p>
    <w:p w14:paraId="520DF1CD" w14:textId="77777777" w:rsidR="009904D5" w:rsidRPr="007341F1" w:rsidRDefault="009904D5" w:rsidP="009904D5">
      <w:pPr>
        <w:pStyle w:val="HChG"/>
      </w:pPr>
      <w:r>
        <w:tab/>
      </w:r>
      <w:r>
        <w:tab/>
      </w:r>
      <w:r>
        <w:rPr>
          <w:bCs/>
        </w:rPr>
        <w:t>Обновленная информация о мониторинге достижения связанных с транспортом целей в области устойчивого развития</w:t>
      </w:r>
    </w:p>
    <w:p w14:paraId="7C02283A" w14:textId="77777777" w:rsidR="009904D5" w:rsidRPr="00B720FF" w:rsidRDefault="009904D5" w:rsidP="009904D5">
      <w:pPr>
        <w:pStyle w:val="H1G"/>
      </w:pPr>
      <w:r>
        <w:tab/>
      </w:r>
      <w:r>
        <w:tab/>
      </w:r>
      <w:r>
        <w:rPr>
          <w:bCs/>
        </w:rPr>
        <w:t>Записка секретариата</w:t>
      </w:r>
      <w:r w:rsidRPr="005B3DDE">
        <w:rPr>
          <w:rStyle w:val="FootnoteReference"/>
          <w:b w:val="0"/>
          <w:position w:val="4"/>
          <w:szCs w:val="18"/>
          <w:vertAlign w:val="baseline"/>
        </w:rPr>
        <w:footnoteReference w:customMarkFollows="1" w:id="1"/>
        <w:t>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637"/>
      </w:tblGrid>
      <w:tr w:rsidR="009904D5" w:rsidRPr="00B720FF" w14:paraId="74086BBF" w14:textId="77777777" w:rsidTr="00496C8E">
        <w:trPr>
          <w:jc w:val="center"/>
        </w:trPr>
        <w:tc>
          <w:tcPr>
            <w:tcW w:w="9637" w:type="dxa"/>
            <w:shd w:val="clear" w:color="auto" w:fill="auto"/>
          </w:tcPr>
          <w:p w14:paraId="79CE2257" w14:textId="77777777" w:rsidR="009904D5" w:rsidRPr="00605F27" w:rsidRDefault="009904D5" w:rsidP="00496C8E">
            <w:pPr>
              <w:spacing w:before="240" w:after="120"/>
              <w:ind w:left="255"/>
              <w:rPr>
                <w:i/>
                <w:sz w:val="24"/>
                <w:szCs w:val="24"/>
              </w:rPr>
            </w:pPr>
            <w:r w:rsidRPr="00605F27">
              <w:rPr>
                <w:i/>
                <w:iCs/>
                <w:sz w:val="24"/>
                <w:szCs w:val="24"/>
              </w:rPr>
              <w:t>Резюме</w:t>
            </w:r>
          </w:p>
        </w:tc>
      </w:tr>
      <w:tr w:rsidR="009904D5" w:rsidRPr="0006358B" w14:paraId="4DB675C2" w14:textId="77777777" w:rsidTr="00496C8E">
        <w:trPr>
          <w:jc w:val="center"/>
        </w:trPr>
        <w:tc>
          <w:tcPr>
            <w:tcW w:w="9637" w:type="dxa"/>
            <w:shd w:val="clear" w:color="auto" w:fill="auto"/>
          </w:tcPr>
          <w:p w14:paraId="021A803E" w14:textId="77777777" w:rsidR="009904D5" w:rsidRPr="007341F1" w:rsidRDefault="009904D5" w:rsidP="00496C8E">
            <w:pPr>
              <w:pStyle w:val="SingleTxtG"/>
            </w:pPr>
            <w:r>
              <w:tab/>
            </w:r>
            <w:r>
              <w:tab/>
              <w:t xml:space="preserve">В настоящем документе содержится информация об основных изменениях, касающихся мониторинга осуществления Повестки дня в области устойчивого развития на период до 2030 года и достижения целей в области устойчивого развития, а также о вкладе Комитета по внутреннему транспорту (КВТ) и его вспомогательных органов. </w:t>
            </w:r>
          </w:p>
        </w:tc>
      </w:tr>
      <w:tr w:rsidR="009904D5" w:rsidRPr="0006358B" w14:paraId="34E211E8" w14:textId="77777777" w:rsidTr="00496C8E">
        <w:trPr>
          <w:jc w:val="center"/>
        </w:trPr>
        <w:tc>
          <w:tcPr>
            <w:tcW w:w="9637" w:type="dxa"/>
            <w:shd w:val="clear" w:color="auto" w:fill="auto"/>
          </w:tcPr>
          <w:p w14:paraId="6BD065E6" w14:textId="77777777" w:rsidR="009904D5" w:rsidRPr="007341F1" w:rsidRDefault="009904D5" w:rsidP="00496C8E">
            <w:pPr>
              <w:pStyle w:val="SingleTxtG"/>
            </w:pPr>
            <w:r>
              <w:tab/>
            </w:r>
            <w:r>
              <w:tab/>
              <w:t xml:space="preserve">В свете продолжающихся усилий по переориентации системы развития Организации Объединенных Наций в направлении содействия эффективному достижению целей в области устойчивого развития роль КВТ в решении глобальных транспортных вопросов, в том числе в рамках его нормативной, аналитической деятельности, деятельности по наращиванию потенциала и работы, связанной с вопросами политики, приобретает еще большее значение. Комитет, возможно, пожелает </w:t>
            </w:r>
            <w:r>
              <w:rPr>
                <w:b/>
                <w:bCs/>
              </w:rPr>
              <w:t>обсудить пути укрепления</w:t>
            </w:r>
            <w:r>
              <w:t xml:space="preserve"> своей роли и расширения вклада в решение связанных с транспортом задач в контексте Повестки дня на период до 2030 года.</w:t>
            </w:r>
          </w:p>
        </w:tc>
      </w:tr>
      <w:tr w:rsidR="009904D5" w:rsidRPr="0006358B" w14:paraId="245D5E49" w14:textId="77777777" w:rsidTr="00496C8E">
        <w:trPr>
          <w:jc w:val="center"/>
        </w:trPr>
        <w:tc>
          <w:tcPr>
            <w:tcW w:w="9637" w:type="dxa"/>
            <w:shd w:val="clear" w:color="auto" w:fill="auto"/>
          </w:tcPr>
          <w:p w14:paraId="5FD5B3BE" w14:textId="77777777" w:rsidR="009904D5" w:rsidRPr="007341F1" w:rsidRDefault="009904D5" w:rsidP="00496C8E"/>
        </w:tc>
      </w:tr>
    </w:tbl>
    <w:p w14:paraId="2CF6DD54" w14:textId="77777777" w:rsidR="009904D5" w:rsidRPr="007341F1" w:rsidRDefault="00EC369F" w:rsidP="009904D5">
      <w:pPr>
        <w:pStyle w:val="HChG"/>
      </w:pPr>
      <w:r>
        <w:rPr>
          <w:bCs/>
        </w:rPr>
        <w:lastRenderedPageBreak/>
        <w:tab/>
      </w:r>
      <w:r w:rsidR="009904D5">
        <w:rPr>
          <w:bCs/>
        </w:rPr>
        <w:t>I.</w:t>
      </w:r>
      <w:r w:rsidR="009904D5">
        <w:tab/>
      </w:r>
      <w:r w:rsidR="009904D5">
        <w:tab/>
      </w:r>
      <w:r w:rsidR="009904D5">
        <w:rPr>
          <w:bCs/>
        </w:rPr>
        <w:t>Повестка дня на период до 2030 года и роль Комитета</w:t>
      </w:r>
      <w:r>
        <w:rPr>
          <w:bCs/>
        </w:rPr>
        <w:br/>
      </w:r>
      <w:r w:rsidR="009904D5">
        <w:rPr>
          <w:bCs/>
        </w:rPr>
        <w:t>в отслеживании прогресса в достижении связанных</w:t>
      </w:r>
      <w:r>
        <w:rPr>
          <w:bCs/>
        </w:rPr>
        <w:br/>
      </w:r>
      <w:r w:rsidR="009904D5">
        <w:rPr>
          <w:bCs/>
        </w:rPr>
        <w:t>с транспортом целей в области устойчивого развития</w:t>
      </w:r>
    </w:p>
    <w:p w14:paraId="1595ABF2" w14:textId="77777777" w:rsidR="009904D5" w:rsidRPr="007341F1" w:rsidRDefault="009904D5" w:rsidP="009904D5">
      <w:pPr>
        <w:pStyle w:val="SingleTxtG"/>
      </w:pPr>
      <w:r>
        <w:t>1.</w:t>
      </w:r>
      <w:r>
        <w:tab/>
        <w:t>В 2015 году мировые лидеры утвердили 17 целей в области устойчивого развития и 169 соответствующих задач на период до 2030 года, которые призваны помочь человечеству вернуться на благородный путь устойчивого развития. Устойчивый транспорт и мобильность служат ключевыми элементами достижения целей в области устойчивого развития, о чем свидетельствуют результаты сопоставления деятельности Комитета по внутреннему транспорту (КВТ) Европейской экономической комиссии (ЕЭК) Организации Объединенных Наций с этими целями.</w:t>
      </w:r>
    </w:p>
    <w:p w14:paraId="29F220E2" w14:textId="77777777" w:rsidR="009904D5" w:rsidRPr="007341F1" w:rsidRDefault="009904D5" w:rsidP="009904D5">
      <w:pPr>
        <w:pStyle w:val="SingleTxtG"/>
      </w:pPr>
      <w:r>
        <w:t>2.</w:t>
      </w:r>
      <w:r>
        <w:tab/>
        <w:t>КВТ вносит непосредственный вклад в мониторинг реализации связанных с транспортом задач и достижения показателей трех целей в области устойчивого развития</w:t>
      </w:r>
      <w:r>
        <w:rPr>
          <w:rStyle w:val="FootnoteReference"/>
        </w:rPr>
        <w:footnoteReference w:id="2"/>
      </w:r>
      <w:r>
        <w:t>. Важность отслеживания прогресса и установления целевых показателей результативности для решения задач, предусмотренных целями в области устойчивого развития, была подчеркнута в резолюции A/70/260 Генеральной Ассамблеи Организации Объединенных Наций, принятой в апреле 2016 года.</w:t>
      </w:r>
    </w:p>
    <w:p w14:paraId="48E439E5" w14:textId="77777777" w:rsidR="009904D5" w:rsidRPr="007341F1" w:rsidRDefault="009904D5" w:rsidP="009904D5">
      <w:pPr>
        <w:pStyle w:val="SingleTxtG"/>
        <w:rPr>
          <w:szCs w:val="24"/>
        </w:rPr>
      </w:pPr>
      <w:r>
        <w:t>3.</w:t>
      </w:r>
      <w:r>
        <w:tab/>
        <w:t>В настоящем документе содержится подробная информация о вкладе КВТ</w:t>
      </w:r>
      <w:r w:rsidR="00EC369F">
        <w:br/>
      </w:r>
      <w:r>
        <w:t>в отслеживание прогресса в достижении целей в области устойчивого развития</w:t>
      </w:r>
      <w:r w:rsidR="00EC369F">
        <w:br/>
      </w:r>
      <w:r>
        <w:t>и о текущем положении дел.</w:t>
      </w:r>
    </w:p>
    <w:p w14:paraId="768DDE14" w14:textId="77777777" w:rsidR="009904D5" w:rsidRPr="007341F1" w:rsidRDefault="00EC369F" w:rsidP="009904D5">
      <w:pPr>
        <w:pStyle w:val="HChG"/>
      </w:pPr>
      <w:r>
        <w:rPr>
          <w:bCs/>
        </w:rPr>
        <w:tab/>
      </w:r>
      <w:r w:rsidR="009904D5">
        <w:rPr>
          <w:bCs/>
        </w:rPr>
        <w:t>II.</w:t>
      </w:r>
      <w:r w:rsidR="009904D5">
        <w:rPr>
          <w:bCs/>
        </w:rPr>
        <w:tab/>
      </w:r>
      <w:r w:rsidR="009904D5">
        <w:tab/>
      </w:r>
      <w:r w:rsidR="009904D5">
        <w:rPr>
          <w:bCs/>
        </w:rPr>
        <w:t>Связанные с транспортом цели в области устойчивого развития, соответствующие задачи и показатели</w:t>
      </w:r>
    </w:p>
    <w:p w14:paraId="3B8DA7F1" w14:textId="77777777" w:rsidR="009904D5" w:rsidRPr="007341F1" w:rsidRDefault="009904D5" w:rsidP="009904D5">
      <w:pPr>
        <w:pStyle w:val="SingleTxtG"/>
        <w:rPr>
          <w:szCs w:val="24"/>
        </w:rPr>
      </w:pPr>
      <w:r>
        <w:t>4.</w:t>
      </w:r>
      <w:r>
        <w:tab/>
        <w:t>В марте 2016 года было отобрано 230 показателей для оценки прогресса в деле достижения целей в области устойчивого развития. Впоследствии эти показатели были разбиты на три категории с учетом наличия исходных данных, а именно:</w:t>
      </w:r>
    </w:p>
    <w:p w14:paraId="447099FF" w14:textId="77777777" w:rsidR="009904D5" w:rsidRPr="007341F1" w:rsidRDefault="009904D5" w:rsidP="009904D5">
      <w:pPr>
        <w:pStyle w:val="Bullet1G"/>
        <w:numPr>
          <w:ilvl w:val="0"/>
          <w:numId w:val="22"/>
        </w:numPr>
      </w:pPr>
      <w:r>
        <w:t>уровень I: четко оформленный в концептуальном отношении показатель, имеются утвержденная методология и стандарты, а данные представляются странами на регулярной основе;</w:t>
      </w:r>
    </w:p>
    <w:p w14:paraId="2ED0B67C" w14:textId="77777777" w:rsidR="009904D5" w:rsidRPr="007341F1" w:rsidRDefault="009904D5" w:rsidP="009904D5">
      <w:pPr>
        <w:pStyle w:val="Bullet1G"/>
        <w:numPr>
          <w:ilvl w:val="0"/>
          <w:numId w:val="22"/>
        </w:numPr>
        <w:rPr>
          <w:b/>
        </w:rPr>
      </w:pPr>
      <w:r>
        <w:t>уровень II: четко оформленный в концептуальном отношении показатель, имеются утвержденная методология и стандарты, однако данные представляются странами нерегулярно;</w:t>
      </w:r>
    </w:p>
    <w:p w14:paraId="17F58DA3" w14:textId="77777777" w:rsidR="009904D5" w:rsidRPr="007341F1" w:rsidRDefault="009904D5" w:rsidP="009904D5">
      <w:pPr>
        <w:pStyle w:val="Bullet1G"/>
        <w:numPr>
          <w:ilvl w:val="0"/>
          <w:numId w:val="22"/>
        </w:numPr>
      </w:pPr>
      <w:r>
        <w:t>уровень III: показатель, в отношении которого утвержденная методология и стандарты отсутствуют либо методология/стандарты разрабатываются/</w:t>
      </w:r>
      <w:r w:rsidR="00EC369F" w:rsidRPr="00EC369F">
        <w:t xml:space="preserve"> </w:t>
      </w:r>
      <w:r>
        <w:t>апробируются.</w:t>
      </w:r>
    </w:p>
    <w:p w14:paraId="424770D8" w14:textId="77777777" w:rsidR="009904D5" w:rsidRPr="007341F1" w:rsidRDefault="009904D5" w:rsidP="009904D5">
      <w:pPr>
        <w:pStyle w:val="SingleTxtG"/>
        <w:rPr>
          <w:szCs w:val="24"/>
        </w:rPr>
      </w:pPr>
      <w:r>
        <w:t>5.</w:t>
      </w:r>
      <w:r>
        <w:tab/>
        <w:t>В рамках работы Комитета и его вспомогательных органов, особенно Рабочей группы по статистике транспорта (WP.6), ЕЭК в качестве учреждения-партнера участвует в мониторинге реализации следующих задач и достижения следующих показателей (более подробную информацию см. в приложении):</w:t>
      </w:r>
    </w:p>
    <w:p w14:paraId="49C0E503" w14:textId="77777777" w:rsidR="009904D5" w:rsidRPr="007341F1" w:rsidRDefault="009904D5" w:rsidP="009904D5">
      <w:pPr>
        <w:pStyle w:val="Bullet1G"/>
        <w:numPr>
          <w:ilvl w:val="0"/>
          <w:numId w:val="22"/>
        </w:numPr>
      </w:pPr>
      <w:r>
        <w:t xml:space="preserve">задачи 3.6: </w:t>
      </w:r>
      <w:r w:rsidR="00EC369F">
        <w:t>«</w:t>
      </w:r>
      <w:r>
        <w:t>К 2020 году вдвое сократить во всем мире число смертей и травм в результате дорожно-транспортных происшествий</w:t>
      </w:r>
      <w:r w:rsidR="00EC369F">
        <w:t>»</w:t>
      </w:r>
      <w:r>
        <w:t>, в частности</w:t>
      </w:r>
      <w:r w:rsidR="00EC369F">
        <w:br/>
      </w:r>
      <w:r>
        <w:t xml:space="preserve">показателя 3.6.1 (уровень I): </w:t>
      </w:r>
      <w:r w:rsidR="00EC369F">
        <w:t>«</w:t>
      </w:r>
      <w:r>
        <w:t>Смертность в результате дорожно-транспортных происшествий</w:t>
      </w:r>
      <w:r w:rsidR="00EC369F">
        <w:t>»</w:t>
      </w:r>
      <w:r>
        <w:t>;</w:t>
      </w:r>
    </w:p>
    <w:p w14:paraId="081E7611" w14:textId="77777777" w:rsidR="009904D5" w:rsidRPr="007341F1" w:rsidRDefault="009904D5" w:rsidP="009904D5">
      <w:pPr>
        <w:pStyle w:val="Bullet1G"/>
        <w:numPr>
          <w:ilvl w:val="0"/>
          <w:numId w:val="22"/>
        </w:numPr>
      </w:pPr>
      <w:r>
        <w:t xml:space="preserve">задачи 9.1: </w:t>
      </w:r>
      <w:r w:rsidR="00EC369F">
        <w:t>«</w:t>
      </w:r>
      <w:r>
        <w:t>Развивать качественную, надежную, устойчивую и стойкую инфраструктуру, включая региональную и трансграничную инфраструктуру,</w:t>
      </w:r>
      <w:r w:rsidR="00EC369F">
        <w:br/>
      </w:r>
      <w:bookmarkStart w:id="0" w:name="_GoBack"/>
      <w:bookmarkEnd w:id="0"/>
      <w:r>
        <w:lastRenderedPageBreak/>
        <w:t>в целях поддержки экономического развития и благополучия людей, уделяя особое внимание обеспечению недорогого и равноправного доступа для всех</w:t>
      </w:r>
      <w:r w:rsidR="00EC369F">
        <w:t>»</w:t>
      </w:r>
      <w:r>
        <w:t xml:space="preserve">, в частности показателя 9.1.1 (уровень III): </w:t>
      </w:r>
      <w:r w:rsidR="00EC369F">
        <w:t>«</w:t>
      </w:r>
      <w:r>
        <w:t>Доля сельского населения, проживающего в пределах 2 км от всесезонной дороги</w:t>
      </w:r>
      <w:r w:rsidR="00EC369F">
        <w:t>»</w:t>
      </w:r>
      <w:r>
        <w:t xml:space="preserve">, и показателя 9.1.2 (уровень I): </w:t>
      </w:r>
      <w:r w:rsidR="00EC369F">
        <w:t>«</w:t>
      </w:r>
      <w:r>
        <w:t>Объем пассажирских и грузовых перевозок в разбивке по видам транспорта</w:t>
      </w:r>
      <w:r w:rsidR="00EC369F">
        <w:t>»</w:t>
      </w:r>
      <w:r>
        <w:t>;</w:t>
      </w:r>
    </w:p>
    <w:p w14:paraId="13A412B7" w14:textId="77777777" w:rsidR="009904D5" w:rsidRPr="007341F1" w:rsidRDefault="009904D5" w:rsidP="009904D5">
      <w:pPr>
        <w:pStyle w:val="Bullet1G"/>
        <w:numPr>
          <w:ilvl w:val="0"/>
          <w:numId w:val="22"/>
        </w:numPr>
      </w:pPr>
      <w:r>
        <w:t>задачи 11.2: "К 2030 году обеспечить, чтобы все могли пользоваться безопасными, недорогими, доступными и экологически устойчивыми транспортными системами, на основе повышения безопасности дорожного движения, в частности расширения использования общественного транспорта, уделяя особое внимание нуждам тех, кто находится в уязвимом положении, женщин, детей, инвалидов и пожилых лиц</w:t>
      </w:r>
      <w:r w:rsidR="00EC369F">
        <w:t>»</w:t>
      </w:r>
      <w:r>
        <w:t xml:space="preserve">, в частности показателя 11.2.1 (уровень II): </w:t>
      </w:r>
      <w:r w:rsidR="00EC369F">
        <w:t>«</w:t>
      </w:r>
      <w:r>
        <w:t>Доля населения, имеющего удобный доступ к общественному транспорту, в разбивке по полу, возрасту и признаку инвалидности</w:t>
      </w:r>
      <w:r w:rsidR="00EC369F">
        <w:t>»</w:t>
      </w:r>
      <w:r>
        <w:t>.</w:t>
      </w:r>
    </w:p>
    <w:p w14:paraId="186EB439" w14:textId="77777777" w:rsidR="009904D5" w:rsidRPr="007341F1" w:rsidRDefault="00EC369F" w:rsidP="009904D5">
      <w:pPr>
        <w:pStyle w:val="HChG"/>
      </w:pPr>
      <w:r>
        <w:rPr>
          <w:bCs/>
        </w:rPr>
        <w:tab/>
      </w:r>
      <w:r w:rsidR="009904D5">
        <w:rPr>
          <w:bCs/>
        </w:rPr>
        <w:t>III.</w:t>
      </w:r>
      <w:r w:rsidR="009904D5">
        <w:rPr>
          <w:bCs/>
        </w:rPr>
        <w:tab/>
      </w:r>
      <w:r w:rsidR="009904D5">
        <w:tab/>
      </w:r>
      <w:r w:rsidR="009904D5">
        <w:rPr>
          <w:bCs/>
        </w:rPr>
        <w:t>Обновленная информация об основанной на показателях оценке прогресса в деле достижения связанных</w:t>
      </w:r>
      <w:r>
        <w:rPr>
          <w:bCs/>
        </w:rPr>
        <w:br/>
      </w:r>
      <w:r w:rsidR="009904D5">
        <w:rPr>
          <w:bCs/>
        </w:rPr>
        <w:t>с транспортом целей в области устойчивого развития</w:t>
      </w:r>
    </w:p>
    <w:p w14:paraId="6A04BBF5" w14:textId="77777777" w:rsidR="009904D5" w:rsidRPr="007341F1" w:rsidRDefault="00EC369F" w:rsidP="009904D5">
      <w:pPr>
        <w:pStyle w:val="H1G"/>
      </w:pPr>
      <w:r>
        <w:rPr>
          <w:bCs/>
        </w:rPr>
        <w:tab/>
      </w:r>
      <w:r w:rsidR="009904D5">
        <w:rPr>
          <w:bCs/>
        </w:rPr>
        <w:t>A.</w:t>
      </w:r>
      <w:r w:rsidR="009904D5">
        <w:tab/>
      </w:r>
      <w:r w:rsidR="009904D5">
        <w:tab/>
      </w:r>
      <w:r w:rsidR="009904D5">
        <w:rPr>
          <w:bCs/>
        </w:rPr>
        <w:t>Статус задачи 3.6, показателя 3.6.1 (безопасность дорожного движения)</w:t>
      </w:r>
    </w:p>
    <w:p w14:paraId="52AB8A42" w14:textId="77777777" w:rsidR="009904D5" w:rsidRPr="007341F1" w:rsidRDefault="00EC369F" w:rsidP="009904D5">
      <w:pPr>
        <w:pStyle w:val="H23G"/>
      </w:pPr>
      <w:r>
        <w:rPr>
          <w:bCs/>
        </w:rPr>
        <w:tab/>
      </w:r>
      <w:r w:rsidR="009904D5">
        <w:rPr>
          <w:bCs/>
        </w:rPr>
        <w:t>1.</w:t>
      </w:r>
      <w:r w:rsidR="009904D5">
        <w:tab/>
      </w:r>
      <w:r w:rsidR="009904D5">
        <w:tab/>
      </w:r>
      <w:r w:rsidR="009904D5">
        <w:rPr>
          <w:bCs/>
        </w:rPr>
        <w:t>Статус</w:t>
      </w:r>
    </w:p>
    <w:p w14:paraId="19E3E12B" w14:textId="77777777" w:rsidR="009904D5" w:rsidRPr="007341F1" w:rsidRDefault="009904D5" w:rsidP="009904D5">
      <w:pPr>
        <w:pStyle w:val="SingleTxtG"/>
      </w:pPr>
      <w:r>
        <w:t>6.</w:t>
      </w:r>
      <w:r>
        <w:tab/>
        <w:t>Согласно последним имеющимся данным, приведенным в</w:t>
      </w:r>
      <w:r w:rsidRPr="009F2FF3">
        <w:rPr>
          <w:i/>
        </w:rPr>
        <w:t xml:space="preserve"> Глобальном докладе ВОЗ о состоянии безопасности дорожного движения</w:t>
      </w:r>
      <w:r>
        <w:t xml:space="preserve"> за 2018 год, ежегодный показатель смертности в результате дорожно-транспортных происшествий достиг</w:t>
      </w:r>
      <w:r w:rsidR="00EC369F">
        <w:br/>
      </w:r>
      <w:r>
        <w:t>1,35 м</w:t>
      </w:r>
      <w:r w:rsidR="00EC369F">
        <w:t>лн</w:t>
      </w:r>
      <w:r>
        <w:t xml:space="preserve"> человек, при этом травматизм в результате дорожно-транспортных происшествий в настоящее время является основным фактором, приводящим к гибели людей в возрасте от 5 до 29 лет. Основной целью Десятилетия действий по обеспечению безопасности дорожного движения стала стабилизация, а затем и сокращение к 2020 году прогнозируемого уровня смертности в результате дорожно-транспортных происшествий во всем мире. Факты свидетельствуют о том, что решить задачу 3.6 мировое сообщество не сможет.</w:t>
      </w:r>
    </w:p>
    <w:p w14:paraId="5641E445" w14:textId="77777777" w:rsidR="009904D5" w:rsidRPr="007341F1" w:rsidRDefault="009904D5" w:rsidP="009904D5">
      <w:pPr>
        <w:pStyle w:val="SingleTxtG"/>
      </w:pPr>
      <w:r>
        <w:t>7.</w:t>
      </w:r>
      <w:r>
        <w:tab/>
        <w:t>Собранные ЕЭК региональные данные свидетельствуют о продолжающемся сокращении численности погибающих в результате дорожно-транспортных происшествиях в регионе ЕЭК (с более чем 154 000 в 2000 году до примерно</w:t>
      </w:r>
      <w:r w:rsidR="00EC369F">
        <w:br/>
      </w:r>
      <w:r>
        <w:t>105 000 в 2017 году, что на 2,4% меньше, чем в 2016 году). Данные за 2018 год уже имеются по 22 странам, причем в большинстве из них (в 16 странах) речь идет о дальнейшем сокращении, так что аналогичное снижение в 2018 году по сравнению с 2017 годом</w:t>
      </w:r>
      <w:r w:rsidRPr="00E34E4B">
        <w:t xml:space="preserve"> </w:t>
      </w:r>
      <w:r>
        <w:t xml:space="preserve">составит 5,4%. По данным за 2018 год, самой безопасной страной является Норвегия, где на </w:t>
      </w:r>
      <w:r w:rsidR="00EC369F">
        <w:t>1 млн</w:t>
      </w:r>
      <w:r>
        <w:t xml:space="preserve"> жителей приходится 20 смертей. В долгосрочной перспективе также наблюдается улучшение этих показателей, причем в период с 2010 по 2017 год сокращение составило почти 9%. В одних странах число погибших за этот период сократилось более чем на 40% (Беларусь, Греция и Норвегия), между тем как в других странах этот показатель не изменился или даже увеличился.</w:t>
      </w:r>
    </w:p>
    <w:p w14:paraId="38DF0701" w14:textId="77777777" w:rsidR="009904D5" w:rsidRDefault="00CE41C9" w:rsidP="00FF785C">
      <w:pPr>
        <w:pStyle w:val="H23G"/>
        <w:pageBreakBefore/>
        <w:spacing w:after="240"/>
        <w:rPr>
          <w:bCs/>
        </w:rPr>
      </w:pPr>
      <w:r>
        <w:lastRenderedPageBreak/>
        <w:tab/>
      </w:r>
      <w:r>
        <w:tab/>
      </w:r>
      <w:r w:rsidR="009904D5" w:rsidRPr="00CE41C9">
        <w:rPr>
          <w:b w:val="0"/>
        </w:rPr>
        <w:t>Рис. I</w:t>
      </w:r>
      <w:r>
        <w:br/>
      </w:r>
      <w:r w:rsidR="009904D5">
        <w:rPr>
          <w:bCs/>
        </w:rPr>
        <w:t>Численность погибших в дорожно-транспортных происшествиях,</w:t>
      </w:r>
      <w:r>
        <w:rPr>
          <w:bCs/>
        </w:rPr>
        <w:br/>
      </w:r>
      <w:r w:rsidR="009904D5">
        <w:rPr>
          <w:bCs/>
        </w:rPr>
        <w:t>ЕЭК и субрегионы, 2000–2017 годы</w:t>
      </w:r>
    </w:p>
    <w:p w14:paraId="5F1C8655" w14:textId="77777777" w:rsidR="009904D5" w:rsidRDefault="00FF785C" w:rsidP="009904D5">
      <w:pPr>
        <w:pStyle w:val="SingleTxt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58D45D" wp14:editId="2DD7AD55">
                <wp:simplePos x="0" y="0"/>
                <wp:positionH relativeFrom="column">
                  <wp:posOffset>4535805</wp:posOffset>
                </wp:positionH>
                <wp:positionV relativeFrom="paragraph">
                  <wp:posOffset>1563370</wp:posOffset>
                </wp:positionV>
                <wp:extent cx="1204595" cy="252095"/>
                <wp:effectExtent l="0" t="0" r="0" b="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459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50EB01DF" w14:textId="77777777" w:rsidR="00FF785C" w:rsidRPr="00FF785C" w:rsidRDefault="00FF785C" w:rsidP="00FF785C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FF785C">
                              <w:rPr>
                                <w:sz w:val="16"/>
                                <w:szCs w:val="16"/>
                              </w:rPr>
                              <w:t>Остальная часть региона ЕЭК ООН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58D45D"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left:0;text-align:left;margin-left:357.15pt;margin-top:123.1pt;width:94.85pt;height:1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" stroked="f">
                <v:stroke joinstyle="round"/>
                <v:path arrowok="t"/>
                <v:textbox inset="0,0,0,0">
                  <w:txbxContent>
                    <w:p w14:paraId="50EB01DF" w14:textId="77777777" w:rsidR="00FF785C" w:rsidRPr="00FF785C" w:rsidRDefault="00FF785C" w:rsidP="00FF785C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FF785C">
                        <w:rPr>
                          <w:sz w:val="16"/>
                          <w:szCs w:val="16"/>
                        </w:rPr>
                        <w:t>Остальная часть региона ЕЭК ООН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B36641" wp14:editId="0D66A3E2">
                <wp:simplePos x="0" y="0"/>
                <wp:positionH relativeFrom="column">
                  <wp:posOffset>3640455</wp:posOffset>
                </wp:positionH>
                <wp:positionV relativeFrom="paragraph">
                  <wp:posOffset>1620520</wp:posOffset>
                </wp:positionV>
                <wp:extent cx="581025" cy="228600"/>
                <wp:effectExtent l="0" t="0" r="9525" b="762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10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41F9DCB5" w14:textId="77777777" w:rsidR="00FF785C" w:rsidRPr="00FF785C" w:rsidRDefault="00FF785C" w:rsidP="00FF785C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FF785C">
                              <w:rPr>
                                <w:sz w:val="16"/>
                                <w:szCs w:val="16"/>
                              </w:rPr>
                              <w:t>ЕС+ЕАСТ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36641" id="Надпись 9" o:spid="_x0000_s1027" type="#_x0000_t202" style="position:absolute;left:0;text-align:left;margin-left:286.65pt;margin-top:127.6pt;width:45.7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" stroked="f">
                <v:stroke joinstyle="round"/>
                <v:path arrowok="t"/>
                <v:textbox style="mso-fit-shape-to-text:t" inset="0,0,0,0">
                  <w:txbxContent>
                    <w:p w14:paraId="41F9DCB5" w14:textId="77777777" w:rsidR="00FF785C" w:rsidRPr="00FF785C" w:rsidRDefault="00FF785C" w:rsidP="00FF785C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FF785C">
                        <w:rPr>
                          <w:sz w:val="16"/>
                          <w:szCs w:val="16"/>
                        </w:rPr>
                        <w:t>ЕС+ЕАСТ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A9C787" wp14:editId="4D58693F">
                <wp:simplePos x="0" y="0"/>
                <wp:positionH relativeFrom="column">
                  <wp:posOffset>2536825</wp:posOffset>
                </wp:positionH>
                <wp:positionV relativeFrom="paragraph">
                  <wp:posOffset>1618615</wp:posOffset>
                </wp:positionV>
                <wp:extent cx="829310" cy="228600"/>
                <wp:effectExtent l="0" t="0" r="8890" b="762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293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5E4000E6" w14:textId="287B6FD3" w:rsidR="00FF785C" w:rsidRPr="003B2FBC" w:rsidRDefault="003B2FBC" w:rsidP="00FF785C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Северная Америка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9C787" id="Надпись 8" o:spid="_x0000_s1028" type="#_x0000_t202" style="position:absolute;left:0;text-align:left;margin-left:199.75pt;margin-top:127.45pt;width:65.3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" stroked="f">
                <v:stroke joinstyle="round"/>
                <v:path arrowok="t"/>
                <v:textbox style="mso-fit-shape-to-text:t" inset="0,0,0,0">
                  <w:txbxContent>
                    <w:p w14:paraId="5E4000E6" w14:textId="287B6FD3" w:rsidR="00FF785C" w:rsidRPr="003B2FBC" w:rsidRDefault="003B2FBC" w:rsidP="00FF785C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Северная Америка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CA829B" wp14:editId="1B0163A8">
                <wp:simplePos x="0" y="0"/>
                <wp:positionH relativeFrom="column">
                  <wp:posOffset>1462405</wp:posOffset>
                </wp:positionH>
                <wp:positionV relativeFrom="paragraph">
                  <wp:posOffset>1624536</wp:posOffset>
                </wp:positionV>
                <wp:extent cx="829310" cy="228600"/>
                <wp:effectExtent l="0" t="0" r="8890" b="762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293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4036E284" w14:textId="77777777" w:rsidR="00FF785C" w:rsidRPr="00FF785C" w:rsidRDefault="00FF785C" w:rsidP="00FF785C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FF785C">
                              <w:rPr>
                                <w:sz w:val="16"/>
                                <w:szCs w:val="16"/>
                              </w:rPr>
                              <w:t>ЕЭК ООН в целом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A829B" id="Надпись 7" o:spid="_x0000_s1029" type="#_x0000_t202" style="position:absolute;left:0;text-align:left;margin-left:115.15pt;margin-top:127.9pt;width:65.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" stroked="f">
                <v:stroke joinstyle="round"/>
                <v:path arrowok="t"/>
                <v:textbox style="mso-fit-shape-to-text:t" inset="0,0,0,0">
                  <w:txbxContent>
                    <w:p w14:paraId="4036E284" w14:textId="77777777" w:rsidR="00FF785C" w:rsidRPr="00FF785C" w:rsidRDefault="00FF785C" w:rsidP="00FF785C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FF785C">
                        <w:rPr>
                          <w:sz w:val="16"/>
                          <w:szCs w:val="16"/>
                        </w:rPr>
                        <w:t>ЕЭК ООН в целом</w:t>
                      </w:r>
                    </w:p>
                  </w:txbxContent>
                </v:textbox>
              </v:shape>
            </w:pict>
          </mc:Fallback>
        </mc:AlternateContent>
      </w:r>
      <w:r w:rsidR="009904D5" w:rsidRPr="005935F0">
        <w:rPr>
          <w:noProof/>
          <w:sz w:val="24"/>
          <w:szCs w:val="24"/>
          <w:lang w:val="en-US" w:eastAsia="zh-CN"/>
        </w:rPr>
        <w:drawing>
          <wp:inline distT="0" distB="0" distL="0" distR="0" wp14:anchorId="26BF12D5" wp14:editId="0B424123">
            <wp:extent cx="5136515" cy="1870075"/>
            <wp:effectExtent l="0" t="0" r="6985" b="15875"/>
            <wp:docPr id="4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75821198-E230-4757-AD38-F3072EB0EAE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45A43F7" w14:textId="77777777" w:rsidR="009904D5" w:rsidRPr="00FF785C" w:rsidRDefault="009904D5" w:rsidP="00FF785C">
      <w:pPr>
        <w:pStyle w:val="SingleTxtG"/>
        <w:ind w:firstLine="170"/>
        <w:rPr>
          <w:i/>
          <w:sz w:val="18"/>
          <w:szCs w:val="18"/>
        </w:rPr>
      </w:pPr>
      <w:r w:rsidRPr="00FF785C">
        <w:rPr>
          <w:i/>
          <w:iCs/>
          <w:sz w:val="18"/>
          <w:szCs w:val="18"/>
        </w:rPr>
        <w:t>Источник</w:t>
      </w:r>
      <w:r w:rsidRPr="00FF785C">
        <w:rPr>
          <w:sz w:val="18"/>
          <w:szCs w:val="18"/>
        </w:rPr>
        <w:t>:</w:t>
      </w:r>
      <w:r w:rsidR="00FF785C" w:rsidRPr="00FF785C">
        <w:rPr>
          <w:sz w:val="18"/>
          <w:szCs w:val="18"/>
        </w:rPr>
        <w:t>  </w:t>
      </w:r>
      <w:r w:rsidRPr="00FF785C">
        <w:rPr>
          <w:sz w:val="18"/>
          <w:szCs w:val="18"/>
        </w:rPr>
        <w:t>Статистическая база данных Европейской экономической комиссии</w:t>
      </w:r>
      <w:r w:rsidR="00FF785C">
        <w:rPr>
          <w:sz w:val="18"/>
          <w:szCs w:val="18"/>
        </w:rPr>
        <w:t>.</w:t>
      </w:r>
    </w:p>
    <w:p w14:paraId="75EE59CE" w14:textId="77777777" w:rsidR="009904D5" w:rsidRPr="007341F1" w:rsidRDefault="00FF785C" w:rsidP="009904D5">
      <w:pPr>
        <w:pStyle w:val="H23G"/>
      </w:pPr>
      <w:r>
        <w:rPr>
          <w:bCs/>
        </w:rPr>
        <w:tab/>
      </w:r>
      <w:r w:rsidR="009904D5">
        <w:rPr>
          <w:bCs/>
        </w:rPr>
        <w:t>2.</w:t>
      </w:r>
      <w:r w:rsidR="009904D5">
        <w:tab/>
      </w:r>
      <w:r w:rsidR="009904D5">
        <w:tab/>
      </w:r>
      <w:r w:rsidR="009904D5">
        <w:rPr>
          <w:bCs/>
        </w:rPr>
        <w:t>Роль КВТ</w:t>
      </w:r>
    </w:p>
    <w:p w14:paraId="53F8366F" w14:textId="77777777" w:rsidR="009904D5" w:rsidRPr="007341F1" w:rsidRDefault="009904D5" w:rsidP="009904D5">
      <w:pPr>
        <w:pStyle w:val="SingleTxtG"/>
      </w:pPr>
      <w:r>
        <w:t>8.</w:t>
      </w:r>
      <w:r>
        <w:tab/>
        <w:t>Факты свидетельствуют о том, что страны, присоединившиеся к большему числу конвенций и соглашений, имеют более высокие показатели в области безопасности дорожного движения, подкрепленные юридически обязательным характером указанных правовых документов и передовым опытом, который лежит в основе разработки этих документов, что, в свою очередь, стимулирует благоприятные изменения на национальном уровне. В совокупности присоединение отдельных стран создает более согласованную нормативно-правовую базу на национальном и международном уровнях, что способствует развитию устойчивых систем внутреннего транспорта.</w:t>
      </w:r>
    </w:p>
    <w:p w14:paraId="744D313D" w14:textId="77777777" w:rsidR="009904D5" w:rsidRPr="007341F1" w:rsidRDefault="009904D5" w:rsidP="009904D5">
      <w:pPr>
        <w:pStyle w:val="SingleTxtG"/>
      </w:pPr>
      <w:r>
        <w:t>9.</w:t>
      </w:r>
      <w:r>
        <w:tab/>
        <w:t>КВТ занимается сбором и распространением среди государств – членов ЕЭК значительного объема статистической информации о безопасности дорожного движения, в том числе содержащейся в онлайновой статистической базе данных, а также подготовкой таких статистических публикаций, как «Статистика дорожно-транспортных происшествий в Европе и Северной Америке» и «</w:t>
      </w:r>
      <w:proofErr w:type="spellStart"/>
      <w:r>
        <w:t>Инфокарты</w:t>
      </w:r>
      <w:proofErr w:type="spellEnd"/>
      <w:r>
        <w:t xml:space="preserve"> транспортной статистики». ЕЭК на протяжении десятилетий собирает данные, связанные непосредственно с ДТП со смертельным исходом, как предусмотрено в этом показателе.</w:t>
      </w:r>
    </w:p>
    <w:p w14:paraId="5066E719" w14:textId="77777777" w:rsidR="009904D5" w:rsidRPr="007341F1" w:rsidRDefault="009424C5" w:rsidP="009904D5">
      <w:pPr>
        <w:pStyle w:val="H1G"/>
      </w:pPr>
      <w:r>
        <w:rPr>
          <w:bCs/>
        </w:rPr>
        <w:tab/>
      </w:r>
      <w:r w:rsidR="009904D5">
        <w:rPr>
          <w:bCs/>
        </w:rPr>
        <w:t>B.</w:t>
      </w:r>
      <w:r w:rsidR="009904D5">
        <w:tab/>
      </w:r>
      <w:r w:rsidR="009904D5">
        <w:tab/>
      </w:r>
      <w:r w:rsidR="009904D5">
        <w:rPr>
          <w:bCs/>
        </w:rPr>
        <w:t>Статус задачи 9.1, показателя 9.1.2 (объем пассажирских</w:t>
      </w:r>
      <w:r w:rsidR="00FF785C">
        <w:rPr>
          <w:bCs/>
        </w:rPr>
        <w:br/>
      </w:r>
      <w:r w:rsidR="009904D5">
        <w:rPr>
          <w:bCs/>
        </w:rPr>
        <w:t>и грузовых перевозок в разбивке по видам транспорта)</w:t>
      </w:r>
    </w:p>
    <w:p w14:paraId="16BC8054" w14:textId="77777777" w:rsidR="009904D5" w:rsidRPr="007341F1" w:rsidRDefault="009424C5" w:rsidP="009904D5">
      <w:pPr>
        <w:pStyle w:val="H23G"/>
      </w:pPr>
      <w:r>
        <w:rPr>
          <w:bCs/>
        </w:rPr>
        <w:tab/>
      </w:r>
      <w:r w:rsidR="009904D5">
        <w:rPr>
          <w:bCs/>
        </w:rPr>
        <w:t>1.</w:t>
      </w:r>
      <w:r w:rsidR="009904D5">
        <w:tab/>
      </w:r>
      <w:r w:rsidR="009904D5">
        <w:tab/>
      </w:r>
      <w:r w:rsidR="009904D5">
        <w:rPr>
          <w:bCs/>
        </w:rPr>
        <w:t>Статус</w:t>
      </w:r>
    </w:p>
    <w:p w14:paraId="5893CC9D" w14:textId="77777777" w:rsidR="009904D5" w:rsidRPr="007341F1" w:rsidRDefault="009904D5" w:rsidP="009904D5">
      <w:pPr>
        <w:pStyle w:val="SingleTxtG"/>
      </w:pPr>
      <w:r>
        <w:t>10.</w:t>
      </w:r>
      <w:r>
        <w:tab/>
        <w:t>Распределение грузов по видам внутреннего транспорта в регионе ЕЭК</w:t>
      </w:r>
      <w:r w:rsidR="00FF785C">
        <w:br/>
      </w:r>
      <w:r>
        <w:t>в разбивке по странам существенно различается; в некоторых странах почти</w:t>
      </w:r>
      <w:r w:rsidR="00FF785C">
        <w:br/>
      </w:r>
      <w:r>
        <w:t>100% грузов перевозятся автомобильным транспортом, тогда как в 10 других странах 50% и более внутренних грузовых перевозок осуществляются по внутренним водным путям или по железной дороге (данные по трубопроводам из этих расчетов исключаются в силу неравномерного охвата данных).</w:t>
      </w:r>
    </w:p>
    <w:p w14:paraId="391D826B" w14:textId="09002184" w:rsidR="009904D5" w:rsidRDefault="009904D5" w:rsidP="00CE41C9">
      <w:pPr>
        <w:pStyle w:val="H23G"/>
        <w:ind w:left="0" w:firstLine="0"/>
        <w:rPr>
          <w:bCs/>
        </w:rPr>
      </w:pPr>
      <w:r w:rsidRPr="00CE41C9">
        <w:rPr>
          <w:b w:val="0"/>
        </w:rPr>
        <w:lastRenderedPageBreak/>
        <w:t>Рис. II</w:t>
      </w:r>
      <w:r w:rsidR="00CE41C9">
        <w:br/>
      </w:r>
      <w:r>
        <w:rPr>
          <w:bCs/>
        </w:rPr>
        <w:t>Распределение грузовых перевозок по видам транспорта, страны ЕЭК</w:t>
      </w:r>
    </w:p>
    <w:p w14:paraId="3C21257A" w14:textId="77777777" w:rsidR="00CE41C9" w:rsidRDefault="00CE41C9" w:rsidP="00CE41C9">
      <w:pPr>
        <w:pStyle w:val="SingleTxtG"/>
        <w:ind w:left="0"/>
        <w:jc w:val="left"/>
        <w:rPr>
          <w:lang w:eastAsia="ru-RU"/>
        </w:rPr>
      </w:pPr>
      <w:r>
        <w:rPr>
          <w:noProof/>
        </w:rPr>
        <w:drawing>
          <wp:inline distT="0" distB="0" distL="0" distR="0" wp14:anchorId="08F440A9" wp14:editId="12C7ECEF">
            <wp:extent cx="6120130" cy="3234756"/>
            <wp:effectExtent l="0" t="0" r="13970" b="3810"/>
            <wp:docPr id="6" name="Диаграмма 6">
              <a:extLst xmlns:a="http://schemas.openxmlformats.org/drawingml/2006/main">
                <a:ext uri="{FF2B5EF4-FFF2-40B4-BE49-F238E27FC236}">
                  <a16:creationId xmlns:a16="http://schemas.microsoft.com/office/drawing/2014/main" id="{9170CA8E-9FD3-4D0F-860B-2E5C6197F0A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EA794A8" w14:textId="77777777" w:rsidR="009904D5" w:rsidRPr="00CE41C9" w:rsidRDefault="009904D5" w:rsidP="00CE41C9">
      <w:pPr>
        <w:spacing w:after="120"/>
        <w:ind w:right="1134" w:firstLine="170"/>
        <w:rPr>
          <w:i/>
          <w:sz w:val="18"/>
          <w:szCs w:val="18"/>
        </w:rPr>
      </w:pPr>
      <w:r w:rsidRPr="00CE41C9">
        <w:rPr>
          <w:i/>
          <w:iCs/>
          <w:sz w:val="18"/>
          <w:szCs w:val="18"/>
        </w:rPr>
        <w:t>Источник</w:t>
      </w:r>
      <w:r w:rsidRPr="00CE41C9">
        <w:rPr>
          <w:sz w:val="18"/>
          <w:szCs w:val="18"/>
        </w:rPr>
        <w:t>:</w:t>
      </w:r>
      <w:r w:rsidR="00CE41C9" w:rsidRPr="00CE41C9">
        <w:rPr>
          <w:sz w:val="18"/>
          <w:szCs w:val="18"/>
        </w:rPr>
        <w:t>  </w:t>
      </w:r>
      <w:r w:rsidRPr="00CE41C9">
        <w:rPr>
          <w:sz w:val="18"/>
          <w:szCs w:val="18"/>
        </w:rPr>
        <w:t>Статистическая база данных Европейской экономической комиссии</w:t>
      </w:r>
      <w:r w:rsidR="00CE41C9" w:rsidRPr="00CE41C9">
        <w:rPr>
          <w:sz w:val="18"/>
          <w:szCs w:val="18"/>
        </w:rPr>
        <w:t>.</w:t>
      </w:r>
    </w:p>
    <w:p w14:paraId="5DFEDAFA" w14:textId="028C53F6" w:rsidR="009904D5" w:rsidRPr="007341F1" w:rsidRDefault="009904D5" w:rsidP="00CE41C9">
      <w:pPr>
        <w:pStyle w:val="SingleTxtG"/>
        <w:spacing w:before="240"/>
      </w:pPr>
      <w:r>
        <w:t>11.</w:t>
      </w:r>
      <w:r>
        <w:tab/>
        <w:t>Что касается пассажирских перевозок, то их распределение по видам транспорта в регионе ЕЭК рассчитать сложно из-за неодинаковой доступности данных, однако в последние годы их объем в целом оставался стабильным и распределялся между железнодорожным и автомобильным транспортом, причем</w:t>
      </w:r>
      <w:r w:rsidR="00FF785C">
        <w:br/>
      </w:r>
      <w:r>
        <w:t xml:space="preserve">на долю железных дорог приходилось примерно 5–7% </w:t>
      </w:r>
      <w:proofErr w:type="spellStart"/>
      <w:r>
        <w:t>пассажиро</w:t>
      </w:r>
      <w:proofErr w:type="spellEnd"/>
      <w:r>
        <w:t>-километров.</w:t>
      </w:r>
      <w:r w:rsidR="00CE41C9">
        <w:br/>
      </w:r>
      <w:r>
        <w:t xml:space="preserve">Эта оценка доли автомобильного транспорта, возможно, занижена, поскольку некоторые страны сообщают об общем числе </w:t>
      </w:r>
      <w:proofErr w:type="spellStart"/>
      <w:r>
        <w:t>пассажиро</w:t>
      </w:r>
      <w:proofErr w:type="spellEnd"/>
      <w:r>
        <w:t>-километров, не учитывая использования частных легковых автомобилей.</w:t>
      </w:r>
    </w:p>
    <w:p w14:paraId="1523A2E2" w14:textId="77777777" w:rsidR="009904D5" w:rsidRPr="007341F1" w:rsidRDefault="00CE41C9" w:rsidP="00CE41C9">
      <w:pPr>
        <w:pStyle w:val="H23G"/>
      </w:pPr>
      <w:r>
        <w:tab/>
      </w:r>
      <w:r w:rsidR="009904D5">
        <w:t>2.</w:t>
      </w:r>
      <w:r w:rsidR="009904D5">
        <w:tab/>
      </w:r>
      <w:r w:rsidR="009904D5">
        <w:tab/>
        <w:t>Роль КВТ</w:t>
      </w:r>
    </w:p>
    <w:p w14:paraId="132C6776" w14:textId="77777777" w:rsidR="009904D5" w:rsidRPr="007341F1" w:rsidRDefault="009904D5" w:rsidP="009904D5">
      <w:pPr>
        <w:pStyle w:val="SingleTxtG"/>
      </w:pPr>
      <w:r>
        <w:t>12.</w:t>
      </w:r>
      <w:r>
        <w:tab/>
        <w:t xml:space="preserve">Посредством своей работы в рамках WP.6 КВТ осуществляет сбор значительного объема данных по статистике транспорта с </w:t>
      </w:r>
      <w:proofErr w:type="spellStart"/>
      <w:r>
        <w:t>уделением</w:t>
      </w:r>
      <w:proofErr w:type="spellEnd"/>
      <w:r>
        <w:t xml:space="preserve"> особого внимания доле пассажирских и грузовых перевозок в государствах – членах ЕЭК, которые вносятся в онлайновую статистическую базу данных; к числу же выпускаемых статистических публикаций относятся, в частности, «Бюллетень европейской и североамериканской статистики транспорта» и «</w:t>
      </w:r>
      <w:proofErr w:type="spellStart"/>
      <w:r>
        <w:t>Инфокарты</w:t>
      </w:r>
      <w:proofErr w:type="spellEnd"/>
      <w:r>
        <w:t xml:space="preserve"> транспортной статистики». ЕЭК на протяжении десятилетий занимается сбором и оценкой данных, связанных непосредственно с объемами пассажирских и грузовых перевозок, как предусмотрено в этом показателе.</w:t>
      </w:r>
    </w:p>
    <w:p w14:paraId="2989C58D" w14:textId="77777777" w:rsidR="009904D5" w:rsidRPr="007341F1" w:rsidRDefault="009904D5" w:rsidP="009904D5">
      <w:pPr>
        <w:pStyle w:val="SingleTxtG"/>
      </w:pPr>
      <w:r>
        <w:t>13.</w:t>
      </w:r>
      <w:r>
        <w:tab/>
        <w:t>Этот показатель целей в области устойчивого развития в настоящее время не нашел отражения ни в одном из стандартов или руководящих указаний на международном уровне, хотя он и является одним из показателей уровня 1. На своей сессии в 2019 году WP.6 постановила усовершенствовать руководящие указания по этому вопросу как на международном, так и на национальном уровне. Секретариат уже подготовил вики-страницу с подробным описанием национальных подходов к мониторингу этого показателя, с тем чтобы страны могли ознакомиться с соответствующими примерами. В настоящее время секретариат разрабатывает рамочную основу для национального мониторинга этого показателя, которую планирует опубликовать в 2020 году.</w:t>
      </w:r>
    </w:p>
    <w:p w14:paraId="256C8818" w14:textId="77777777" w:rsidR="009904D5" w:rsidRPr="007341F1" w:rsidRDefault="009904D5" w:rsidP="009424C5">
      <w:pPr>
        <w:pStyle w:val="SingleTxtG"/>
        <w:pageBreakBefore/>
      </w:pPr>
      <w:r>
        <w:lastRenderedPageBreak/>
        <w:t>14.</w:t>
      </w:r>
      <w:r>
        <w:tab/>
        <w:t>Кроме того, в рамках деятельности Рабочей группы по тенденциям и экономике транспорта (WP.5) в области адаптации к изменению климата КВТ подготовил стратегические рекомендации, нацеленные на повышение устойчивости систем международных перевозок в долгосрочной перспективе, и определил оптимальные примеры национальных стратегий, направленных на уменьшение уязвимости транспортных сетей, для правительств государств-членов, включая развивающиеся страны и страны, не имеющие выхода к морю, а также малые островные государства.</w:t>
      </w:r>
    </w:p>
    <w:p w14:paraId="4FADBA57" w14:textId="77777777" w:rsidR="009904D5" w:rsidRPr="007341F1" w:rsidRDefault="009424C5" w:rsidP="009904D5">
      <w:pPr>
        <w:pStyle w:val="HChG"/>
      </w:pPr>
      <w:r>
        <w:rPr>
          <w:bCs/>
        </w:rPr>
        <w:tab/>
      </w:r>
      <w:r w:rsidR="009904D5">
        <w:rPr>
          <w:bCs/>
        </w:rPr>
        <w:t>IV.</w:t>
      </w:r>
      <w:r w:rsidR="009904D5">
        <w:rPr>
          <w:bCs/>
        </w:rPr>
        <w:tab/>
      </w:r>
      <w:r w:rsidR="009904D5">
        <w:tab/>
      </w:r>
      <w:r w:rsidR="009904D5">
        <w:rPr>
          <w:bCs/>
        </w:rPr>
        <w:t>Вывод: повышение роли Комитета в деле достижения связанных с транспортом целей в области устойчивого развития</w:t>
      </w:r>
    </w:p>
    <w:p w14:paraId="56D2693B" w14:textId="77777777" w:rsidR="009904D5" w:rsidRPr="007341F1" w:rsidRDefault="009904D5" w:rsidP="009904D5">
      <w:pPr>
        <w:pStyle w:val="SingleTxtG"/>
        <w:rPr>
          <w:szCs w:val="24"/>
        </w:rPr>
      </w:pPr>
      <w:r>
        <w:t>15.</w:t>
      </w:r>
      <w:r>
        <w:tab/>
        <w:t>Комитет принимает непосредственное участие в крупных глобальных мероприятиях по отслеживанию прогресса в деле достижения связанных с транспортом целей в области устойчивого развития. Одна из целей Стратегии КВТ на период до 2030 года, принятой в 2019 году, заключается в содействии достижению целей в области устойчивого развития. В целом работа КВТ и его вспомогательных органов непосредственно связана с 14 из 17 целей в области устойчивого развития. Вместе с тем сохраняются серьезные пробелы с точки зрения потенциала и реализации, которые необходимо заполнить, с тем чтобы устойчивые транспортные системы и мобильность в полной мере могли играть отведенную им роль в глобальных усилиях по обеспечению устойчивости.</w:t>
      </w:r>
    </w:p>
    <w:p w14:paraId="611BDD2A" w14:textId="77777777" w:rsidR="009904D5" w:rsidRPr="007341F1" w:rsidRDefault="009904D5" w:rsidP="009904D5">
      <w:pPr>
        <w:pStyle w:val="SingleTxtG"/>
        <w:rPr>
          <w:szCs w:val="24"/>
        </w:rPr>
      </w:pPr>
      <w:r>
        <w:t>16.</w:t>
      </w:r>
      <w:r>
        <w:tab/>
        <w:t>Комитет, возможно, пожелает предложить государствам-членам выступить за усиление роли КВТ и его вспомогательных органов, особенно WP.6, в мониторинге достижения целей и поручить секретариату увеличить его вклад в реализацию текущей системы отслеживания прогресса в достижении целей в области устойчивого развития.</w:t>
      </w:r>
    </w:p>
    <w:p w14:paraId="05008135" w14:textId="77777777" w:rsidR="009904D5" w:rsidRPr="007341F1" w:rsidRDefault="009904D5" w:rsidP="009424C5">
      <w:pPr>
        <w:pStyle w:val="HChG"/>
        <w:pageBreakBefore/>
      </w:pPr>
      <w:r w:rsidRPr="00930509">
        <w:lastRenderedPageBreak/>
        <w:t>Приложение</w:t>
      </w:r>
    </w:p>
    <w:p w14:paraId="7F6985C6" w14:textId="77777777" w:rsidR="009904D5" w:rsidRPr="007341F1" w:rsidRDefault="009904D5" w:rsidP="009904D5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szCs w:val="28"/>
        </w:rPr>
      </w:pPr>
      <w:r>
        <w:tab/>
      </w:r>
      <w:r>
        <w:tab/>
      </w:r>
      <w:r w:rsidRPr="00930509">
        <w:rPr>
          <w:b/>
          <w:bCs/>
          <w:sz w:val="28"/>
          <w:szCs w:val="28"/>
        </w:rPr>
        <w:t>Связанные с транспортом цели в области устойчивого развития, соответствующие задачи и показатели</w:t>
      </w:r>
    </w:p>
    <w:p w14:paraId="0E3DEDA0" w14:textId="77777777" w:rsidR="009904D5" w:rsidRPr="007341F1" w:rsidRDefault="009904D5" w:rsidP="009904D5">
      <w:pPr>
        <w:pStyle w:val="SingleTxtG"/>
        <w:ind w:firstLine="397"/>
        <w:rPr>
          <w:szCs w:val="24"/>
        </w:rPr>
      </w:pPr>
      <w:r>
        <w:t>В марте 2016 года было разработано 230 показателей для оценки прогресса в деле достижения целей в области устойчивого развития. Впоследствии эти показатели были разбиты на три категории на основе наличия исходных данных:</w:t>
      </w:r>
    </w:p>
    <w:p w14:paraId="78D1CDCA" w14:textId="77777777" w:rsidR="009904D5" w:rsidRPr="007341F1" w:rsidRDefault="009904D5" w:rsidP="009904D5">
      <w:pPr>
        <w:pStyle w:val="Bullet1G"/>
        <w:numPr>
          <w:ilvl w:val="0"/>
          <w:numId w:val="22"/>
        </w:numPr>
      </w:pPr>
      <w:r>
        <w:t>уровень I: четко оформленный в концептуальном отношении показатель, имеются утвержденная методология и стандарты, а данные представляются странами на регулярной основе;</w:t>
      </w:r>
    </w:p>
    <w:p w14:paraId="23D0C734" w14:textId="77777777" w:rsidR="009904D5" w:rsidRPr="007341F1" w:rsidRDefault="009904D5" w:rsidP="009904D5">
      <w:pPr>
        <w:pStyle w:val="Bullet1G"/>
        <w:numPr>
          <w:ilvl w:val="0"/>
          <w:numId w:val="22"/>
        </w:numPr>
        <w:rPr>
          <w:b/>
        </w:rPr>
      </w:pPr>
      <w:r>
        <w:t>уровень II: четко оформленный в концептуальном отношении показатель, имеются утвержденная методология и стандарты, однако данные представляются странами нерегулярно;</w:t>
      </w:r>
    </w:p>
    <w:p w14:paraId="1B76E372" w14:textId="77777777" w:rsidR="009904D5" w:rsidRPr="0017011E" w:rsidRDefault="009904D5" w:rsidP="009904D5">
      <w:pPr>
        <w:pStyle w:val="Bullet1G"/>
        <w:numPr>
          <w:ilvl w:val="0"/>
          <w:numId w:val="22"/>
        </w:numPr>
        <w:rPr>
          <w:b/>
        </w:rPr>
      </w:pPr>
      <w:r>
        <w:t>уровень III: показатель, в отношении которого утвержденная методология и стандарты отсутствуют либо методология/стандарты разрабатываются/</w:t>
      </w:r>
      <w:r w:rsidRPr="00D042F6">
        <w:t xml:space="preserve"> </w:t>
      </w:r>
      <w:r>
        <w:t>апробируются.</w:t>
      </w:r>
    </w:p>
    <w:tbl>
      <w:tblPr>
        <w:tblStyle w:val="TableGrid"/>
        <w:tblW w:w="8505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9904D5" w:rsidRPr="00B720FF" w14:paraId="139CFFA2" w14:textId="77777777" w:rsidTr="00496C8E">
        <w:trPr>
          <w:cantSplit/>
          <w:tblHeader/>
        </w:trPr>
        <w:tc>
          <w:tcPr>
            <w:tcW w:w="850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B003FD1" w14:textId="77777777" w:rsidR="009904D5" w:rsidRPr="00FF785C" w:rsidRDefault="009904D5" w:rsidP="00FF785C">
            <w:pPr>
              <w:spacing w:before="80" w:after="80" w:line="200" w:lineRule="exact"/>
              <w:ind w:left="6" w:right="113"/>
              <w:rPr>
                <w:i/>
                <w:sz w:val="16"/>
                <w:szCs w:val="16"/>
              </w:rPr>
            </w:pPr>
            <w:r w:rsidRPr="00FF785C">
              <w:rPr>
                <w:i/>
                <w:iCs/>
                <w:sz w:val="16"/>
                <w:szCs w:val="16"/>
              </w:rPr>
              <w:t>Цели, связанные с транспортом</w:t>
            </w:r>
          </w:p>
        </w:tc>
      </w:tr>
      <w:tr w:rsidR="009904D5" w:rsidRPr="0006358B" w14:paraId="04B84ADB" w14:textId="77777777" w:rsidTr="00496C8E">
        <w:trPr>
          <w:cantSplit/>
        </w:trPr>
        <w:tc>
          <w:tcPr>
            <w:tcW w:w="850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907A101" w14:textId="47E031B8" w:rsidR="009904D5" w:rsidRPr="007341F1" w:rsidRDefault="009904D5" w:rsidP="00FF785C">
            <w:pPr>
              <w:spacing w:before="40" w:after="120"/>
              <w:ind w:left="856" w:right="113" w:hanging="854"/>
            </w:pPr>
            <w:r>
              <w:rPr>
                <w:b/>
                <w:bCs/>
              </w:rPr>
              <w:t>Цель 3.</w:t>
            </w:r>
            <w:r w:rsidR="00FF785C">
              <w:rPr>
                <w:b/>
                <w:bCs/>
              </w:rPr>
              <w:tab/>
            </w:r>
            <w:r>
              <w:rPr>
                <w:b/>
                <w:bCs/>
              </w:rPr>
              <w:t>Обеспечение здорового образа жизни и содействие благополучию для всех</w:t>
            </w:r>
            <w:r w:rsidR="00EF65EB">
              <w:rPr>
                <w:b/>
                <w:bCs/>
              </w:rPr>
              <w:br/>
            </w:r>
            <w:r>
              <w:rPr>
                <w:b/>
                <w:bCs/>
              </w:rPr>
              <w:t>в любом возрасте</w:t>
            </w:r>
          </w:p>
        </w:tc>
      </w:tr>
      <w:tr w:rsidR="009904D5" w:rsidRPr="0006358B" w14:paraId="3414482D" w14:textId="77777777" w:rsidTr="00496C8E">
        <w:trPr>
          <w:cantSplit/>
        </w:trPr>
        <w:tc>
          <w:tcPr>
            <w:tcW w:w="8505" w:type="dxa"/>
            <w:tcBorders>
              <w:top w:val="single" w:sz="4" w:space="0" w:color="auto"/>
            </w:tcBorders>
            <w:shd w:val="clear" w:color="auto" w:fill="auto"/>
          </w:tcPr>
          <w:p w14:paraId="2D1C5C79" w14:textId="77777777" w:rsidR="009904D5" w:rsidRPr="007341F1" w:rsidRDefault="009904D5" w:rsidP="00BF2AA2">
            <w:pPr>
              <w:spacing w:before="40" w:after="120"/>
              <w:ind w:right="113"/>
            </w:pPr>
            <w:r w:rsidRPr="00FF785C">
              <w:rPr>
                <w:b/>
                <w:i/>
              </w:rPr>
              <w:t>3.6</w:t>
            </w:r>
            <w:r w:rsidRPr="00FF785C">
              <w:rPr>
                <w:b/>
                <w:i/>
              </w:rPr>
              <w:tab/>
            </w:r>
            <w:r>
              <w:rPr>
                <w:b/>
                <w:bCs/>
                <w:i/>
                <w:iCs/>
              </w:rPr>
              <w:t>К 2020 году вдвое сократить во всем мире число смертей и травм в результате дорожно-транспортных происшествий</w:t>
            </w:r>
          </w:p>
        </w:tc>
      </w:tr>
      <w:tr w:rsidR="009904D5" w:rsidRPr="00B720FF" w14:paraId="1095522A" w14:textId="77777777" w:rsidTr="00496C8E">
        <w:trPr>
          <w:cantSplit/>
        </w:trPr>
        <w:tc>
          <w:tcPr>
            <w:tcW w:w="8505" w:type="dxa"/>
            <w:shd w:val="clear" w:color="auto" w:fill="auto"/>
          </w:tcPr>
          <w:p w14:paraId="0921C55C" w14:textId="77777777" w:rsidR="009904D5" w:rsidRPr="007341F1" w:rsidRDefault="009904D5" w:rsidP="00496C8E">
            <w:pPr>
              <w:spacing w:before="40" w:after="120"/>
              <w:ind w:right="113"/>
            </w:pPr>
            <w:r>
              <w:rPr>
                <w:i/>
                <w:iCs/>
              </w:rPr>
              <w:t xml:space="preserve">Показатель 3.6.1: </w:t>
            </w:r>
            <w:r w:rsidRPr="00090005">
              <w:t>с</w:t>
            </w:r>
            <w:r>
              <w:t>мертность в результате дорожно-транспортных происшествий</w:t>
            </w:r>
          </w:p>
          <w:p w14:paraId="6F9D1A2F" w14:textId="77777777" w:rsidR="009904D5" w:rsidRPr="007341F1" w:rsidRDefault="009904D5" w:rsidP="00496C8E">
            <w:pPr>
              <w:spacing w:before="40" w:after="120"/>
              <w:ind w:right="113"/>
              <w:rPr>
                <w:u w:val="single"/>
              </w:rPr>
            </w:pPr>
            <w:r>
              <w:rPr>
                <w:i/>
                <w:iCs/>
              </w:rPr>
              <w:t>Возможное курирующее учреждение</w:t>
            </w:r>
            <w:r>
              <w:t>: ВОЗ</w:t>
            </w:r>
          </w:p>
          <w:p w14:paraId="79026D04" w14:textId="77777777" w:rsidR="009904D5" w:rsidRPr="007341F1" w:rsidRDefault="009904D5" w:rsidP="00496C8E">
            <w:pPr>
              <w:spacing w:before="40" w:after="120"/>
              <w:ind w:right="113"/>
            </w:pPr>
            <w:r>
              <w:rPr>
                <w:i/>
                <w:iCs/>
              </w:rPr>
              <w:t>Учреждения-партнеры</w:t>
            </w:r>
            <w:r>
              <w:t>: ЕЭК</w:t>
            </w:r>
          </w:p>
          <w:p w14:paraId="6D1D1AAD" w14:textId="77777777" w:rsidR="009904D5" w:rsidRPr="00B720FF" w:rsidRDefault="009904D5" w:rsidP="00496C8E">
            <w:pPr>
              <w:spacing w:before="40" w:after="120"/>
              <w:ind w:right="113"/>
            </w:pPr>
            <w:r>
              <w:rPr>
                <w:i/>
                <w:iCs/>
              </w:rPr>
              <w:t>Уровень I</w:t>
            </w:r>
          </w:p>
        </w:tc>
      </w:tr>
      <w:tr w:rsidR="009904D5" w:rsidRPr="0006358B" w14:paraId="36AF81C2" w14:textId="77777777" w:rsidTr="00496C8E">
        <w:trPr>
          <w:cantSplit/>
        </w:trPr>
        <w:tc>
          <w:tcPr>
            <w:tcW w:w="850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B7DDDB7" w14:textId="77777777" w:rsidR="009904D5" w:rsidRPr="007341F1" w:rsidRDefault="009904D5" w:rsidP="00FF785C">
            <w:pPr>
              <w:spacing w:before="40" w:after="120"/>
              <w:ind w:left="856" w:right="113" w:hanging="854"/>
            </w:pPr>
            <w:r>
              <w:rPr>
                <w:b/>
                <w:bCs/>
              </w:rPr>
              <w:t>Цель 9.</w:t>
            </w:r>
            <w:r>
              <w:tab/>
            </w:r>
            <w:r>
              <w:rPr>
                <w:b/>
                <w:bCs/>
              </w:rPr>
              <w:t>Создание стойкой инфраструктуры, содействие всеохватной и устойчивой индустриализации и инновациям</w:t>
            </w:r>
          </w:p>
        </w:tc>
      </w:tr>
      <w:tr w:rsidR="009904D5" w:rsidRPr="0006358B" w14:paraId="72E0C00B" w14:textId="77777777" w:rsidTr="00496C8E">
        <w:trPr>
          <w:cantSplit/>
        </w:trPr>
        <w:tc>
          <w:tcPr>
            <w:tcW w:w="8505" w:type="dxa"/>
            <w:tcBorders>
              <w:top w:val="single" w:sz="4" w:space="0" w:color="auto"/>
            </w:tcBorders>
            <w:shd w:val="clear" w:color="auto" w:fill="auto"/>
          </w:tcPr>
          <w:p w14:paraId="0611C5DF" w14:textId="77777777" w:rsidR="009904D5" w:rsidRPr="007341F1" w:rsidRDefault="009904D5" w:rsidP="00BF2AA2">
            <w:pPr>
              <w:spacing w:before="40" w:after="120"/>
              <w:ind w:right="113"/>
            </w:pPr>
            <w:r w:rsidRPr="00FF785C">
              <w:rPr>
                <w:b/>
                <w:i/>
              </w:rPr>
              <w:t>9.1</w:t>
            </w:r>
            <w:r>
              <w:tab/>
            </w:r>
            <w:r>
              <w:rPr>
                <w:b/>
                <w:bCs/>
                <w:i/>
                <w:iCs/>
              </w:rPr>
              <w:t>Развивать качественную, надежную, устойчивую и стойкую инфраструктуру, включая региональную и трансграничную инфраструктуру, в целях поддержки экономического развития и благополучия людей, уделяя особое внимание обеспечению недорогого и равноправного доступа для всех</w:t>
            </w:r>
          </w:p>
        </w:tc>
      </w:tr>
      <w:tr w:rsidR="009904D5" w:rsidRPr="00B720FF" w14:paraId="3FCE0A12" w14:textId="77777777" w:rsidTr="00496C8E">
        <w:trPr>
          <w:cantSplit/>
        </w:trPr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14:paraId="33346381" w14:textId="77777777" w:rsidR="009904D5" w:rsidRPr="007341F1" w:rsidRDefault="009904D5" w:rsidP="00496C8E">
            <w:pPr>
              <w:spacing w:before="40" w:after="120"/>
              <w:ind w:right="113"/>
            </w:pPr>
            <w:r>
              <w:rPr>
                <w:i/>
                <w:iCs/>
              </w:rPr>
              <w:t>Показатель 9.1.1</w:t>
            </w:r>
            <w:r>
              <w:t>: Доля сельского населения, проживающего в пределах 2 км от дорог с твердым покрытием</w:t>
            </w:r>
          </w:p>
          <w:p w14:paraId="7BDA08ED" w14:textId="77777777" w:rsidR="009904D5" w:rsidRPr="007341F1" w:rsidRDefault="009904D5" w:rsidP="00496C8E">
            <w:pPr>
              <w:spacing w:before="40" w:after="120"/>
              <w:ind w:right="113"/>
              <w:rPr>
                <w:u w:val="single"/>
              </w:rPr>
            </w:pPr>
            <w:r>
              <w:rPr>
                <w:i/>
                <w:iCs/>
              </w:rPr>
              <w:t>Возможное курирующее учреждение:</w:t>
            </w:r>
            <w:r>
              <w:t xml:space="preserve"> Всемирный банк</w:t>
            </w:r>
          </w:p>
          <w:p w14:paraId="76956DB8" w14:textId="77777777" w:rsidR="009904D5" w:rsidRPr="007341F1" w:rsidRDefault="009904D5" w:rsidP="00496C8E">
            <w:pPr>
              <w:spacing w:before="40" w:after="120"/>
              <w:ind w:right="113"/>
            </w:pPr>
            <w:r>
              <w:rPr>
                <w:i/>
                <w:iCs/>
              </w:rPr>
              <w:t>Учреждения-партнеры:</w:t>
            </w:r>
            <w:r>
              <w:t xml:space="preserve"> ЕЭК, ЮНЕП</w:t>
            </w:r>
          </w:p>
          <w:p w14:paraId="5D9F3556" w14:textId="77777777" w:rsidR="009904D5" w:rsidRPr="00B720FF" w:rsidRDefault="009904D5" w:rsidP="00496C8E">
            <w:pPr>
              <w:spacing w:before="40" w:after="120"/>
              <w:ind w:right="113"/>
            </w:pPr>
            <w:r>
              <w:rPr>
                <w:i/>
                <w:iCs/>
              </w:rPr>
              <w:t>Уровень</w:t>
            </w:r>
            <w:r>
              <w:t>: III</w:t>
            </w:r>
          </w:p>
        </w:tc>
      </w:tr>
      <w:tr w:rsidR="009904D5" w:rsidRPr="0006358B" w14:paraId="0261CBE3" w14:textId="77777777" w:rsidTr="00496C8E">
        <w:trPr>
          <w:cantSplit/>
        </w:trPr>
        <w:tc>
          <w:tcPr>
            <w:tcW w:w="8505" w:type="dxa"/>
            <w:tcBorders>
              <w:top w:val="single" w:sz="4" w:space="0" w:color="auto"/>
            </w:tcBorders>
            <w:shd w:val="clear" w:color="auto" w:fill="auto"/>
          </w:tcPr>
          <w:p w14:paraId="5E65289B" w14:textId="77777777" w:rsidR="009904D5" w:rsidRPr="007341F1" w:rsidRDefault="009904D5" w:rsidP="00496C8E">
            <w:pPr>
              <w:spacing w:before="40" w:after="120"/>
              <w:ind w:right="113"/>
            </w:pPr>
            <w:r>
              <w:rPr>
                <w:i/>
                <w:iCs/>
              </w:rPr>
              <w:t>Показатель 9.1.2</w:t>
            </w:r>
            <w:r>
              <w:t>: Объем пассажирских и грузовых перевозок в разбивке по видам транспорта</w:t>
            </w:r>
          </w:p>
          <w:p w14:paraId="69D3BADE" w14:textId="77777777" w:rsidR="009904D5" w:rsidRPr="007341F1" w:rsidRDefault="009904D5" w:rsidP="00496C8E">
            <w:pPr>
              <w:spacing w:before="40" w:after="120"/>
              <w:ind w:right="113"/>
            </w:pPr>
            <w:r>
              <w:rPr>
                <w:i/>
                <w:iCs/>
              </w:rPr>
              <w:t>Возможное курирующее учреждение</w:t>
            </w:r>
            <w:r>
              <w:t>: ИКАО, Международный транспортный форум-ОЭСР</w:t>
            </w:r>
          </w:p>
          <w:p w14:paraId="7AB4BA73" w14:textId="77777777" w:rsidR="009904D5" w:rsidRPr="007341F1" w:rsidRDefault="009904D5" w:rsidP="00496C8E">
            <w:pPr>
              <w:spacing w:before="40" w:after="120"/>
              <w:ind w:right="113"/>
            </w:pPr>
            <w:r>
              <w:rPr>
                <w:i/>
                <w:iCs/>
              </w:rPr>
              <w:t>Учреждения-партнеры</w:t>
            </w:r>
            <w:r>
              <w:t>: ЕЭК, ЮНЕП, ВПС</w:t>
            </w:r>
          </w:p>
        </w:tc>
      </w:tr>
      <w:tr w:rsidR="009904D5" w:rsidRPr="00B720FF" w14:paraId="6F45E0E1" w14:textId="77777777" w:rsidTr="00496C8E">
        <w:trPr>
          <w:cantSplit/>
        </w:trPr>
        <w:tc>
          <w:tcPr>
            <w:tcW w:w="8505" w:type="dxa"/>
            <w:tcBorders>
              <w:bottom w:val="single" w:sz="12" w:space="0" w:color="auto"/>
            </w:tcBorders>
            <w:shd w:val="clear" w:color="auto" w:fill="auto"/>
          </w:tcPr>
          <w:p w14:paraId="7CD76B8C" w14:textId="77777777" w:rsidR="009904D5" w:rsidRPr="00B720FF" w:rsidRDefault="009904D5" w:rsidP="00496C8E">
            <w:pPr>
              <w:spacing w:before="40" w:after="120"/>
              <w:ind w:right="113"/>
            </w:pPr>
            <w:r>
              <w:rPr>
                <w:i/>
                <w:iCs/>
              </w:rPr>
              <w:t>Уровень</w:t>
            </w:r>
            <w:r>
              <w:t>: I</w:t>
            </w:r>
          </w:p>
        </w:tc>
      </w:tr>
    </w:tbl>
    <w:p w14:paraId="66D114CB" w14:textId="77777777" w:rsidR="00FF785C" w:rsidRDefault="00FF785C"/>
    <w:tbl>
      <w:tblPr>
        <w:tblStyle w:val="TableGrid"/>
        <w:tblW w:w="8505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9904D5" w:rsidRPr="00B720FF" w14:paraId="68F1C68F" w14:textId="77777777" w:rsidTr="00EF65EB">
        <w:trPr>
          <w:cantSplit/>
        </w:trPr>
        <w:tc>
          <w:tcPr>
            <w:tcW w:w="850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E178FBA" w14:textId="77777777" w:rsidR="009904D5" w:rsidRPr="007F7CAB" w:rsidRDefault="00FF785C" w:rsidP="00FF785C">
            <w:pPr>
              <w:pageBreakBefore/>
              <w:spacing w:before="40" w:after="120"/>
              <w:ind w:left="6" w:right="113"/>
              <w:rPr>
                <w:i/>
              </w:rPr>
            </w:pPr>
            <w:r w:rsidRPr="00FF785C">
              <w:rPr>
                <w:i/>
                <w:iCs/>
                <w:sz w:val="16"/>
                <w:szCs w:val="16"/>
              </w:rPr>
              <w:lastRenderedPageBreak/>
              <w:t>Цели, связанные с транспортом</w:t>
            </w:r>
          </w:p>
        </w:tc>
      </w:tr>
      <w:tr w:rsidR="009904D5" w:rsidRPr="0006358B" w14:paraId="2D33CC28" w14:textId="77777777" w:rsidTr="00EF65EB">
        <w:trPr>
          <w:cantSplit/>
        </w:trPr>
        <w:tc>
          <w:tcPr>
            <w:tcW w:w="850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E5B3CAF" w14:textId="77777777" w:rsidR="009904D5" w:rsidRPr="007341F1" w:rsidRDefault="009904D5" w:rsidP="00BF2AA2">
            <w:pPr>
              <w:spacing w:before="40" w:after="120"/>
              <w:ind w:left="856" w:right="113" w:hanging="854"/>
            </w:pPr>
            <w:r>
              <w:rPr>
                <w:b/>
                <w:bCs/>
              </w:rPr>
              <w:t>Цель 11.</w:t>
            </w:r>
            <w:r>
              <w:tab/>
            </w:r>
            <w:r>
              <w:rPr>
                <w:b/>
                <w:bCs/>
              </w:rPr>
              <w:t>Обеспечение открытости, безопасности, жизнестойкости и экологической устойчивости городов и населенных пунктов</w:t>
            </w:r>
          </w:p>
        </w:tc>
      </w:tr>
      <w:tr w:rsidR="009904D5" w:rsidRPr="0006358B" w14:paraId="2CE5EB34" w14:textId="77777777" w:rsidTr="00496C8E">
        <w:trPr>
          <w:cantSplit/>
        </w:trPr>
        <w:tc>
          <w:tcPr>
            <w:tcW w:w="8505" w:type="dxa"/>
            <w:tcBorders>
              <w:top w:val="single" w:sz="4" w:space="0" w:color="auto"/>
            </w:tcBorders>
            <w:shd w:val="clear" w:color="auto" w:fill="auto"/>
          </w:tcPr>
          <w:p w14:paraId="372BF86B" w14:textId="77777777" w:rsidR="009904D5" w:rsidRPr="007341F1" w:rsidRDefault="009904D5" w:rsidP="00BF2AA2">
            <w:pPr>
              <w:spacing w:before="40" w:after="120"/>
              <w:ind w:right="113"/>
            </w:pPr>
            <w:r w:rsidRPr="00BF2AA2">
              <w:rPr>
                <w:b/>
                <w:i/>
              </w:rPr>
              <w:t>11.2</w:t>
            </w:r>
            <w:r w:rsidRPr="00BF2AA2">
              <w:rPr>
                <w:b/>
                <w:i/>
              </w:rPr>
              <w:tab/>
            </w:r>
            <w:r>
              <w:rPr>
                <w:b/>
                <w:bCs/>
                <w:i/>
                <w:iCs/>
              </w:rPr>
              <w:t>К 2030 году обеспечить, чтобы все могли пользоваться безопасными, недорогими, доступными и экологически устойчивыми транспортными системами, на основе повышения безопасности дорожного движения, в частности расширения использования общественного транспорта, уделяя особое внимание нуждам тех, кто находится</w:t>
            </w:r>
            <w:r w:rsidR="00BF2AA2">
              <w:rPr>
                <w:b/>
                <w:bCs/>
                <w:i/>
                <w:iCs/>
              </w:rPr>
              <w:br/>
            </w:r>
            <w:r>
              <w:rPr>
                <w:b/>
                <w:bCs/>
                <w:i/>
                <w:iCs/>
              </w:rPr>
              <w:t>в уязвимом положении, женщин, детей, инвалидов и пожилых лиц</w:t>
            </w:r>
          </w:p>
        </w:tc>
      </w:tr>
      <w:tr w:rsidR="009904D5" w:rsidRPr="0006358B" w14:paraId="35A711E7" w14:textId="77777777" w:rsidTr="00496C8E">
        <w:trPr>
          <w:cantSplit/>
        </w:trPr>
        <w:tc>
          <w:tcPr>
            <w:tcW w:w="8505" w:type="dxa"/>
            <w:shd w:val="clear" w:color="auto" w:fill="auto"/>
          </w:tcPr>
          <w:p w14:paraId="0B7CE490" w14:textId="77777777" w:rsidR="009904D5" w:rsidRPr="007341F1" w:rsidRDefault="009904D5" w:rsidP="00496C8E">
            <w:pPr>
              <w:spacing w:before="40" w:after="120"/>
              <w:ind w:right="113"/>
            </w:pPr>
            <w:r>
              <w:rPr>
                <w:i/>
                <w:iCs/>
              </w:rPr>
              <w:t>Показатель 11.2.1</w:t>
            </w:r>
            <w:r>
              <w:t xml:space="preserve">: Доля населения, имеющего удобный доступ к общественному транспорту, </w:t>
            </w:r>
            <w:r w:rsidR="00BF2AA2">
              <w:br/>
            </w:r>
            <w:r>
              <w:t xml:space="preserve"> разбивке по полу, возрасту и признаку инвалидности</w:t>
            </w:r>
          </w:p>
          <w:p w14:paraId="51592467" w14:textId="77777777" w:rsidR="009904D5" w:rsidRPr="007341F1" w:rsidRDefault="009904D5" w:rsidP="00496C8E">
            <w:pPr>
              <w:spacing w:before="40" w:after="120"/>
              <w:ind w:right="113"/>
              <w:rPr>
                <w:u w:val="single"/>
              </w:rPr>
            </w:pPr>
            <w:r>
              <w:rPr>
                <w:i/>
                <w:iCs/>
              </w:rPr>
              <w:t>Возможное курирующее учреждение</w:t>
            </w:r>
            <w:r>
              <w:t>: ООН-</w:t>
            </w:r>
            <w:proofErr w:type="spellStart"/>
            <w:r>
              <w:t>Хабитат</w:t>
            </w:r>
            <w:proofErr w:type="spellEnd"/>
          </w:p>
          <w:p w14:paraId="63D6772E" w14:textId="77777777" w:rsidR="009904D5" w:rsidRPr="007341F1" w:rsidRDefault="009904D5" w:rsidP="00496C8E">
            <w:pPr>
              <w:spacing w:before="40" w:after="120"/>
              <w:ind w:right="113"/>
            </w:pPr>
            <w:r>
              <w:rPr>
                <w:i/>
                <w:iCs/>
              </w:rPr>
              <w:t>Учреждения-партнеры:</w:t>
            </w:r>
            <w:r>
              <w:t xml:space="preserve"> ЕЭК, ЮНЕП</w:t>
            </w:r>
          </w:p>
        </w:tc>
      </w:tr>
      <w:tr w:rsidR="009904D5" w:rsidRPr="00B720FF" w14:paraId="2CC3040C" w14:textId="77777777" w:rsidTr="00496C8E">
        <w:trPr>
          <w:cantSplit/>
        </w:trPr>
        <w:tc>
          <w:tcPr>
            <w:tcW w:w="8505" w:type="dxa"/>
            <w:tcBorders>
              <w:bottom w:val="single" w:sz="12" w:space="0" w:color="auto"/>
            </w:tcBorders>
            <w:shd w:val="clear" w:color="auto" w:fill="auto"/>
          </w:tcPr>
          <w:p w14:paraId="65669DDD" w14:textId="77777777" w:rsidR="009904D5" w:rsidRPr="00B720FF" w:rsidRDefault="009904D5" w:rsidP="00496C8E">
            <w:pPr>
              <w:spacing w:before="40" w:after="120"/>
              <w:ind w:right="113"/>
            </w:pPr>
            <w:r>
              <w:rPr>
                <w:i/>
                <w:iCs/>
              </w:rPr>
              <w:t>Уровень</w:t>
            </w:r>
            <w:r>
              <w:t>: II</w:t>
            </w:r>
          </w:p>
        </w:tc>
      </w:tr>
    </w:tbl>
    <w:p w14:paraId="507F1541" w14:textId="77777777" w:rsidR="009904D5" w:rsidRPr="00E87FB7" w:rsidRDefault="009904D5" w:rsidP="009904D5">
      <w:pPr>
        <w:spacing w:before="24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904D5" w:rsidRPr="00E87FB7" w:rsidSect="009904D5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C2D74" w14:textId="77777777" w:rsidR="00C9275E" w:rsidRPr="00A312BC" w:rsidRDefault="00C9275E" w:rsidP="00A312BC"/>
  </w:endnote>
  <w:endnote w:type="continuationSeparator" w:id="0">
    <w:p w14:paraId="45B449AC" w14:textId="77777777" w:rsidR="00C9275E" w:rsidRPr="00A312BC" w:rsidRDefault="00C9275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45C7D" w14:textId="77777777" w:rsidR="009904D5" w:rsidRPr="009904D5" w:rsidRDefault="009904D5">
    <w:pPr>
      <w:pStyle w:val="Footer"/>
    </w:pPr>
    <w:r w:rsidRPr="009904D5">
      <w:rPr>
        <w:b/>
        <w:sz w:val="18"/>
      </w:rPr>
      <w:fldChar w:fldCharType="begin"/>
    </w:r>
    <w:r w:rsidRPr="009904D5">
      <w:rPr>
        <w:b/>
        <w:sz w:val="18"/>
      </w:rPr>
      <w:instrText xml:space="preserve"> PAGE  \* MERGEFORMAT </w:instrText>
    </w:r>
    <w:r w:rsidRPr="009904D5">
      <w:rPr>
        <w:b/>
        <w:sz w:val="18"/>
      </w:rPr>
      <w:fldChar w:fldCharType="separate"/>
    </w:r>
    <w:r w:rsidRPr="009904D5">
      <w:rPr>
        <w:b/>
        <w:noProof/>
        <w:sz w:val="18"/>
      </w:rPr>
      <w:t>2</w:t>
    </w:r>
    <w:r w:rsidRPr="009904D5">
      <w:rPr>
        <w:b/>
        <w:sz w:val="18"/>
      </w:rPr>
      <w:fldChar w:fldCharType="end"/>
    </w:r>
    <w:r>
      <w:rPr>
        <w:b/>
        <w:sz w:val="18"/>
      </w:rPr>
      <w:tab/>
    </w:r>
    <w:r>
      <w:t>GE.19-22097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7607F" w14:textId="77777777" w:rsidR="009904D5" w:rsidRPr="009904D5" w:rsidRDefault="009904D5" w:rsidP="009904D5">
    <w:pPr>
      <w:pStyle w:val="Footer"/>
      <w:tabs>
        <w:tab w:val="clear" w:pos="9639"/>
        <w:tab w:val="right" w:pos="9638"/>
      </w:tabs>
      <w:rPr>
        <w:b/>
        <w:sz w:val="18"/>
      </w:rPr>
    </w:pPr>
    <w:r>
      <w:t>GE.19-22097</w:t>
    </w:r>
    <w:r>
      <w:tab/>
    </w:r>
    <w:r w:rsidRPr="009904D5">
      <w:rPr>
        <w:b/>
        <w:sz w:val="18"/>
      </w:rPr>
      <w:fldChar w:fldCharType="begin"/>
    </w:r>
    <w:r w:rsidRPr="009904D5">
      <w:rPr>
        <w:b/>
        <w:sz w:val="18"/>
      </w:rPr>
      <w:instrText xml:space="preserve"> PAGE  \* MERGEFORMAT </w:instrText>
    </w:r>
    <w:r w:rsidRPr="009904D5">
      <w:rPr>
        <w:b/>
        <w:sz w:val="18"/>
      </w:rPr>
      <w:fldChar w:fldCharType="separate"/>
    </w:r>
    <w:r w:rsidRPr="009904D5">
      <w:rPr>
        <w:b/>
        <w:noProof/>
        <w:sz w:val="18"/>
      </w:rPr>
      <w:t>3</w:t>
    </w:r>
    <w:r w:rsidRPr="009904D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1868B" w14:textId="77777777" w:rsidR="00042B72" w:rsidRPr="009904D5" w:rsidRDefault="009904D5" w:rsidP="009904D5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26A813C" wp14:editId="3AECBB7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19-22097  (R)</w:t>
    </w:r>
    <w:r>
      <w:rPr>
        <w:lang w:val="en-US"/>
      </w:rPr>
      <w:t xml:space="preserve">  200120  2</w:t>
    </w:r>
    <w:r w:rsidR="00EC369F">
      <w:rPr>
        <w:lang w:val="en-US"/>
      </w:rPr>
      <w:t>1</w:t>
    </w:r>
    <w:r>
      <w:rPr>
        <w:lang w:val="en-US"/>
      </w:rPr>
      <w:t>0120</w:t>
    </w:r>
    <w:r>
      <w:br/>
    </w:r>
    <w:r w:rsidRPr="009904D5">
      <w:rPr>
        <w:rFonts w:ascii="C39T30Lfz" w:hAnsi="C39T30Lfz"/>
        <w:kern w:val="14"/>
        <w:sz w:val="56"/>
      </w:rPr>
      <w:t></w:t>
    </w:r>
    <w:r w:rsidRPr="009904D5">
      <w:rPr>
        <w:rFonts w:ascii="C39T30Lfz" w:hAnsi="C39T30Lfz"/>
        <w:kern w:val="14"/>
        <w:sz w:val="56"/>
      </w:rPr>
      <w:t></w:t>
    </w:r>
    <w:r w:rsidRPr="009904D5">
      <w:rPr>
        <w:rFonts w:ascii="C39T30Lfz" w:hAnsi="C39T30Lfz"/>
        <w:kern w:val="14"/>
        <w:sz w:val="56"/>
      </w:rPr>
      <w:t></w:t>
    </w:r>
    <w:r w:rsidRPr="009904D5">
      <w:rPr>
        <w:rFonts w:ascii="C39T30Lfz" w:hAnsi="C39T30Lfz"/>
        <w:kern w:val="14"/>
        <w:sz w:val="56"/>
      </w:rPr>
      <w:t></w:t>
    </w:r>
    <w:r w:rsidRPr="009904D5">
      <w:rPr>
        <w:rFonts w:ascii="C39T30Lfz" w:hAnsi="C39T30Lfz"/>
        <w:kern w:val="14"/>
        <w:sz w:val="56"/>
      </w:rPr>
      <w:t></w:t>
    </w:r>
    <w:r w:rsidRPr="009904D5">
      <w:rPr>
        <w:rFonts w:ascii="C39T30Lfz" w:hAnsi="C39T30Lfz"/>
        <w:kern w:val="14"/>
        <w:sz w:val="56"/>
      </w:rPr>
      <w:t></w:t>
    </w:r>
    <w:r w:rsidRPr="009904D5">
      <w:rPr>
        <w:rFonts w:ascii="C39T30Lfz" w:hAnsi="C39T30Lfz"/>
        <w:kern w:val="14"/>
        <w:sz w:val="56"/>
      </w:rPr>
      <w:t></w:t>
    </w:r>
    <w:r w:rsidRPr="009904D5">
      <w:rPr>
        <w:rFonts w:ascii="C39T30Lfz" w:hAnsi="C39T30Lfz"/>
        <w:kern w:val="14"/>
        <w:sz w:val="56"/>
      </w:rPr>
      <w:t></w:t>
    </w:r>
    <w:r w:rsidRPr="009904D5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6E0371F" wp14:editId="02AF5BE9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ECE/TRANS/2020/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2020/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15C89" w14:textId="77777777" w:rsidR="00C9275E" w:rsidRPr="001075E9" w:rsidRDefault="00C9275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16E3855" w14:textId="77777777" w:rsidR="00C9275E" w:rsidRDefault="00C9275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C659D3D" w14:textId="77777777" w:rsidR="009904D5" w:rsidRPr="007341F1" w:rsidRDefault="009904D5" w:rsidP="00EC369F">
      <w:pPr>
        <w:pStyle w:val="FootnoteText"/>
        <w:spacing w:after="240"/>
      </w:pPr>
      <w:r>
        <w:tab/>
        <w:t>*</w:t>
      </w:r>
      <w:r>
        <w:tab/>
        <w:t>Настоящий документ был запланирован к изданию после установленного срока в силу обстоятельств, не зависящих от представившей его стороны.</w:t>
      </w:r>
    </w:p>
  </w:footnote>
  <w:footnote w:id="2">
    <w:p w14:paraId="014DEB5B" w14:textId="72D644B2" w:rsidR="009904D5" w:rsidRPr="007341F1" w:rsidRDefault="009904D5" w:rsidP="00311B0D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  <w:t>Работа Комитета имеет прямое отношение к 14 из 17 целей в области устойчивого развития, главным образом в контексте правовых документов Организации Объединенных Наций</w:t>
      </w:r>
      <w:r w:rsidR="00311B0D">
        <w:br/>
      </w:r>
      <w:r>
        <w:t>и правил глобального и регионального географического охвата, относящихся к сфере</w:t>
      </w:r>
      <w:r w:rsidR="00311B0D">
        <w:br/>
      </w:r>
      <w:r>
        <w:t>его компетенции, с учетом соответствующей аналитической деятельности и деятельности</w:t>
      </w:r>
      <w:r w:rsidR="00311B0D">
        <w:br/>
      </w:r>
      <w:r>
        <w:t>по наращиванию потенциала, а также диалога по вопросам политики.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77AE7" w14:textId="48E1A0A1" w:rsidR="009904D5" w:rsidRPr="009904D5" w:rsidRDefault="009904D5">
    <w:pPr>
      <w:pStyle w:val="Header"/>
    </w:pPr>
    <w:fldSimple w:instr=" TITLE  \* MERGEFORMAT ">
      <w:r w:rsidR="000A350C">
        <w:t>ECE/TRANS/2020/5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CC3BD" w14:textId="1F52AC8E" w:rsidR="009904D5" w:rsidRPr="009904D5" w:rsidRDefault="009904D5" w:rsidP="009904D5">
    <w:pPr>
      <w:pStyle w:val="Header"/>
      <w:jc w:val="right"/>
    </w:pPr>
    <w:fldSimple w:instr=" TITLE  \* MERGEFORMAT ">
      <w:r w:rsidR="000A350C">
        <w:t>ECE/TRANS/2020/5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4"/>
  </w:num>
  <w:num w:numId="19">
    <w:abstractNumId w:val="16"/>
  </w:num>
  <w:num w:numId="20">
    <w:abstractNumId w:val="12"/>
  </w:num>
  <w:num w:numId="21">
    <w:abstractNumId w:val="14"/>
  </w:num>
  <w:num w:numId="22">
    <w:abstractNumId w:val="15"/>
    <w:lvlOverride w:ilvl="0">
      <w:lvl w:ilvl="0" w:tplc="8C4849AC">
        <w:start w:val="1"/>
        <w:numFmt w:val="bullet"/>
        <w:lvlText w:val="•"/>
        <w:lvlJc w:val="left"/>
        <w:pPr>
          <w:tabs>
            <w:tab w:val="num" w:pos="1701"/>
          </w:tabs>
          <w:ind w:left="1701" w:hanging="170"/>
        </w:pPr>
        <w:rPr>
          <w:rFonts w:ascii="Times New Roman" w:hAnsi="Times New Roman" w:cs="Times New Roman" w:hint="default"/>
          <w:b w:val="0"/>
          <w:i w:val="0"/>
          <w:sz w:val="20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75E"/>
    <w:rsid w:val="00033EE1"/>
    <w:rsid w:val="00042B72"/>
    <w:rsid w:val="000558BD"/>
    <w:rsid w:val="000A350C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1B0D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B2FBC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05F27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424C5"/>
    <w:rsid w:val="00951972"/>
    <w:rsid w:val="009608F3"/>
    <w:rsid w:val="009904D5"/>
    <w:rsid w:val="009A24AC"/>
    <w:rsid w:val="009C2B64"/>
    <w:rsid w:val="009C59D7"/>
    <w:rsid w:val="009C6FE6"/>
    <w:rsid w:val="009D7E7D"/>
    <w:rsid w:val="009F2FF3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BF2AA2"/>
    <w:rsid w:val="00C106D6"/>
    <w:rsid w:val="00C119AE"/>
    <w:rsid w:val="00C5307F"/>
    <w:rsid w:val="00C60F0C"/>
    <w:rsid w:val="00C71E84"/>
    <w:rsid w:val="00C805C9"/>
    <w:rsid w:val="00C9275E"/>
    <w:rsid w:val="00C92939"/>
    <w:rsid w:val="00C97BD2"/>
    <w:rsid w:val="00CA1458"/>
    <w:rsid w:val="00CA1679"/>
    <w:rsid w:val="00CB0DE3"/>
    <w:rsid w:val="00CB151C"/>
    <w:rsid w:val="00CE41C9"/>
    <w:rsid w:val="00CE5A1A"/>
    <w:rsid w:val="00CF55F6"/>
    <w:rsid w:val="00D33D63"/>
    <w:rsid w:val="00D3607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1563F"/>
    <w:rsid w:val="00E73F76"/>
    <w:rsid w:val="00EA2C9F"/>
    <w:rsid w:val="00EA420E"/>
    <w:rsid w:val="00EC369F"/>
    <w:rsid w:val="00EC3E92"/>
    <w:rsid w:val="00ED0BDA"/>
    <w:rsid w:val="00EE142A"/>
    <w:rsid w:val="00EF1360"/>
    <w:rsid w:val="00EF3220"/>
    <w:rsid w:val="00EF65EB"/>
    <w:rsid w:val="00F2523A"/>
    <w:rsid w:val="00F43903"/>
    <w:rsid w:val="00F93A74"/>
    <w:rsid w:val="00F94155"/>
    <w:rsid w:val="00F9783F"/>
    <w:rsid w:val="00FD2EF7"/>
    <w:rsid w:val="00FE447E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EFED9A1"/>
  <w15:docId w15:val="{041FADC2-4575-47D8-BFAF-2D3C4B471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9904D5"/>
    <w:rPr>
      <w:lang w:val="ru-RU" w:eastAsia="en-US"/>
    </w:rPr>
  </w:style>
  <w:style w:type="character" w:customStyle="1" w:styleId="HChGChar">
    <w:name w:val="_ H _Ch_G Char"/>
    <w:link w:val="HChG"/>
    <w:rsid w:val="009904D5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isseleva\Downloads\ECE-TRANS-2020-5_Figure%20II%20(1).xlsm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UNECE total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Sheet1!$B$1:$S$1</c:f>
              <c:strCach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strCache>
            </c:strRef>
          </c:cat>
          <c:val>
            <c:numRef>
              <c:f>Sheet1!$B$2:$S$2</c:f>
              <c:numCache>
                <c:formatCode>_(* #,##0_);_(* \(#,##0\);_(* "-"??_);_(@_)</c:formatCode>
                <c:ptCount val="18"/>
                <c:pt idx="0">
                  <c:v>154652</c:v>
                </c:pt>
                <c:pt idx="1">
                  <c:v>154021</c:v>
                </c:pt>
                <c:pt idx="2">
                  <c:v>155938.5</c:v>
                </c:pt>
                <c:pt idx="3">
                  <c:v>156676</c:v>
                </c:pt>
                <c:pt idx="4">
                  <c:v>153433.5</c:v>
                </c:pt>
                <c:pt idx="5">
                  <c:v>152359.5</c:v>
                </c:pt>
                <c:pt idx="6">
                  <c:v>149829.5</c:v>
                </c:pt>
                <c:pt idx="7">
                  <c:v>151330</c:v>
                </c:pt>
                <c:pt idx="8">
                  <c:v>136462</c:v>
                </c:pt>
                <c:pt idx="9">
                  <c:v>122545</c:v>
                </c:pt>
                <c:pt idx="10">
                  <c:v>115380</c:v>
                </c:pt>
                <c:pt idx="11">
                  <c:v>110138</c:v>
                </c:pt>
                <c:pt idx="12">
                  <c:v>114347</c:v>
                </c:pt>
                <c:pt idx="13">
                  <c:v>109620</c:v>
                </c:pt>
                <c:pt idx="14">
                  <c:v>107672</c:v>
                </c:pt>
                <c:pt idx="15">
                  <c:v>110294</c:v>
                </c:pt>
                <c:pt idx="16">
                  <c:v>108059</c:v>
                </c:pt>
                <c:pt idx="17">
                  <c:v>105456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7C5-4DE1-B87B-F72AA78B7ABD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North America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Sheet1!$B$1:$S$1</c:f>
              <c:strCach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strCache>
            </c:strRef>
          </c:cat>
          <c:val>
            <c:numRef>
              <c:f>Sheet1!$B$3:$S$3</c:f>
              <c:numCache>
                <c:formatCode>_(* #,##0_);_(* \(#,##0\);_(* "-"??_);_(@_)</c:formatCode>
                <c:ptCount val="18"/>
                <c:pt idx="0">
                  <c:v>44849</c:v>
                </c:pt>
                <c:pt idx="1">
                  <c:v>44954</c:v>
                </c:pt>
                <c:pt idx="2">
                  <c:v>45926</c:v>
                </c:pt>
                <c:pt idx="3">
                  <c:v>45661</c:v>
                </c:pt>
                <c:pt idx="4">
                  <c:v>45571</c:v>
                </c:pt>
                <c:pt idx="5">
                  <c:v>46408</c:v>
                </c:pt>
                <c:pt idx="6">
                  <c:v>45579</c:v>
                </c:pt>
                <c:pt idx="7">
                  <c:v>44012</c:v>
                </c:pt>
                <c:pt idx="8">
                  <c:v>39854</c:v>
                </c:pt>
                <c:pt idx="9">
                  <c:v>36099</c:v>
                </c:pt>
                <c:pt idx="10">
                  <c:v>35237</c:v>
                </c:pt>
                <c:pt idx="11">
                  <c:v>34502</c:v>
                </c:pt>
                <c:pt idx="12">
                  <c:v>35857</c:v>
                </c:pt>
                <c:pt idx="13">
                  <c:v>34844</c:v>
                </c:pt>
                <c:pt idx="14">
                  <c:v>34590</c:v>
                </c:pt>
                <c:pt idx="15">
                  <c:v>37379</c:v>
                </c:pt>
                <c:pt idx="16">
                  <c:v>39701</c:v>
                </c:pt>
                <c:pt idx="17">
                  <c:v>38974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7C5-4DE1-B87B-F72AA78B7ABD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EU+EFTA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Sheet1!$B$1:$S$1</c:f>
              <c:strCach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strCache>
            </c:strRef>
          </c:cat>
          <c:val>
            <c:numRef>
              <c:f>Sheet1!$B$4:$S$4</c:f>
              <c:numCache>
                <c:formatCode>_(* #,##0_);_(* \(#,##0\);_(* "-"??_);_(@_)</c:formatCode>
                <c:ptCount val="18"/>
                <c:pt idx="0">
                  <c:v>58035</c:v>
                </c:pt>
                <c:pt idx="1">
                  <c:v>55786</c:v>
                </c:pt>
                <c:pt idx="2">
                  <c:v>54835</c:v>
                </c:pt>
                <c:pt idx="3">
                  <c:v>51892</c:v>
                </c:pt>
                <c:pt idx="4">
                  <c:v>48674</c:v>
                </c:pt>
                <c:pt idx="5">
                  <c:v>46578</c:v>
                </c:pt>
                <c:pt idx="6">
                  <c:v>44340</c:v>
                </c:pt>
                <c:pt idx="7">
                  <c:v>43766</c:v>
                </c:pt>
                <c:pt idx="8">
                  <c:v>40184</c:v>
                </c:pt>
                <c:pt idx="9">
                  <c:v>35921</c:v>
                </c:pt>
                <c:pt idx="10">
                  <c:v>32049</c:v>
                </c:pt>
                <c:pt idx="11">
                  <c:v>31189</c:v>
                </c:pt>
                <c:pt idx="12">
                  <c:v>28738</c:v>
                </c:pt>
                <c:pt idx="13">
                  <c:v>26428</c:v>
                </c:pt>
                <c:pt idx="14">
                  <c:v>26374</c:v>
                </c:pt>
                <c:pt idx="15">
                  <c:v>26520</c:v>
                </c:pt>
                <c:pt idx="16">
                  <c:v>25979</c:v>
                </c:pt>
                <c:pt idx="17">
                  <c:v>25585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7C5-4DE1-B87B-F72AA78B7ABD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Rest of UNECE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Sheet1!$B$1:$S$1</c:f>
              <c:strCach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strCache>
            </c:strRef>
          </c:cat>
          <c:val>
            <c:numRef>
              <c:f>Sheet1!$B$5:$S$5</c:f>
              <c:numCache>
                <c:formatCode>_(* #,##0_);_(* \(#,##0\);_(* "-"??_);_(@_)</c:formatCode>
                <c:ptCount val="18"/>
                <c:pt idx="0">
                  <c:v>51768</c:v>
                </c:pt>
                <c:pt idx="1">
                  <c:v>53281</c:v>
                </c:pt>
                <c:pt idx="2">
                  <c:v>55177.5</c:v>
                </c:pt>
                <c:pt idx="3">
                  <c:v>59123</c:v>
                </c:pt>
                <c:pt idx="4">
                  <c:v>59188.5</c:v>
                </c:pt>
                <c:pt idx="5">
                  <c:v>59373.5</c:v>
                </c:pt>
                <c:pt idx="6">
                  <c:v>59910.5</c:v>
                </c:pt>
                <c:pt idx="7">
                  <c:v>63552</c:v>
                </c:pt>
                <c:pt idx="8">
                  <c:v>56424</c:v>
                </c:pt>
                <c:pt idx="9">
                  <c:v>50525</c:v>
                </c:pt>
                <c:pt idx="10">
                  <c:v>48094</c:v>
                </c:pt>
                <c:pt idx="11">
                  <c:v>44447</c:v>
                </c:pt>
                <c:pt idx="12">
                  <c:v>49752</c:v>
                </c:pt>
                <c:pt idx="13">
                  <c:v>48348</c:v>
                </c:pt>
                <c:pt idx="14">
                  <c:v>46708</c:v>
                </c:pt>
                <c:pt idx="15">
                  <c:v>46395</c:v>
                </c:pt>
                <c:pt idx="16">
                  <c:v>42379</c:v>
                </c:pt>
                <c:pt idx="17">
                  <c:v>40897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D7C5-4DE1-B87B-F72AA78B7A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24315184"/>
        <c:axId val="524317152"/>
      </c:lineChart>
      <c:catAx>
        <c:axId val="524315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524317152"/>
        <c:crosses val="autoZero"/>
        <c:auto val="1"/>
        <c:lblAlgn val="ctr"/>
        <c:lblOffset val="100"/>
        <c:noMultiLvlLbl val="0"/>
      </c:catAx>
      <c:valAx>
        <c:axId val="524317152"/>
        <c:scaling>
          <c:orientation val="minMax"/>
          <c:max val="160000"/>
          <c:min val="20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_);_(* \(#,##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5243151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'goods tkm2'!$N$1</c:f>
              <c:strCache>
                <c:ptCount val="1"/>
                <c:pt idx="0">
                  <c:v>Внутренние водные пути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'goods tkm2'!$M$2:$M$44</c:f>
              <c:strCache>
                <c:ptCount val="43"/>
                <c:pt idx="0">
                  <c:v>Грузия</c:v>
                </c:pt>
                <c:pt idx="1">
                  <c:v>Украина</c:v>
                </c:pt>
                <c:pt idx="2">
                  <c:v>Черногория</c:v>
                </c:pt>
                <c:pt idx="3">
                  <c:v>Беларусь</c:v>
                </c:pt>
                <c:pt idx="4">
                  <c:v>Канада</c:v>
                </c:pt>
                <c:pt idx="5">
                  <c:v>Казахстан</c:v>
                </c:pt>
                <c:pt idx="6">
                  <c:v>Австрия</c:v>
                </c:pt>
                <c:pt idx="7">
                  <c:v>Сербия</c:v>
                </c:pt>
                <c:pt idx="8">
                  <c:v>Соединенные Штаты</c:v>
                </c:pt>
                <c:pt idx="9">
                  <c:v>Латвия</c:v>
                </c:pt>
                <c:pt idx="10">
                  <c:v>Швейцария</c:v>
                </c:pt>
                <c:pt idx="11">
                  <c:v>Нидерланды</c:v>
                </c:pt>
                <c:pt idx="12">
                  <c:v>Кыргызстан</c:v>
                </c:pt>
                <c:pt idx="13">
                  <c:v>Узбекистан</c:v>
                </c:pt>
                <c:pt idx="14">
                  <c:v>Германия</c:v>
                </c:pt>
                <c:pt idx="15">
                  <c:v>Швеция</c:v>
                </c:pt>
                <c:pt idx="16">
                  <c:v>Румыния</c:v>
                </c:pt>
                <c:pt idx="17">
                  <c:v>Бельгия</c:v>
                </c:pt>
                <c:pt idx="18">
                  <c:v>Азербайджан</c:v>
                </c:pt>
                <c:pt idx="19">
                  <c:v>Литва</c:v>
                </c:pt>
                <c:pt idx="20">
                  <c:v>Босния и Герцеговина</c:v>
                </c:pt>
                <c:pt idx="21">
                  <c:v>Эстония</c:v>
                </c:pt>
                <c:pt idx="22">
                  <c:v>Финляндия</c:v>
                </c:pt>
                <c:pt idx="23">
                  <c:v>Венгрия</c:v>
                </c:pt>
                <c:pt idx="24">
                  <c:v>Чехия</c:v>
                </c:pt>
                <c:pt idx="25">
                  <c:v>Хорватия</c:v>
                </c:pt>
                <c:pt idx="26">
                  <c:v>Словакия</c:v>
                </c:pt>
                <c:pt idx="27">
                  <c:v>Болгария</c:v>
                </c:pt>
                <c:pt idx="28">
                  <c:v>Франция</c:v>
                </c:pt>
                <c:pt idx="29">
                  <c:v>Словения</c:v>
                </c:pt>
                <c:pt idx="30">
                  <c:v>Италия</c:v>
                </c:pt>
                <c:pt idx="31">
                  <c:v>Молдова</c:v>
                </c:pt>
                <c:pt idx="32">
                  <c:v>Норвегия</c:v>
                </c:pt>
                <c:pt idx="33">
                  <c:v>Польша</c:v>
                </c:pt>
                <c:pt idx="34">
                  <c:v>Соединенное Королевство</c:v>
                </c:pt>
                <c:pt idx="35">
                  <c:v>Португалия</c:v>
                </c:pt>
                <c:pt idx="36">
                  <c:v>Люксембург</c:v>
                </c:pt>
                <c:pt idx="37">
                  <c:v>Испания</c:v>
                </c:pt>
                <c:pt idx="38">
                  <c:v>Турция</c:v>
                </c:pt>
                <c:pt idx="39">
                  <c:v>Северная Македония</c:v>
                </c:pt>
                <c:pt idx="40">
                  <c:v>Греция</c:v>
                </c:pt>
                <c:pt idx="41">
                  <c:v>Албания</c:v>
                </c:pt>
                <c:pt idx="42">
                  <c:v>Ирландия</c:v>
                </c:pt>
              </c:strCache>
            </c:strRef>
          </c:cat>
          <c:val>
            <c:numRef>
              <c:f>'goods tkm2'!$N$2:$N$44</c:f>
              <c:numCache>
                <c:formatCode>General</c:formatCode>
                <c:ptCount val="43"/>
                <c:pt idx="0">
                  <c:v>0</c:v>
                </c:pt>
                <c:pt idx="1">
                  <c:v>9.2345869861481199E-4</c:v>
                </c:pt>
                <c:pt idx="2">
                  <c:v>0</c:v>
                </c:pt>
                <c:pt idx="3">
                  <c:v>3.1642231832085222E-4</c:v>
                </c:pt>
                <c:pt idx="4">
                  <c:v>0</c:v>
                </c:pt>
                <c:pt idx="5">
                  <c:v>5.3199912593040792E-5</c:v>
                </c:pt>
                <c:pt idx="6">
                  <c:v>4.7378040208069731E-2</c:v>
                </c:pt>
                <c:pt idx="7">
                  <c:v>0.11318222487324783</c:v>
                </c:pt>
                <c:pt idx="8">
                  <c:v>7.6379686018958337E-2</c:v>
                </c:pt>
                <c:pt idx="9">
                  <c:v>0</c:v>
                </c:pt>
                <c:pt idx="10">
                  <c:v>1.7356523283321458E-3</c:v>
                </c:pt>
                <c:pt idx="11">
                  <c:v>0.39844194707824421</c:v>
                </c:pt>
                <c:pt idx="12">
                  <c:v>1.0640870616686821E-3</c:v>
                </c:pt>
                <c:pt idx="13">
                  <c:v>0</c:v>
                </c:pt>
                <c:pt idx="14">
                  <c:v>0.1134499888630275</c:v>
                </c:pt>
                <c:pt idx="15">
                  <c:v>0</c:v>
                </c:pt>
                <c:pt idx="16">
                  <c:v>0.15452514104415885</c:v>
                </c:pt>
                <c:pt idx="17">
                  <c:v>0.18214493684865765</c:v>
                </c:pt>
                <c:pt idx="18">
                  <c:v>0</c:v>
                </c:pt>
                <c:pt idx="19">
                  <c:v>3.6688752072455884E-7</c:v>
                </c:pt>
                <c:pt idx="20">
                  <c:v>0</c:v>
                </c:pt>
                <c:pt idx="21">
                  <c:v>0</c:v>
                </c:pt>
                <c:pt idx="22">
                  <c:v>3.1202059335916172E-3</c:v>
                </c:pt>
                <c:pt idx="23">
                  <c:v>3.7781136455006789E-2</c:v>
                </c:pt>
                <c:pt idx="24">
                  <c:v>5.4570820882027878E-4</c:v>
                </c:pt>
                <c:pt idx="25">
                  <c:v>5.335345845911537E-2</c:v>
                </c:pt>
                <c:pt idx="26">
                  <c:v>2.0843614828577234E-2</c:v>
                </c:pt>
                <c:pt idx="27">
                  <c:v>0.11891971033100202</c:v>
                </c:pt>
                <c:pt idx="28">
                  <c:v>3.5949608591322138E-2</c:v>
                </c:pt>
                <c:pt idx="29">
                  <c:v>0</c:v>
                </c:pt>
                <c:pt idx="30">
                  <c:v>4.9870327895092819E-4</c:v>
                </c:pt>
                <c:pt idx="31">
                  <c:v>4.6112305666519217E-5</c:v>
                </c:pt>
                <c:pt idx="32">
                  <c:v>0</c:v>
                </c:pt>
                <c:pt idx="33">
                  <c:v>2.768599736786934E-4</c:v>
                </c:pt>
                <c:pt idx="34">
                  <c:v>5.63537421161684E-4</c:v>
                </c:pt>
                <c:pt idx="35">
                  <c:v>0</c:v>
                </c:pt>
                <c:pt idx="36">
                  <c:v>4.1016647101254543E-2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1A4-45E7-BD17-0E0B1B92B7BC}"/>
            </c:ext>
          </c:extLst>
        </c:ser>
        <c:ser>
          <c:idx val="1"/>
          <c:order val="1"/>
          <c:tx>
            <c:strRef>
              <c:f>'goods tkm2'!$O$1</c:f>
              <c:strCache>
                <c:ptCount val="1"/>
                <c:pt idx="0">
                  <c:v>Железнодорожный транспорт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'goods tkm2'!$M$2:$M$44</c:f>
              <c:strCache>
                <c:ptCount val="43"/>
                <c:pt idx="0">
                  <c:v>Грузия</c:v>
                </c:pt>
                <c:pt idx="1">
                  <c:v>Украина</c:v>
                </c:pt>
                <c:pt idx="2">
                  <c:v>Черногория</c:v>
                </c:pt>
                <c:pt idx="3">
                  <c:v>Беларусь</c:v>
                </c:pt>
                <c:pt idx="4">
                  <c:v>Канада</c:v>
                </c:pt>
                <c:pt idx="5">
                  <c:v>Казахстан</c:v>
                </c:pt>
                <c:pt idx="6">
                  <c:v>Австрия</c:v>
                </c:pt>
                <c:pt idx="7">
                  <c:v>Сербия</c:v>
                </c:pt>
                <c:pt idx="8">
                  <c:v>Соединенные Штаты</c:v>
                </c:pt>
                <c:pt idx="9">
                  <c:v>Латвия</c:v>
                </c:pt>
                <c:pt idx="10">
                  <c:v>Швейцария</c:v>
                </c:pt>
                <c:pt idx="11">
                  <c:v>Нидерланды</c:v>
                </c:pt>
                <c:pt idx="12">
                  <c:v>Кыргызстан</c:v>
                </c:pt>
                <c:pt idx="13">
                  <c:v>Узбекистан</c:v>
                </c:pt>
                <c:pt idx="14">
                  <c:v>Германия</c:v>
                </c:pt>
                <c:pt idx="15">
                  <c:v>Швеция</c:v>
                </c:pt>
                <c:pt idx="16">
                  <c:v>Румыния</c:v>
                </c:pt>
                <c:pt idx="17">
                  <c:v>Бельгия</c:v>
                </c:pt>
                <c:pt idx="18">
                  <c:v>Азербайджан</c:v>
                </c:pt>
                <c:pt idx="19">
                  <c:v>Литва</c:v>
                </c:pt>
                <c:pt idx="20">
                  <c:v>Босния и Герцеговина</c:v>
                </c:pt>
                <c:pt idx="21">
                  <c:v>Эстония</c:v>
                </c:pt>
                <c:pt idx="22">
                  <c:v>Финляндия</c:v>
                </c:pt>
                <c:pt idx="23">
                  <c:v>Венгрия</c:v>
                </c:pt>
                <c:pt idx="24">
                  <c:v>Чехия</c:v>
                </c:pt>
                <c:pt idx="25">
                  <c:v>Хорватия</c:v>
                </c:pt>
                <c:pt idx="26">
                  <c:v>Словакия</c:v>
                </c:pt>
                <c:pt idx="27">
                  <c:v>Болгария</c:v>
                </c:pt>
                <c:pt idx="28">
                  <c:v>Франция</c:v>
                </c:pt>
                <c:pt idx="29">
                  <c:v>Словения</c:v>
                </c:pt>
                <c:pt idx="30">
                  <c:v>Италия</c:v>
                </c:pt>
                <c:pt idx="31">
                  <c:v>Молдова</c:v>
                </c:pt>
                <c:pt idx="32">
                  <c:v>Норвегия</c:v>
                </c:pt>
                <c:pt idx="33">
                  <c:v>Польша</c:v>
                </c:pt>
                <c:pt idx="34">
                  <c:v>Соединенное Королевство</c:v>
                </c:pt>
                <c:pt idx="35">
                  <c:v>Португалия</c:v>
                </c:pt>
                <c:pt idx="36">
                  <c:v>Люксембург</c:v>
                </c:pt>
                <c:pt idx="37">
                  <c:v>Испания</c:v>
                </c:pt>
                <c:pt idx="38">
                  <c:v>Турция</c:v>
                </c:pt>
                <c:pt idx="39">
                  <c:v>Северная Македония</c:v>
                </c:pt>
                <c:pt idx="40">
                  <c:v>Греция</c:v>
                </c:pt>
                <c:pt idx="41">
                  <c:v>Албания</c:v>
                </c:pt>
                <c:pt idx="42">
                  <c:v>Ирландия</c:v>
                </c:pt>
              </c:strCache>
            </c:strRef>
          </c:cat>
          <c:val>
            <c:numRef>
              <c:f>'goods tkm2'!$O$2:$O$44</c:f>
              <c:numCache>
                <c:formatCode>General</c:formatCode>
                <c:ptCount val="43"/>
                <c:pt idx="0">
                  <c:v>0.83557497497986188</c:v>
                </c:pt>
                <c:pt idx="1">
                  <c:v>0.76300469865549292</c:v>
                </c:pt>
                <c:pt idx="2">
                  <c:v>0.62120933516721955</c:v>
                </c:pt>
                <c:pt idx="3">
                  <c:v>0.61938915424834629</c:v>
                </c:pt>
                <c:pt idx="4">
                  <c:v>0.59751555997911399</c:v>
                </c:pt>
                <c:pt idx="5">
                  <c:v>0.59407944636292831</c:v>
                </c:pt>
                <c:pt idx="6">
                  <c:v>0.52148648015370913</c:v>
                </c:pt>
                <c:pt idx="7">
                  <c:v>0.44557113033104684</c:v>
                </c:pt>
                <c:pt idx="8">
                  <c:v>0.42523662082116553</c:v>
                </c:pt>
                <c:pt idx="9">
                  <c:v>0.50069182538854107</c:v>
                </c:pt>
                <c:pt idx="10">
                  <c:v>0.49321277490851362</c:v>
                </c:pt>
                <c:pt idx="11">
                  <c:v>5.2588352009367831E-2</c:v>
                </c:pt>
                <c:pt idx="12">
                  <c:v>0.44628778718258771</c:v>
                </c:pt>
                <c:pt idx="13">
                  <c:v>0.40342477198969229</c:v>
                </c:pt>
                <c:pt idx="14">
                  <c:v>0.2466481799734756</c:v>
                </c:pt>
                <c:pt idx="15">
                  <c:v>0.34290110856389161</c:v>
                </c:pt>
                <c:pt idx="16">
                  <c:v>0.17014184659827414</c:v>
                </c:pt>
                <c:pt idx="17">
                  <c:v>0.11503785064556937</c:v>
                </c:pt>
                <c:pt idx="18">
                  <c:v>0.28562229785668292</c:v>
                </c:pt>
                <c:pt idx="19">
                  <c:v>0.28275104003439938</c:v>
                </c:pt>
                <c:pt idx="20">
                  <c:v>0.27397371259539244</c:v>
                </c:pt>
                <c:pt idx="21">
                  <c:v>0.27307963354474984</c:v>
                </c:pt>
                <c:pt idx="22">
                  <c:v>0.26942978236563614</c:v>
                </c:pt>
                <c:pt idx="23">
                  <c:v>0.20960547974300431</c:v>
                </c:pt>
                <c:pt idx="24">
                  <c:v>0.2367558095679051</c:v>
                </c:pt>
                <c:pt idx="25">
                  <c:v>0.17010106313164458</c:v>
                </c:pt>
                <c:pt idx="26">
                  <c:v>0.18949958799582861</c:v>
                </c:pt>
                <c:pt idx="27">
                  <c:v>8.854501019247446E-2</c:v>
                </c:pt>
                <c:pt idx="28">
                  <c:v>0.1644408166476535</c:v>
                </c:pt>
                <c:pt idx="29">
                  <c:v>0.19767172924215559</c:v>
                </c:pt>
                <c:pt idx="30">
                  <c:v>0.16575823716255414</c:v>
                </c:pt>
                <c:pt idx="31">
                  <c:v>0.16581643545045743</c:v>
                </c:pt>
                <c:pt idx="32">
                  <c:v>0.15889184735370349</c:v>
                </c:pt>
                <c:pt idx="33">
                  <c:v>0.14046010533905529</c:v>
                </c:pt>
                <c:pt idx="34">
                  <c:v>9.7719665748309384E-2</c:v>
                </c:pt>
                <c:pt idx="35">
                  <c:v>7.4699377573078138E-2</c:v>
                </c:pt>
                <c:pt idx="36">
                  <c:v>3.2530444252719122E-2</c:v>
                </c:pt>
                <c:pt idx="37">
                  <c:v>5.0472299187817718E-2</c:v>
                </c:pt>
                <c:pt idx="38">
                  <c:v>4.3158891438144144E-2</c:v>
                </c:pt>
                <c:pt idx="39">
                  <c:v>2.4892163910855501E-2</c:v>
                </c:pt>
                <c:pt idx="40">
                  <c:v>1.1983534161793074E-2</c:v>
                </c:pt>
                <c:pt idx="41">
                  <c:v>1.1299435028248588E-2</c:v>
                </c:pt>
                <c:pt idx="42">
                  <c:v>8.4658583064910545E-3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1A4-45E7-BD17-0E0B1B92B7BC}"/>
            </c:ext>
          </c:extLst>
        </c:ser>
        <c:ser>
          <c:idx val="2"/>
          <c:order val="2"/>
          <c:tx>
            <c:strRef>
              <c:f>'goods tkm2'!$P$1</c:f>
              <c:strCache>
                <c:ptCount val="1"/>
                <c:pt idx="0">
                  <c:v>Автомобильный транспорт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'goods tkm2'!$M$2:$M$44</c:f>
              <c:strCache>
                <c:ptCount val="43"/>
                <c:pt idx="0">
                  <c:v>Грузия</c:v>
                </c:pt>
                <c:pt idx="1">
                  <c:v>Украина</c:v>
                </c:pt>
                <c:pt idx="2">
                  <c:v>Черногория</c:v>
                </c:pt>
                <c:pt idx="3">
                  <c:v>Беларусь</c:v>
                </c:pt>
                <c:pt idx="4">
                  <c:v>Канада</c:v>
                </c:pt>
                <c:pt idx="5">
                  <c:v>Казахстан</c:v>
                </c:pt>
                <c:pt idx="6">
                  <c:v>Австрия</c:v>
                </c:pt>
                <c:pt idx="7">
                  <c:v>Сербия</c:v>
                </c:pt>
                <c:pt idx="8">
                  <c:v>Соединенные Штаты</c:v>
                </c:pt>
                <c:pt idx="9">
                  <c:v>Латвия</c:v>
                </c:pt>
                <c:pt idx="10">
                  <c:v>Швейцария</c:v>
                </c:pt>
                <c:pt idx="11">
                  <c:v>Нидерланды</c:v>
                </c:pt>
                <c:pt idx="12">
                  <c:v>Кыргызстан</c:v>
                </c:pt>
                <c:pt idx="13">
                  <c:v>Узбекистан</c:v>
                </c:pt>
                <c:pt idx="14">
                  <c:v>Германия</c:v>
                </c:pt>
                <c:pt idx="15">
                  <c:v>Швеция</c:v>
                </c:pt>
                <c:pt idx="16">
                  <c:v>Румыния</c:v>
                </c:pt>
                <c:pt idx="17">
                  <c:v>Бельгия</c:v>
                </c:pt>
                <c:pt idx="18">
                  <c:v>Азербайджан</c:v>
                </c:pt>
                <c:pt idx="19">
                  <c:v>Литва</c:v>
                </c:pt>
                <c:pt idx="20">
                  <c:v>Босния и Герцеговина</c:v>
                </c:pt>
                <c:pt idx="21">
                  <c:v>Эстония</c:v>
                </c:pt>
                <c:pt idx="22">
                  <c:v>Финляндия</c:v>
                </c:pt>
                <c:pt idx="23">
                  <c:v>Венгрия</c:v>
                </c:pt>
                <c:pt idx="24">
                  <c:v>Чехия</c:v>
                </c:pt>
                <c:pt idx="25">
                  <c:v>Хорватия</c:v>
                </c:pt>
                <c:pt idx="26">
                  <c:v>Словакия</c:v>
                </c:pt>
                <c:pt idx="27">
                  <c:v>Болгария</c:v>
                </c:pt>
                <c:pt idx="28">
                  <c:v>Франция</c:v>
                </c:pt>
                <c:pt idx="29">
                  <c:v>Словения</c:v>
                </c:pt>
                <c:pt idx="30">
                  <c:v>Италия</c:v>
                </c:pt>
                <c:pt idx="31">
                  <c:v>Молдова</c:v>
                </c:pt>
                <c:pt idx="32">
                  <c:v>Норвегия</c:v>
                </c:pt>
                <c:pt idx="33">
                  <c:v>Польша</c:v>
                </c:pt>
                <c:pt idx="34">
                  <c:v>Соединенное Королевство</c:v>
                </c:pt>
                <c:pt idx="35">
                  <c:v>Португалия</c:v>
                </c:pt>
                <c:pt idx="36">
                  <c:v>Люксембург</c:v>
                </c:pt>
                <c:pt idx="37">
                  <c:v>Испания</c:v>
                </c:pt>
                <c:pt idx="38">
                  <c:v>Турция</c:v>
                </c:pt>
                <c:pt idx="39">
                  <c:v>Северная Македония</c:v>
                </c:pt>
                <c:pt idx="40">
                  <c:v>Греция</c:v>
                </c:pt>
                <c:pt idx="41">
                  <c:v>Албания</c:v>
                </c:pt>
                <c:pt idx="42">
                  <c:v>Ирландия</c:v>
                </c:pt>
              </c:strCache>
            </c:strRef>
          </c:cat>
          <c:val>
            <c:numRef>
              <c:f>'goods tkm2'!$P$2:$P$44</c:f>
              <c:numCache>
                <c:formatCode>General</c:formatCode>
                <c:ptCount val="43"/>
                <c:pt idx="0">
                  <c:v>0.16442502502013817</c:v>
                </c:pt>
                <c:pt idx="1">
                  <c:v>0.23607184264589223</c:v>
                </c:pt>
                <c:pt idx="2">
                  <c:v>0.37879066483278045</c:v>
                </c:pt>
                <c:pt idx="3">
                  <c:v>0.38029442343333281</c:v>
                </c:pt>
                <c:pt idx="4">
                  <c:v>0.40248444002088596</c:v>
                </c:pt>
                <c:pt idx="5">
                  <c:v>0.40586735372447863</c:v>
                </c:pt>
                <c:pt idx="6">
                  <c:v>0.43113547963822108</c:v>
                </c:pt>
                <c:pt idx="7">
                  <c:v>0.44124664479570536</c:v>
                </c:pt>
                <c:pt idx="8">
                  <c:v>0.49838369315987613</c:v>
                </c:pt>
                <c:pt idx="9">
                  <c:v>0.49930817461145893</c:v>
                </c:pt>
                <c:pt idx="10">
                  <c:v>0.50505157276315427</c:v>
                </c:pt>
                <c:pt idx="11">
                  <c:v>0.54896970091238795</c:v>
                </c:pt>
                <c:pt idx="12">
                  <c:v>0.55264812575574362</c:v>
                </c:pt>
                <c:pt idx="13">
                  <c:v>0.59657522801030771</c:v>
                </c:pt>
                <c:pt idx="14">
                  <c:v>0.63990183116349686</c:v>
                </c:pt>
                <c:pt idx="15">
                  <c:v>0.65709889143610845</c:v>
                </c:pt>
                <c:pt idx="16">
                  <c:v>0.67533301235756704</c:v>
                </c:pt>
                <c:pt idx="17">
                  <c:v>0.702817212505773</c:v>
                </c:pt>
                <c:pt idx="18">
                  <c:v>0.71437770214331708</c:v>
                </c:pt>
                <c:pt idx="19">
                  <c:v>0.71724859307807998</c:v>
                </c:pt>
                <c:pt idx="20">
                  <c:v>0.72602628740460762</c:v>
                </c:pt>
                <c:pt idx="21">
                  <c:v>0.72692036645525016</c:v>
                </c:pt>
                <c:pt idx="22">
                  <c:v>0.72745001170077228</c:v>
                </c:pt>
                <c:pt idx="23">
                  <c:v>0.75261338380198894</c:v>
                </c:pt>
                <c:pt idx="24">
                  <c:v>0.76269848222327474</c:v>
                </c:pt>
                <c:pt idx="25">
                  <c:v>0.77654547840924004</c:v>
                </c:pt>
                <c:pt idx="26">
                  <c:v>0.78965679717559412</c:v>
                </c:pt>
                <c:pt idx="27">
                  <c:v>0.79253527947652347</c:v>
                </c:pt>
                <c:pt idx="28">
                  <c:v>0.79960957476102434</c:v>
                </c:pt>
                <c:pt idx="29">
                  <c:v>0.80232827075784441</c:v>
                </c:pt>
                <c:pt idx="30">
                  <c:v>0.83374305955849493</c:v>
                </c:pt>
                <c:pt idx="31">
                  <c:v>0.83413745224387603</c:v>
                </c:pt>
                <c:pt idx="32">
                  <c:v>0.84110815264629646</c:v>
                </c:pt>
                <c:pt idx="33">
                  <c:v>0.85926303468726595</c:v>
                </c:pt>
                <c:pt idx="34">
                  <c:v>0.90171679683052897</c:v>
                </c:pt>
                <c:pt idx="35">
                  <c:v>0.9253006224269219</c:v>
                </c:pt>
                <c:pt idx="36">
                  <c:v>0.92645290864602636</c:v>
                </c:pt>
                <c:pt idx="37">
                  <c:v>0.9495277008121823</c:v>
                </c:pt>
                <c:pt idx="38">
                  <c:v>0.95684110856185589</c:v>
                </c:pt>
                <c:pt idx="39">
                  <c:v>0.97510783608914453</c:v>
                </c:pt>
                <c:pt idx="40">
                  <c:v>0.98801646583820701</c:v>
                </c:pt>
                <c:pt idx="41">
                  <c:v>0.98870056497175141</c:v>
                </c:pt>
                <c:pt idx="42">
                  <c:v>0.99153414169350895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1A4-45E7-BD17-0E0B1B92B7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65738696"/>
        <c:axId val="565733448"/>
      </c:barChart>
      <c:catAx>
        <c:axId val="565738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565733448"/>
        <c:crosses val="autoZero"/>
        <c:auto val="1"/>
        <c:lblAlgn val="ctr"/>
        <c:lblOffset val="100"/>
        <c:noMultiLvlLbl val="0"/>
      </c:catAx>
      <c:valAx>
        <c:axId val="565733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565738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2320</Words>
  <Characters>13228</Characters>
  <Application>Microsoft Office Word</Application>
  <DocSecurity>4</DocSecurity>
  <Lines>110</Lines>
  <Paragraphs>31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ECE/TRANS/2020/5</vt:lpstr>
      <vt:lpstr>ECE/TRANS/2020/5</vt:lpstr>
      <vt:lpstr>A/</vt:lpstr>
    </vt:vector>
  </TitlesOfParts>
  <Company>DCM</Company>
  <LinksUpToDate>false</LinksUpToDate>
  <CharactersWithSpaces>15517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ECE/TRANS/2020/5</dc:title>
  <dc:subject/>
  <dc:creator>Anna KISSELEVA</dc:creator>
  <cp:keywords/>
  <cp:lastModifiedBy>Anastasia Barinova</cp:lastModifiedBy>
  <cp:revision>2</cp:revision>
  <cp:lastPrinted>2020-01-21T09:30:00Z</cp:lastPrinted>
  <dcterms:created xsi:type="dcterms:W3CDTF">2020-01-24T16:45:00Z</dcterms:created>
  <dcterms:modified xsi:type="dcterms:W3CDTF">2020-01-24T16:45:00Z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