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C54220" w:rsidP="00C54220">
            <w:pPr>
              <w:jc w:val="right"/>
            </w:pPr>
            <w:r w:rsidRPr="00C54220">
              <w:rPr>
                <w:sz w:val="40"/>
              </w:rPr>
              <w:t>ECE</w:t>
            </w:r>
            <w:r>
              <w:t>/TRANS/2020/24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C54220" w:rsidP="00C54220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54220" w:rsidRDefault="00B22240" w:rsidP="00C54220">
            <w:pPr>
              <w:spacing w:line="240" w:lineRule="exact"/>
            </w:pPr>
            <w:r>
              <w:t>20</w:t>
            </w:r>
            <w:bookmarkStart w:id="0" w:name="_GoBack"/>
            <w:bookmarkEnd w:id="0"/>
            <w:r w:rsidR="00C54220">
              <w:t xml:space="preserve"> décembre 2019</w:t>
            </w:r>
          </w:p>
          <w:p w:rsidR="00C54220" w:rsidRDefault="00C54220" w:rsidP="00C54220">
            <w:pPr>
              <w:spacing w:line="240" w:lineRule="exact"/>
            </w:pPr>
            <w:r>
              <w:t>Français</w:t>
            </w:r>
          </w:p>
          <w:p w:rsidR="00C54220" w:rsidRPr="00DB58B5" w:rsidRDefault="00665FC6" w:rsidP="00C54220">
            <w:pPr>
              <w:spacing w:line="240" w:lineRule="exact"/>
            </w:pPr>
            <w:r>
              <w:t>Original :</w:t>
            </w:r>
            <w:r w:rsidR="00C54220">
              <w:t xml:space="preserve"> anglais et français</w:t>
            </w:r>
          </w:p>
        </w:tc>
      </w:tr>
    </w:tbl>
    <w:p w:rsidR="00DE239D" w:rsidRDefault="00DE239D" w:rsidP="00D3775F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793210" w:rsidRDefault="00793210" w:rsidP="00D3775F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93210" w:rsidRPr="00F30D47" w:rsidRDefault="00A53941" w:rsidP="00D3775F">
      <w:pPr>
        <w:spacing w:before="120"/>
        <w:rPr>
          <w:b/>
        </w:rPr>
      </w:pPr>
      <w:r>
        <w:rPr>
          <w:b/>
        </w:rPr>
        <w:t>Quatre-vingt-deuxi</w:t>
      </w:r>
      <w:r w:rsidRPr="007F4345">
        <w:rPr>
          <w:b/>
        </w:rPr>
        <w:t>ème</w:t>
      </w:r>
      <w:r>
        <w:rPr>
          <w:b/>
        </w:rPr>
        <w:t xml:space="preserve"> </w:t>
      </w:r>
      <w:r w:rsidR="00793210" w:rsidRPr="00F30D47">
        <w:rPr>
          <w:b/>
        </w:rPr>
        <w:t>session</w:t>
      </w:r>
    </w:p>
    <w:p w:rsidR="00793210" w:rsidRDefault="00793210" w:rsidP="00D3775F">
      <w:r>
        <w:t xml:space="preserve">Genève, </w:t>
      </w:r>
      <w:r w:rsidR="00A53941">
        <w:t>25-28 février 2020</w:t>
      </w:r>
    </w:p>
    <w:p w:rsidR="00A53941" w:rsidRDefault="00A53941" w:rsidP="00A53941">
      <w:r>
        <w:t>Point 14 de l’ordre du jour provisoire</w:t>
      </w:r>
    </w:p>
    <w:p w:rsidR="00A53941" w:rsidRDefault="00A53941" w:rsidP="00A53941">
      <w:pPr>
        <w:outlineLvl w:val="0"/>
        <w:rPr>
          <w:b/>
        </w:rPr>
      </w:pPr>
      <w:r>
        <w:rPr>
          <w:b/>
        </w:rPr>
        <w:t>Calendrier des réunions en 2020</w:t>
      </w:r>
    </w:p>
    <w:p w:rsidR="00665FC6" w:rsidRPr="00106458" w:rsidRDefault="00665FC6" w:rsidP="00665FC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Liste des réunions du C</w:t>
      </w:r>
      <w:r w:rsidRPr="00106458">
        <w:rPr>
          <w:lang w:val="fr-FR"/>
        </w:rPr>
        <w:t>omité des transports intérieurs et de ses organes subsidiaires</w:t>
      </w:r>
      <w:r>
        <w:rPr>
          <w:lang w:val="fr-FR"/>
        </w:rPr>
        <w:t xml:space="preserve"> </w:t>
      </w:r>
      <w:r w:rsidRPr="00106458">
        <w:rPr>
          <w:lang w:val="fr-FR"/>
        </w:rPr>
        <w:t>en 20</w:t>
      </w:r>
      <w:r>
        <w:rPr>
          <w:lang w:val="fr-FR"/>
        </w:rPr>
        <w:t>20 et en janvier-</w:t>
      </w:r>
      <w:r w:rsidRPr="00106458">
        <w:rPr>
          <w:lang w:val="fr-FR"/>
        </w:rPr>
        <w:t>mars 20</w:t>
      </w:r>
      <w:r>
        <w:rPr>
          <w:lang w:val="fr-FR"/>
        </w:rPr>
        <w:t>21</w:t>
      </w:r>
      <w:r w:rsidR="0039764D" w:rsidRPr="0039764D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665FC6" w:rsidRDefault="00665FC6" w:rsidP="00665FC6">
      <w:pPr>
        <w:pStyle w:val="H1G"/>
        <w:outlineLvl w:val="0"/>
      </w:pPr>
      <w:r w:rsidRPr="00DB7CF8">
        <w:rPr>
          <w:lang w:val="fr-FR"/>
        </w:rPr>
        <w:tab/>
      </w:r>
      <w:r w:rsidRPr="00DB7CF8">
        <w:rPr>
          <w:lang w:val="fr-FR"/>
        </w:rPr>
        <w:tab/>
      </w:r>
      <w:r w:rsidRPr="00106458">
        <w:t>Note du secrétariat</w:t>
      </w:r>
      <w:r w:rsidR="00B85DB6" w:rsidRPr="00B85DB6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02"/>
        <w:gridCol w:w="5102"/>
      </w:tblGrid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ChG"/>
            </w:pPr>
            <w:r w:rsidRPr="00477C69">
              <w:t>Calendrier des réunions en 20</w:t>
            </w:r>
            <w:r>
              <w:t>20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 w:rsidRPr="001312CE">
              <w:t>Janvier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14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 xml:space="preserve">(p.m.) </w:t>
            </w:r>
            <w:r>
              <w:rPr>
                <w:lang w:val="fr-FR"/>
              </w:rPr>
              <w:t>-</w:t>
            </w:r>
            <w:r w:rsidR="009A3200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7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</w:t>
            </w:r>
            <w:r>
              <w:rPr>
                <w:lang w:val="fr-FR"/>
              </w:rPr>
              <w:t xml:space="preserve">quatre-vingtième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7-31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</w:t>
            </w:r>
            <w:r>
              <w:rPr>
                <w:lang w:val="fr-FR"/>
              </w:rPr>
              <w:t>s</w:t>
            </w:r>
            <w:r w:rsidRPr="008D572D">
              <w:rPr>
                <w:lang w:val="fr-FR"/>
              </w:rPr>
              <w:t xml:space="preserve"> de navigation intérieure (ADN) (WP.15/AC.2) (</w:t>
            </w:r>
            <w:r>
              <w:rPr>
                <w:lang w:val="fr-FR"/>
              </w:rPr>
              <w:t>trente-sixième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 xml:space="preserve">28 </w:t>
            </w:r>
            <w:r w:rsidR="009A3200">
              <w:rPr>
                <w:lang w:val="fr-FR"/>
              </w:rPr>
              <w:t xml:space="preserve">(p.m.) </w:t>
            </w:r>
            <w:r>
              <w:rPr>
                <w:lang w:val="fr-FR"/>
              </w:rPr>
              <w:t>-</w:t>
            </w:r>
            <w:r w:rsidR="009A320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31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Groupe de travail </w:t>
            </w:r>
            <w:r>
              <w:rPr>
                <w:lang w:val="fr-FR"/>
              </w:rPr>
              <w:t>sur le bruit et les pneumatiques</w:t>
            </w:r>
            <w:r w:rsidRPr="008D572D">
              <w:rPr>
                <w:lang w:val="fr-FR"/>
              </w:rPr>
              <w:t xml:space="preserve"> (GR</w:t>
            </w:r>
            <w:r>
              <w:rPr>
                <w:lang w:val="fr-FR"/>
              </w:rPr>
              <w:t>BP</w:t>
            </w:r>
            <w:r w:rsidRPr="008D572D">
              <w:rPr>
                <w:lang w:val="fr-FR"/>
              </w:rPr>
              <w:t>) (</w:t>
            </w:r>
            <w:r>
              <w:rPr>
                <w:lang w:val="fr-FR"/>
              </w:rPr>
              <w:t>soixante-et-onzième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Del="00C62E02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30-31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CE2E6A" w:rsidDel="00C62E02" w:rsidRDefault="00665FC6" w:rsidP="00602A8B">
            <w:r>
              <w:rPr>
                <w:lang w:val="fr-FR"/>
              </w:rPr>
              <w:t>Groupe d’experts de l’évaluation comparative des coûts de construction des infrastructures de transport (WP.5/GE.4) (dixième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31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</w:t>
            </w:r>
            <w:r>
              <w:rPr>
                <w:lang w:val="fr-FR"/>
              </w:rPr>
              <w:t>s</w:t>
            </w:r>
            <w:r w:rsidRPr="008D572D">
              <w:rPr>
                <w:lang w:val="fr-FR"/>
              </w:rPr>
              <w:t xml:space="preserve"> de navigation intérieure (ADN) (</w:t>
            </w:r>
            <w:r>
              <w:rPr>
                <w:lang w:val="fr-FR"/>
              </w:rPr>
              <w:t>vingt-quatrième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EC17EB" w:rsidRDefault="00665FC6" w:rsidP="00602A8B">
            <w:pPr>
              <w:pStyle w:val="H1G"/>
            </w:pPr>
            <w:r w:rsidRPr="00EC17EB">
              <w:lastRenderedPageBreak/>
              <w:t>Février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DD6784" w:rsidRDefault="00665FC6" w:rsidP="00602A8B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(quatre-vingt-troisième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4</w:t>
            </w:r>
            <w:r>
              <w:rPr>
                <w:lang w:val="fr-FR"/>
              </w:rPr>
              <w:t xml:space="preserve">-5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  <w:r>
              <w:rPr>
                <w:lang w:val="fr-FR"/>
              </w:rPr>
              <w:t xml:space="preserve"> et 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</w:t>
            </w:r>
            <w:r w:rsidR="00E978E1">
              <w:rPr>
                <w:lang w:val="fr-FR"/>
              </w:rPr>
              <w:t>154</w:t>
            </w:r>
            <w:proofErr w:type="spellStart"/>
            <w:r w:rsidR="00E978E1">
              <w:t>ème</w:t>
            </w:r>
            <w:proofErr w:type="spellEnd"/>
            <w:r w:rsidR="00E978E1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 xml:space="preserve">5 </w:t>
            </w:r>
            <w:r w:rsidR="009A3200"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internationale sur l’harmonisation du contrôle des marchandises aux frontières, 1982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 (</w:t>
            </w:r>
            <w:r>
              <w:rPr>
                <w:lang w:val="fr-FR"/>
              </w:rPr>
              <w:t>soixante-douzième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2C73BA" w:rsidRDefault="00665FC6" w:rsidP="00602A8B">
            <w:pPr>
              <w:spacing w:before="40" w:after="120"/>
              <w:ind w:right="113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C62E02">
              <w:rPr>
                <w:lang w:val="en-GB"/>
              </w:rPr>
              <w:t xml:space="preserve"> </w:t>
            </w:r>
            <w:r w:rsidR="009A3200">
              <w:rPr>
                <w:lang w:val="en-GB"/>
              </w:rPr>
              <w:t xml:space="preserve">(p.m.) </w:t>
            </w:r>
            <w:r w:rsidRPr="00C62E02">
              <w:rPr>
                <w:lang w:val="en-GB"/>
              </w:rPr>
              <w:t>-</w:t>
            </w:r>
            <w:r w:rsidR="009A3200">
              <w:rPr>
                <w:lang w:val="en-GB"/>
              </w:rPr>
              <w:t xml:space="preserve"> </w:t>
            </w:r>
            <w:r w:rsidRPr="00C62E02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C62E02">
              <w:rPr>
                <w:lang w:val="en-GB"/>
              </w:rPr>
              <w:t xml:space="preserve"> </w:t>
            </w:r>
            <w:r w:rsidR="009A3200">
              <w:rPr>
                <w:lang w:val="en-GB"/>
              </w:rPr>
              <w:t>(a.m.)</w:t>
            </w:r>
            <w:r w:rsidRPr="00C62E02">
              <w:rPr>
                <w:lang w:val="en-GB"/>
              </w:rP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 w:rsidRPr="00735AEE">
              <w:rPr>
                <w:bCs/>
                <w:lang w:val="fr-FR"/>
              </w:rPr>
              <w:t>Groupe de travail des véhicules automatisés/</w:t>
            </w:r>
            <w:r w:rsidRPr="00735AEE">
              <w:rPr>
                <w:bCs/>
                <w:lang w:val="fr-FR"/>
              </w:rPr>
              <w:br/>
              <w:t>autonomes et connectés</w:t>
            </w:r>
            <w:r>
              <w:t xml:space="preserve"> (GRVA) (cinquième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 xml:space="preserve">2-14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</w:t>
            </w:r>
            <w:r>
              <w:rPr>
                <w:lang w:val="fr-FR"/>
              </w:rPr>
              <w:t>cinquante-sixième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>
              <w:rPr>
                <w:color w:val="000000"/>
                <w:szCs w:val="24"/>
                <w:lang w:val="fr-FR"/>
              </w:rPr>
              <w:t>vingt-troisième</w:t>
            </w:r>
            <w: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24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  <w:r>
              <w:rPr>
                <w:lang w:val="fr-FR"/>
              </w:rPr>
              <w:t xml:space="preserve">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 xml:space="preserve">25-28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</w:t>
            </w:r>
            <w:r>
              <w:rPr>
                <w:lang w:val="fr-FR"/>
              </w:rPr>
              <w:t>quatre-vingt-deuxième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28 </w:t>
            </w:r>
            <w:r w:rsidR="009A3200">
              <w:rPr>
                <w:lang w:val="fr-FR"/>
              </w:rPr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 w:rsidRPr="001312CE">
              <w:t>Mars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</w:t>
            </w:r>
            <w:r w:rsidR="00E978E1">
              <w:rPr>
                <w:lang w:val="fr-FR"/>
              </w:rPr>
              <w:t xml:space="preserve">132ème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Del="00DF345D" w:rsidRDefault="00665FC6" w:rsidP="00602A8B">
            <w:pPr>
              <w:spacing w:before="40" w:after="120"/>
              <w:ind w:right="113"/>
            </w:pPr>
            <w:r>
              <w:t>9-13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Forum mondial</w:t>
            </w:r>
            <w:r w:rsidRPr="008D572D">
              <w:rPr>
                <w:lang w:val="fr-FR"/>
              </w:rPr>
              <w:t xml:space="preserve"> de la sécurité </w:t>
            </w:r>
            <w:r>
              <w:rPr>
                <w:lang w:val="fr-FR"/>
              </w:rPr>
              <w:t>routière</w:t>
            </w:r>
            <w:r w:rsidRPr="008D572D">
              <w:rPr>
                <w:lang w:val="fr-FR"/>
              </w:rPr>
              <w:t xml:space="preserve"> (WP.1) (</w:t>
            </w:r>
            <w:r>
              <w:rPr>
                <w:lang w:val="fr-FR"/>
              </w:rPr>
              <w:t xml:space="preserve">quatre-vingt-unième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10</w:t>
            </w:r>
            <w:r>
              <w:rPr>
                <w:lang w:val="fr-FR"/>
              </w:rPr>
              <w:t>-</w:t>
            </w: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 xml:space="preserve">3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</w:t>
            </w:r>
            <w:r w:rsidR="00E978E1">
              <w:rPr>
                <w:lang w:val="fr-FR"/>
              </w:rPr>
              <w:t>180ème</w:t>
            </w:r>
            <w:r w:rsidRPr="008D572D">
              <w:rPr>
                <w:lang w:val="fr-FR"/>
              </w:rPr>
              <w:t xml:space="preserve">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>16</w:t>
            </w:r>
            <w:r>
              <w:rPr>
                <w:lang w:val="fr-FR"/>
              </w:rPr>
              <w:t>-20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u w:val="single"/>
                <w:lang w:val="fr-FR"/>
              </w:rPr>
              <w:t>aura lieu à Berne</w:t>
            </w:r>
            <w:r>
              <w:rPr>
                <w:lang w:val="fr-FR"/>
              </w:rPr>
              <w:t xml:space="preserve">)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Del="0005034D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 xml:space="preserve">30 </w:t>
            </w:r>
            <w:r w:rsidR="009A3200">
              <w:rPr>
                <w:lang w:val="fr-FR"/>
              </w:rPr>
              <w:t xml:space="preserve">(p.m.) - </w:t>
            </w:r>
            <w:r>
              <w:rPr>
                <w:lang w:val="fr-FR"/>
              </w:rPr>
              <w:t xml:space="preserve">3 avril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Del="0005034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sur les dispositions générales de sécurité (GRSG) (</w:t>
            </w:r>
            <w:r w:rsidR="00E978E1">
              <w:rPr>
                <w:lang w:val="fr-FR"/>
              </w:rPr>
              <w:t>118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 w:rsidRPr="001312CE">
              <w:lastRenderedPageBreak/>
              <w:t>Avril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6-9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Groupe de travail sur le transport des denrées périssables (WP.11) </w:t>
            </w:r>
            <w:r>
              <w:rPr>
                <w:lang w:val="fr-FR"/>
              </w:rPr>
              <w:t xml:space="preserve">(soixante-seizième </w:t>
            </w:r>
            <w:r w:rsidRPr="008D572D">
              <w:rPr>
                <w:lang w:val="fr-FR"/>
              </w:rPr>
              <w:t>session</w:t>
            </w:r>
            <w:r>
              <w:rPr>
                <w:lang w:val="fr-FR"/>
              </w:rPr>
              <w:t>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r>
              <w:t>7</w:t>
            </w:r>
            <w:r>
              <w:rPr>
                <w:lang w:val="fr-FR"/>
              </w:rPr>
              <w:t>-</w:t>
            </w:r>
            <w: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Default="00665FC6" w:rsidP="00E978E1">
            <w:r w:rsidRPr="007039D4">
              <w:t>Groupe d’experts chargé d’</w:t>
            </w:r>
            <w:r>
              <w:t>évaluer</w:t>
            </w:r>
            <w:r w:rsidRPr="007039D4">
              <w:t xml:space="preserve"> les effets des changements climatiques </w:t>
            </w:r>
            <w:r>
              <w:t xml:space="preserve">sur les transports intérieurs </w:t>
            </w:r>
            <w:r w:rsidRPr="007039D4">
              <w:t>et l’adaptation à ces changements (WP.5/GE.3) (</w:t>
            </w:r>
            <w:r w:rsidRPr="00847120">
              <w:t>dix-</w:t>
            </w:r>
            <w:r>
              <w:t xml:space="preserve">neuvième </w:t>
            </w:r>
            <w:r w:rsidRPr="007039D4">
              <w:t>session)</w:t>
            </w:r>
            <w:r>
              <w:rPr>
                <w:rStyle w:val="FootnoteReference"/>
              </w:rPr>
              <w:footnoteReference w:id="4"/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tabs>
                <w:tab w:val="left" w:pos="992"/>
              </w:tabs>
              <w:spacing w:before="40" w:after="120"/>
              <w:ind w:right="113"/>
            </w:pPr>
            <w:r>
              <w:rPr>
                <w:lang w:val="fr-FR"/>
              </w:rPr>
              <w:t>21-24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152CCF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</w:t>
            </w:r>
            <w:r>
              <w:rPr>
                <w:lang w:val="fr-FR"/>
              </w:rPr>
              <w:t>quatre-vingt-troisi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8D572D" w:rsidRDefault="00665FC6" w:rsidP="00602A8B">
            <w:pPr>
              <w:pStyle w:val="H1G"/>
              <w:rPr>
                <w:lang w:val="fr-FR"/>
              </w:rPr>
            </w:pPr>
            <w:r w:rsidRPr="008D572D">
              <w:rPr>
                <w:lang w:val="fr-FR"/>
              </w:rPr>
              <w:t>Mai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>11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(p.m.)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>-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15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sur la sécurité passive (GRSP) (</w:t>
            </w:r>
            <w:r>
              <w:rPr>
                <w:lang w:val="fr-FR"/>
              </w:rPr>
              <w:t xml:space="preserve">soixante-septième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11-</w:t>
            </w:r>
            <w:r>
              <w:rPr>
                <w:lang w:val="fr-FR"/>
              </w:rPr>
              <w:t>15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 w:rsidR="005B5D6E">
              <w:rPr>
                <w:lang w:val="fr-FR"/>
              </w:rPr>
              <w:t>108</w:t>
            </w:r>
            <w:r>
              <w:rPr>
                <w:lang w:val="fr-FR"/>
              </w:rPr>
              <w:t>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26-27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(onzième session)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514D22" w:rsidRDefault="00665FC6" w:rsidP="00602A8B">
            <w:pPr>
              <w:pStyle w:val="H1G"/>
            </w:pPr>
            <w:r w:rsidRPr="00514D22">
              <w:t>Juin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t>8</w:t>
            </w:r>
          </w:p>
        </w:tc>
        <w:tc>
          <w:tcPr>
            <w:tcW w:w="5102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  <w:r w:rsidRPr="00340317">
              <w:t>Bureau du Comité des transports intérieurs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665FC6" w:rsidRPr="00DD6784" w:rsidRDefault="00665FC6" w:rsidP="00602A8B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(quatre-vingt-quatrième session)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9-12</w:t>
            </w:r>
          </w:p>
        </w:tc>
        <w:tc>
          <w:tcPr>
            <w:tcW w:w="5102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</w:t>
            </w:r>
            <w:r w:rsidR="005B5D6E">
              <w:rPr>
                <w:lang w:val="fr-FR"/>
              </w:rPr>
              <w:t>155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 xml:space="preserve">9 </w:t>
            </w:r>
            <w:r w:rsidR="009A3200">
              <w:rPr>
                <w:lang w:val="fr-FR"/>
              </w:rPr>
              <w:t>(p.m.)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>-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12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sur la pollution et l’énergie (GRPE) (</w:t>
            </w:r>
            <w:r>
              <w:rPr>
                <w:lang w:val="fr-FR"/>
              </w:rPr>
              <w:t>quatre-vingt-unième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15</w:t>
            </w:r>
          </w:p>
        </w:tc>
        <w:tc>
          <w:tcPr>
            <w:tcW w:w="5102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>
              <w:rPr>
                <w:color w:val="000000"/>
                <w:szCs w:val="24"/>
                <w:lang w:val="fr-FR"/>
              </w:rPr>
              <w:t>vingt-quatrième</w:t>
            </w:r>
            <w: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t>17</w:t>
            </w:r>
            <w:r>
              <w:rPr>
                <w:lang w:val="fr-FR"/>
              </w:rPr>
              <w:t>-19</w:t>
            </w:r>
          </w:p>
        </w:tc>
        <w:tc>
          <w:tcPr>
            <w:tcW w:w="5102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des statistiques de transport (WP.6) (soixante-</w:t>
            </w:r>
            <w:r>
              <w:rPr>
                <w:lang w:val="fr-FR"/>
              </w:rPr>
              <w:t>et-onzi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102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</w:t>
            </w:r>
            <w:r w:rsidR="00915F55">
              <w:rPr>
                <w:lang w:val="fr-FR"/>
              </w:rPr>
              <w:t>133</w:t>
            </w:r>
            <w:r>
              <w:rPr>
                <w:lang w:val="fr-FR"/>
              </w:rPr>
              <w:t>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23</w:t>
            </w:r>
            <w:r>
              <w:rPr>
                <w:lang w:val="fr-FR"/>
              </w:rPr>
              <w:t>-</w:t>
            </w: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 xml:space="preserve">6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</w:t>
            </w:r>
            <w:r w:rsidR="00DF09F7">
              <w:rPr>
                <w:lang w:val="fr-FR"/>
              </w:rPr>
              <w:t>181</w:t>
            </w:r>
            <w:r>
              <w:rPr>
                <w:lang w:val="fr-FR"/>
              </w:rPr>
              <w:t>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 xml:space="preserve">24-26 </w:t>
            </w:r>
          </w:p>
        </w:tc>
        <w:tc>
          <w:tcPr>
            <w:tcW w:w="5102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</w:t>
            </w:r>
            <w:r>
              <w:rPr>
                <w:lang w:val="fr-FR"/>
              </w:rPr>
              <w:t>cinquante-septième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29-8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  <w:r>
              <w:rPr>
                <w:lang w:val="fr-FR"/>
              </w:rPr>
              <w:t xml:space="preserve"> juillet </w:t>
            </w:r>
          </w:p>
        </w:tc>
        <w:tc>
          <w:tcPr>
            <w:tcW w:w="5102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Sous-Comité d’experts du Conseil économique et social en matière de transport des marchandises dangereuses (</w:t>
            </w:r>
            <w:r>
              <w:rPr>
                <w:lang w:val="fr-FR"/>
              </w:rPr>
              <w:t>cinquante-septième s</w:t>
            </w:r>
            <w:r w:rsidRPr="008D572D">
              <w:rPr>
                <w:lang w:val="fr-FR"/>
              </w:rPr>
              <w:t>ession) (ST/SG/AC.10/C.3)</w:t>
            </w:r>
            <w:r w:rsidRPr="008D572D">
              <w:rPr>
                <w:rStyle w:val="FootnoteReference"/>
                <w:lang w:val="fr-FR"/>
              </w:rPr>
              <w:footnoteReference w:id="5"/>
            </w:r>
          </w:p>
        </w:tc>
      </w:tr>
      <w:tr w:rsidR="0030055C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30055C" w:rsidRPr="00BE4DF2" w:rsidRDefault="0030055C" w:rsidP="00602A8B">
            <w:pPr>
              <w:pStyle w:val="H1G"/>
            </w:pPr>
            <w:r w:rsidRPr="00405642">
              <w:rPr>
                <w:szCs w:val="24"/>
              </w:rPr>
              <w:t>Juillet</w:t>
            </w:r>
          </w:p>
        </w:tc>
      </w:tr>
      <w:tr w:rsidR="0030055C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30055C" w:rsidRPr="00405642" w:rsidRDefault="0030055C" w:rsidP="00602A8B">
            <w:pPr>
              <w:spacing w:before="40" w:after="120"/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0055C" w:rsidRPr="0038663C" w:rsidRDefault="0030055C" w:rsidP="00602A8B">
            <w:pPr>
              <w:spacing w:before="40" w:after="120"/>
              <w:ind w:right="113"/>
            </w:pP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7-9</w:t>
            </w:r>
          </w:p>
        </w:tc>
        <w:tc>
          <w:tcPr>
            <w:tcW w:w="5102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vingt-deuxième</w:t>
            </w:r>
            <w:r w:rsidRPr="008D572D">
              <w:rPr>
                <w:lang w:val="fr-FR"/>
              </w:rPr>
              <w:t xml:space="preserve"> session)</w:t>
            </w:r>
            <w:r>
              <w:rPr>
                <w:lang w:val="fr-FR"/>
              </w:rPr>
              <w:t xml:space="preserve"> </w:t>
            </w:r>
          </w:p>
        </w:tc>
      </w:tr>
      <w:tr w:rsidR="00665FC6" w:rsidRPr="0038663C" w:rsidTr="00602A8B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t xml:space="preserve">8 </w:t>
            </w:r>
            <w:r w:rsidR="009A3200">
              <w:t>(p.m.)</w:t>
            </w:r>
            <w:r w:rsidR="007A106D">
              <w:t xml:space="preserve"> </w:t>
            </w:r>
            <w:r>
              <w:rPr>
                <w:lang w:val="fr-FR"/>
              </w:rPr>
              <w:t>-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10 </w:t>
            </w:r>
          </w:p>
        </w:tc>
        <w:tc>
          <w:tcPr>
            <w:tcW w:w="5102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trente-neuvi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FootnoteReference"/>
                <w:lang w:val="fr-FR"/>
              </w:rPr>
              <w:footnoteReference w:id="6"/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BE4DF2" w:rsidRDefault="00665FC6" w:rsidP="00602A8B">
            <w:pPr>
              <w:pStyle w:val="H1G"/>
            </w:pPr>
            <w:r w:rsidRPr="00BE4DF2">
              <w:t>Août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24-28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</w:t>
            </w:r>
            <w:r>
              <w:rPr>
                <w:lang w:val="fr-FR"/>
              </w:rPr>
              <w:t>trente-septi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28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>
              <w:rPr>
                <w:lang w:val="fr-FR"/>
              </w:rPr>
              <w:t>vingt-cinquième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bookmarkStart w:id="1" w:name="_Hlk531101032"/>
            <w:r w:rsidRPr="001312CE">
              <w:t>Septembre</w:t>
            </w:r>
          </w:p>
        </w:tc>
      </w:tr>
      <w:bookmarkEnd w:id="1"/>
      <w:tr w:rsidR="00665FC6" w:rsidRPr="0038663C" w:rsidTr="00602A8B">
        <w:trPr>
          <w:cantSplit/>
          <w:trHeight w:val="825"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>7</w:t>
            </w:r>
            <w:r>
              <w:rPr>
                <w:lang w:val="fr-FR"/>
              </w:rPr>
              <w:t>-9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 xml:space="preserve">Groupe de travail chargé d’examiner les tendances et l’économie des transports (WP.5) (trente-troisième session) </w:t>
            </w:r>
          </w:p>
        </w:tc>
      </w:tr>
      <w:tr w:rsidR="00665FC6" w:rsidRPr="0038663C" w:rsidTr="00602A8B">
        <w:trPr>
          <w:cantSplit/>
          <w:trHeight w:val="825"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7</w:t>
            </w:r>
            <w:r w:rsidRPr="008D572D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(p.m.)</w:t>
            </w:r>
            <w:r w:rsidR="007A106D">
              <w:rPr>
                <w:lang w:val="fr-FR"/>
              </w:rPr>
              <w:t xml:space="preserve"> </w:t>
            </w:r>
            <w:r w:rsidR="0030055C">
              <w:rPr>
                <w:lang w:val="fr-FR"/>
              </w:rPr>
              <w:t>-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Groupe de travail sur le bruit </w:t>
            </w:r>
            <w:r>
              <w:rPr>
                <w:lang w:val="fr-FR"/>
              </w:rPr>
              <w:t xml:space="preserve">et les pneumatiques </w:t>
            </w:r>
            <w:r w:rsidRPr="008D572D">
              <w:rPr>
                <w:lang w:val="fr-FR"/>
              </w:rPr>
              <w:t>(GRB</w:t>
            </w:r>
            <w:r>
              <w:rPr>
                <w:lang w:val="fr-FR"/>
              </w:rPr>
              <w:t>P</w:t>
            </w:r>
            <w:r w:rsidRPr="008D572D">
              <w:rPr>
                <w:lang w:val="fr-FR"/>
              </w:rPr>
              <w:t>) (</w:t>
            </w:r>
            <w:r>
              <w:rPr>
                <w:lang w:val="fr-FR"/>
              </w:rPr>
              <w:t xml:space="preserve">soixante-douzième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4-18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Réunion commune de la Commission de sécurité du RID et du Groupe de travail des transports de marchandises dangereuses (WP.15/AC.1)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-25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735AEE" w:rsidRDefault="00665FC6" w:rsidP="00602A8B">
            <w:pPr>
              <w:spacing w:before="40" w:after="120"/>
              <w:ind w:right="113"/>
              <w:rPr>
                <w:bCs/>
                <w:lang w:val="fr-FR"/>
              </w:rPr>
            </w:pPr>
            <w:r>
              <w:rPr>
                <w:lang w:val="fr-FR"/>
              </w:rPr>
              <w:t>Forum mondial pour</w:t>
            </w:r>
            <w:r w:rsidRPr="008D572D">
              <w:rPr>
                <w:lang w:val="fr-FR"/>
              </w:rPr>
              <w:t xml:space="preserve"> la sécurité routière (WP.1) (</w:t>
            </w:r>
            <w:r>
              <w:rPr>
                <w:lang w:val="fr-FR"/>
              </w:rPr>
              <w:t>quatre-vingt-deuxi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735AEE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="0030055C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(p.m.)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>-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>25</w:t>
            </w:r>
            <w:r w:rsidR="0030055C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735AEE" w:rsidRDefault="00665FC6" w:rsidP="00602A8B">
            <w:pPr>
              <w:spacing w:before="40" w:after="120"/>
              <w:ind w:right="113"/>
            </w:pPr>
            <w:r w:rsidRPr="00735AEE">
              <w:rPr>
                <w:bCs/>
                <w:lang w:val="fr-FR"/>
              </w:rPr>
              <w:t>Groupe de travail des véhicules automatisés/autonomes et connectés</w:t>
            </w:r>
            <w:r>
              <w:t xml:space="preserve"> (GRV</w:t>
            </w:r>
            <w:r w:rsidRPr="00735AEE">
              <w:t>A) (</w:t>
            </w:r>
            <w:r>
              <w:t>sixième</w:t>
            </w:r>
            <w:r w:rsidRPr="00735AEE">
              <w:t xml:space="preserve"> session)</w:t>
            </w:r>
          </w:p>
        </w:tc>
      </w:tr>
      <w:tr w:rsidR="00665FC6" w:rsidRPr="00735AEE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28-30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vingt-troisiè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 w:rsidRPr="00477C69">
              <w:lastRenderedPageBreak/>
              <w:t>Octobre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1-2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7039D4">
              <w:t>Groupe d’experts chargé d’</w:t>
            </w:r>
            <w:r>
              <w:t>évaluer</w:t>
            </w:r>
            <w:r w:rsidRPr="007039D4">
              <w:t xml:space="preserve"> les effets des changements climatiques </w:t>
            </w:r>
            <w:r>
              <w:t xml:space="preserve">sur les transports intérieurs </w:t>
            </w:r>
            <w:r w:rsidRPr="007039D4">
              <w:t>et l’adaptation à ces changements (WP.5/GE.3)</w:t>
            </w:r>
            <w:r>
              <w:t xml:space="preserve"> (vingtième session) (à confirmer)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 xml:space="preserve">6-9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</w:t>
            </w:r>
            <w:r w:rsidR="00305064">
              <w:rPr>
                <w:lang w:val="fr-FR"/>
              </w:rPr>
              <w:t>119ème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7-9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des transports par voie navigable (SC.3) (</w:t>
            </w:r>
            <w:r>
              <w:rPr>
                <w:lang w:val="fr-FR"/>
              </w:rPr>
              <w:t>soixante-quatrième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t>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DD6784" w:rsidRDefault="00665FC6" w:rsidP="00602A8B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(quatre-vingt-cinquième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 xml:space="preserve">13-14 et 16 (à confirmer)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</w:t>
            </w:r>
            <w:r w:rsidR="00305064">
              <w:rPr>
                <w:lang w:val="fr-FR"/>
              </w:rPr>
              <w:t>156</w:t>
            </w:r>
            <w:r w:rsidR="007D406B">
              <w:rPr>
                <w:lang w:val="fr-FR"/>
              </w:rPr>
              <w:t>ème</w:t>
            </w:r>
            <w:r w:rsidR="00305064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en-GB"/>
              </w:rP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>
              <w:rPr>
                <w:color w:val="000000"/>
                <w:szCs w:val="24"/>
                <w:lang w:val="fr-FR"/>
              </w:rPr>
              <w:t>vingt-cinquième</w:t>
            </w:r>
            <w: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F73727" w:rsidDel="00A821D9" w:rsidRDefault="00665FC6" w:rsidP="00602A8B">
            <w:pPr>
              <w:spacing w:before="40" w:after="120"/>
              <w:ind w:right="113"/>
              <w:rPr>
                <w:lang w:val="en-GB"/>
              </w:rPr>
            </w:pPr>
            <w:r>
              <w:rPr>
                <w:lang w:val="fr-FR"/>
              </w:rPr>
              <w:t>13-16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sur le transport des denrées périssables (WP.11) (</w:t>
            </w:r>
            <w:proofErr w:type="spellStart"/>
            <w:r w:rsidRPr="008D572D">
              <w:rPr>
                <w:lang w:val="fr-FR"/>
              </w:rPr>
              <w:t>soixante-</w:t>
            </w:r>
            <w:r>
              <w:rPr>
                <w:lang w:val="fr-FR"/>
              </w:rPr>
              <w:t>dix-septi</w:t>
            </w:r>
            <w:r w:rsidRPr="00CE2E6A">
              <w:t>ème</w:t>
            </w:r>
            <w:proofErr w:type="spellEnd"/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F73727" w:rsidRDefault="00665FC6" w:rsidP="00602A8B">
            <w:pPr>
              <w:tabs>
                <w:tab w:val="left" w:pos="992"/>
              </w:tabs>
              <w:spacing w:before="40" w:after="120"/>
              <w:ind w:right="113"/>
              <w:rPr>
                <w:lang w:val="en-GB"/>
              </w:rPr>
            </w:pPr>
            <w:r w:rsidRPr="00F73727">
              <w:rPr>
                <w:lang w:val="en-GB"/>
              </w:rPr>
              <w:t>1</w:t>
            </w:r>
            <w:r>
              <w:rPr>
                <w:lang w:val="en-GB"/>
              </w:rPr>
              <w:t>4-</w:t>
            </w:r>
            <w:r w:rsidRPr="00F73727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Groupe de travail des transports routiers (SC.1) (</w:t>
            </w:r>
            <w:r w:rsidR="00FF4E45">
              <w:t>115</w:t>
            </w:r>
            <w: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t>15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954EE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954EE">
              <w:rPr>
                <w:lang w:val="fr-FR"/>
              </w:rPr>
              <w:t>Comité de gestion de la Convention TIR (WP.30/AC.2) (soixante-</w:t>
            </w:r>
            <w:r>
              <w:rPr>
                <w:lang w:val="fr-FR"/>
              </w:rPr>
              <w:t>treizième session</w:t>
            </w:r>
            <w:r w:rsidRPr="008954EE">
              <w:rPr>
                <w:lang w:val="fr-FR"/>
              </w:rPr>
              <w:t>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 xml:space="preserve">20-23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954EE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sur l’éclairage et la signalisation lumineuse (GRE) (</w:t>
            </w:r>
            <w:r>
              <w:rPr>
                <w:lang w:val="fr-FR"/>
              </w:rPr>
              <w:t>quatre-vingt-quatrième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28-30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du transport modal et de la logistique (WP.24) (</w:t>
            </w:r>
            <w:r>
              <w:rPr>
                <w:lang w:val="fr-FR"/>
              </w:rPr>
              <w:t>soixante-troisième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40317" w:rsidRDefault="00665FC6" w:rsidP="00602A8B">
            <w:pPr>
              <w:pStyle w:val="H1G"/>
            </w:pPr>
            <w:r w:rsidRPr="00340317">
              <w:t>Novembre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de gestion pour la coordination des travaux (WP.29/AC.2) (</w:t>
            </w:r>
            <w:r w:rsidR="00234137">
              <w:rPr>
                <w:lang w:val="fr-FR"/>
              </w:rPr>
              <w:t>134</w:t>
            </w:r>
            <w:r>
              <w:rPr>
                <w:lang w:val="fr-FR"/>
              </w:rPr>
              <w:t xml:space="preserve">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10</w:t>
            </w:r>
            <w:r>
              <w:rPr>
                <w:lang w:val="fr-FR"/>
              </w:rPr>
              <w:t>-13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 w:rsidR="00234137">
              <w:rPr>
                <w:lang w:val="fr-FR"/>
              </w:rPr>
              <w:t>109</w:t>
            </w:r>
            <w:r>
              <w:rPr>
                <w:lang w:val="fr-FR"/>
              </w:rPr>
              <w:t>è</w:t>
            </w:r>
            <w:r w:rsidRPr="008D572D">
              <w:rPr>
                <w:lang w:val="fr-FR"/>
              </w:rPr>
              <w:t>me session)</w:t>
            </w:r>
          </w:p>
        </w:tc>
      </w:tr>
      <w:tr w:rsidR="00665FC6" w:rsidRPr="0038663C" w:rsidTr="00602A8B">
        <w:trPr>
          <w:cantSplit/>
          <w:trHeight w:val="1257"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10</w:t>
            </w:r>
            <w:r>
              <w:rPr>
                <w:lang w:val="fr-FR"/>
              </w:rPr>
              <w:t>-</w:t>
            </w: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 xml:space="preserve">3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</w:t>
            </w:r>
            <w:r w:rsidR="00E070CB">
              <w:rPr>
                <w:lang w:val="fr-FR"/>
              </w:rPr>
              <w:t>182</w:t>
            </w:r>
            <w:r>
              <w:rPr>
                <w:lang w:val="fr-FR"/>
              </w:rPr>
              <w:t xml:space="preserve">ème </w:t>
            </w:r>
            <w:r w:rsidRPr="008D572D">
              <w:rPr>
                <w:lang w:val="fr-FR"/>
              </w:rPr>
              <w:t>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18-20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des transports par chemin de fer (SC.2) (soixante-</w:t>
            </w:r>
            <w:r>
              <w:rPr>
                <w:lang w:val="fr-FR"/>
              </w:rPr>
              <w:t>quatorzi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4-25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lastRenderedPageBreak/>
              <w:t>30-8 décembre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Sous-Comité d’experts du Conseil économique et social en matière de transport des marchandises dangereuses (</w:t>
            </w:r>
            <w:r>
              <w:rPr>
                <w:lang w:val="fr-FR"/>
              </w:rPr>
              <w:t>cinquante-huiti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FootnoteReference"/>
                <w:lang w:val="fr-FR"/>
              </w:rPr>
              <w:footnoteReference w:id="7"/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>
              <w:t>Déc</w:t>
            </w:r>
            <w:r w:rsidRPr="001312CE">
              <w:t>embre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t>3-4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(quatre-vingt-septième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7 </w:t>
            </w:r>
            <w:r w:rsidR="009A3200">
              <w:t>(p.m.)</w:t>
            </w:r>
            <w:r w:rsidR="007A106D">
              <w:t xml:space="preserve"> </w:t>
            </w:r>
            <w:r>
              <w:rPr>
                <w:lang w:val="fr-FR"/>
              </w:rPr>
              <w:t>-</w:t>
            </w:r>
            <w:r w:rsidR="007A106D">
              <w:rPr>
                <w:lang w:val="fr-FR"/>
              </w:rPr>
              <w:t xml:space="preserve"> </w:t>
            </w:r>
            <w:r>
              <w:rPr>
                <w:lang w:val="fr-FR"/>
              </w:rPr>
              <w:t>11</w:t>
            </w:r>
            <w:r w:rsidR="00D45C0F">
              <w:rPr>
                <w:lang w:val="fr-FR"/>
              </w:rPr>
              <w:t xml:space="preserve"> </w:t>
            </w:r>
            <w:r w:rsidR="009A3200">
              <w:rPr>
                <w:lang w:val="fr-FR"/>
              </w:rPr>
              <w:t>(</w:t>
            </w:r>
            <w:proofErr w:type="spellStart"/>
            <w:r w:rsidR="009A3200">
              <w:rPr>
                <w:lang w:val="fr-FR"/>
              </w:rPr>
              <w:t>a.m</w:t>
            </w:r>
            <w:proofErr w:type="spellEnd"/>
            <w:r w:rsidR="009A3200">
              <w:rPr>
                <w:lang w:val="fr-FR"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</w:t>
            </w:r>
            <w:r>
              <w:rPr>
                <w:lang w:val="fr-FR"/>
              </w:rPr>
              <w:t>soixante-</w:t>
            </w:r>
            <w:r w:rsidRPr="008D572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huitième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9-11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quarantième session</w:t>
            </w:r>
            <w:r w:rsidRPr="008D572D">
              <w:rPr>
                <w:lang w:val="fr-FR"/>
              </w:rPr>
              <w:t>)</w:t>
            </w:r>
            <w:r w:rsidRPr="008D572D">
              <w:rPr>
                <w:rStyle w:val="FootnoteReference"/>
                <w:lang w:val="fr-FR"/>
              </w:rPr>
              <w:footnoteReference w:id="8"/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ChG"/>
            </w:pPr>
            <w:r w:rsidRPr="007E64C9">
              <w:t xml:space="preserve">Janvier </w:t>
            </w:r>
            <w:r>
              <w:t>-</w:t>
            </w:r>
            <w:r w:rsidRPr="007E64C9">
              <w:t xml:space="preserve"> Mars 20</w:t>
            </w:r>
            <w:r>
              <w:t>21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 w:rsidRPr="001312CE">
              <w:t>Janvier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12-15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</w:t>
            </w:r>
            <w:r>
              <w:rPr>
                <w:lang w:val="fr-FR"/>
              </w:rPr>
              <w:t xml:space="preserve">quatre-vingt-deuxième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26-29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</w:t>
            </w:r>
            <w:r>
              <w:rPr>
                <w:lang w:val="fr-FR"/>
              </w:rPr>
              <w:t xml:space="preserve"> et les pneumatiques</w:t>
            </w:r>
            <w:r w:rsidRPr="008D572D">
              <w:rPr>
                <w:lang w:val="fr-FR"/>
              </w:rPr>
              <w:t xml:space="preserve"> (GRB</w:t>
            </w:r>
            <w:r>
              <w:rPr>
                <w:lang w:val="fr-FR"/>
              </w:rPr>
              <w:t>P</w:t>
            </w:r>
            <w:r w:rsidRPr="008D572D">
              <w:rPr>
                <w:lang w:val="fr-FR"/>
              </w:rPr>
              <w:t>) (</w:t>
            </w:r>
            <w:r>
              <w:rPr>
                <w:lang w:val="fr-FR"/>
              </w:rPr>
              <w:t>soixante-treiziè</w:t>
            </w:r>
            <w:r w:rsidRPr="008D572D">
              <w:rPr>
                <w:lang w:val="fr-FR"/>
              </w:rPr>
              <w:t>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25-29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d’experts sur le Règlement annexé à l’Accord européen relatif au transport international de marchandises dangereuses par voie de navigation intérieure (ADN) (WP.15/AC.2) (</w:t>
            </w:r>
            <w:r>
              <w:rPr>
                <w:lang w:val="fr-FR"/>
              </w:rPr>
              <w:t>trente-huiti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29 </w:t>
            </w:r>
            <w:r w:rsidR="009A3200"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d’administration sur l’Accord européen relatif au transport international de marchandises dangereuses par voie de navigation intérieure (ADN) (</w:t>
            </w:r>
            <w:r>
              <w:rPr>
                <w:lang w:val="fr-FR"/>
              </w:rPr>
              <w:t>vingt-sixième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 w:rsidRPr="00AD3340">
              <w:rPr>
                <w:bCs/>
                <w:szCs w:val="24"/>
              </w:rPr>
              <w:t>Février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 (à confirmer)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DD6784" w:rsidRDefault="00665FC6" w:rsidP="00602A8B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(quatre-vingt-huitième session)</w:t>
            </w:r>
          </w:p>
        </w:tc>
      </w:tr>
      <w:tr w:rsidR="00C067AA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C067AA" w:rsidRPr="00ED4872" w:rsidRDefault="00C067AA" w:rsidP="00602A8B">
            <w:pPr>
              <w:spacing w:before="40" w:after="120"/>
              <w:ind w:right="113"/>
            </w:pPr>
            <w:r>
              <w:t xml:space="preserve">8-12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067AA" w:rsidRPr="0038663C" w:rsidRDefault="00C067AA" w:rsidP="00602A8B">
            <w:pPr>
              <w:spacing w:before="40" w:after="120"/>
              <w:ind w:right="113"/>
            </w:pPr>
            <w:r w:rsidRPr="00735AEE">
              <w:rPr>
                <w:bCs/>
                <w:lang w:val="fr-FR"/>
              </w:rPr>
              <w:t>Groupe de travail des véhicules automatisés/autonomes et connectés</w:t>
            </w:r>
            <w:r>
              <w:t xml:space="preserve"> (GRV</w:t>
            </w:r>
            <w:r w:rsidRPr="00735AEE">
              <w:t xml:space="preserve">A) </w:t>
            </w:r>
            <w:r w:rsidRPr="008D572D">
              <w:rPr>
                <w:lang w:val="fr-FR"/>
              </w:rPr>
              <w:t>(</w:t>
            </w:r>
            <w:r>
              <w:rPr>
                <w:lang w:val="fr-FR"/>
              </w:rPr>
              <w:t>septième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9-12 (à confirmer)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</w:t>
            </w:r>
            <w:r w:rsidR="00ED084B">
              <w:rPr>
                <w:lang w:val="fr-FR"/>
              </w:rPr>
              <w:t>157</w:t>
            </w:r>
            <w:r>
              <w:rPr>
                <w:lang w:val="fr-FR"/>
              </w:rPr>
              <w:t xml:space="preserve">ème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Default="00665FC6" w:rsidP="00602A8B">
            <w:pPr>
              <w:spacing w:before="40" w:after="120"/>
              <w:ind w:right="113"/>
            </w:pPr>
            <w:r>
              <w:rPr>
                <w:lang w:val="fr-FR"/>
              </w:rPr>
              <w:t>11 (à confirmer)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>de gestion de la Convention TIR</w:t>
            </w:r>
            <w:r w:rsidRPr="008D572D">
              <w:rPr>
                <w:lang w:val="fr-FR"/>
              </w:rPr>
              <w:t xml:space="preserve"> (WP.30/AC.2) (</w:t>
            </w:r>
            <w:r>
              <w:rPr>
                <w:lang w:val="fr-FR"/>
              </w:rPr>
              <w:t xml:space="preserve">soixante-quatorzième </w:t>
            </w:r>
            <w:r w:rsidRPr="008D572D">
              <w:rPr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17-19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</w:t>
            </w:r>
            <w:r>
              <w:rPr>
                <w:lang w:val="fr-FR"/>
              </w:rPr>
              <w:t>SC.3/</w:t>
            </w:r>
            <w:r w:rsidRPr="008D572D">
              <w:rPr>
                <w:lang w:val="fr-FR"/>
              </w:rPr>
              <w:t>WP.3) (</w:t>
            </w:r>
            <w:r>
              <w:rPr>
                <w:lang w:val="fr-FR"/>
              </w:rPr>
              <w:t>cinquante-huitième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lastRenderedPageBreak/>
              <w:t>22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>
              <w:rPr>
                <w:color w:val="000000"/>
                <w:szCs w:val="24"/>
                <w:lang w:val="fr-FR"/>
              </w:rPr>
              <w:t>vingt-sixième</w:t>
            </w:r>
            <w: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23-26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</w:t>
            </w:r>
            <w:r>
              <w:rPr>
                <w:lang w:val="fr-FR"/>
              </w:rPr>
              <w:t>quatre-vingt-troisi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26 </w:t>
            </w:r>
            <w:r w:rsidR="009A3200"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665FC6" w:rsidRPr="0038663C" w:rsidTr="00602A8B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665FC6" w:rsidRPr="0038663C" w:rsidRDefault="00665FC6" w:rsidP="00602A8B">
            <w:pPr>
              <w:pStyle w:val="H1G"/>
            </w:pPr>
            <w:r w:rsidRPr="001312CE">
              <w:t>Mars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</w:t>
            </w:r>
            <w:r w:rsidR="00BD78A4">
              <w:rPr>
                <w:lang w:val="fr-FR"/>
              </w:rPr>
              <w:t>135</w:t>
            </w:r>
            <w:r w:rsidRPr="00DE1876">
              <w:rPr>
                <w:lang w:val="fr-FR"/>
              </w:rPr>
              <w:t>ème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session)</w:t>
            </w:r>
          </w:p>
        </w:tc>
      </w:tr>
      <w:tr w:rsidR="00C067AA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C067AA" w:rsidRDefault="00C067AA" w:rsidP="00602A8B">
            <w:pPr>
              <w:spacing w:before="40" w:after="120"/>
              <w:ind w:right="113"/>
            </w:pPr>
            <w:r>
              <w:t>8-12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C067AA" w:rsidRPr="008D572D" w:rsidRDefault="00C067AA" w:rsidP="00602A8B">
            <w:pPr>
              <w:spacing w:before="40" w:after="120"/>
              <w:ind w:right="113"/>
              <w:rPr>
                <w:iCs/>
                <w:lang w:val="fr-FR"/>
              </w:rPr>
            </w:pPr>
            <w:r w:rsidRPr="008D572D">
              <w:rPr>
                <w:lang w:val="fr-FR"/>
              </w:rPr>
              <w:t xml:space="preserve">Groupe </w:t>
            </w:r>
            <w:r>
              <w:rPr>
                <w:lang w:val="fr-FR"/>
              </w:rPr>
              <w:t>mondial pour la</w:t>
            </w:r>
            <w:r w:rsidRPr="008D572D">
              <w:rPr>
                <w:lang w:val="fr-FR"/>
              </w:rPr>
              <w:t xml:space="preserve"> sécurité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routière (WP.1) (</w:t>
            </w:r>
            <w:r>
              <w:rPr>
                <w:lang w:val="fr-FR"/>
              </w:rPr>
              <w:t>quatre-</w:t>
            </w:r>
            <w:r w:rsidRPr="0092493D">
              <w:rPr>
                <w:lang w:val="fr-FR"/>
              </w:rPr>
              <w:t>vingt</w:t>
            </w:r>
            <w:r>
              <w:rPr>
                <w:lang w:val="fr-FR"/>
              </w:rPr>
              <w:t xml:space="preserve">-troisième </w:t>
            </w:r>
            <w:r w:rsidRPr="0092493D">
              <w:rPr>
                <w:lang w:val="fr-FR"/>
              </w:rPr>
              <w:t>s</w:t>
            </w:r>
            <w:r w:rsidRPr="008D572D">
              <w:rPr>
                <w:lang w:val="fr-FR"/>
              </w:rPr>
              <w:t>ession)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>
              <w:t xml:space="preserve">9-12 </w:t>
            </w:r>
            <w:r w:rsidR="009A3200">
              <w:t>(</w:t>
            </w:r>
            <w:proofErr w:type="spellStart"/>
            <w:r w:rsidR="009A3200">
              <w:t>a.m</w:t>
            </w:r>
            <w:proofErr w:type="spellEnd"/>
            <w:r w:rsidR="009A3200"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38663C" w:rsidRDefault="00665FC6" w:rsidP="00602A8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</w:t>
            </w:r>
            <w:r w:rsidR="009D270A">
              <w:rPr>
                <w:lang w:val="fr-FR"/>
              </w:rPr>
              <w:t>183</w:t>
            </w:r>
            <w:r>
              <w:rPr>
                <w:lang w:val="fr-FR"/>
              </w:rPr>
              <w:t>ème</w:t>
            </w:r>
            <w:r w:rsidRPr="008D572D">
              <w:rPr>
                <w:lang w:val="fr-FR"/>
              </w:rPr>
              <w:t xml:space="preserve"> session)</w:t>
            </w:r>
            <w:r w:rsidRPr="000E64D1">
              <w:t xml:space="preserve"> 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 </w:t>
            </w:r>
          </w:p>
        </w:tc>
      </w:tr>
      <w:tr w:rsidR="00665FC6" w:rsidRPr="0038663C" w:rsidTr="00602A8B">
        <w:trPr>
          <w:cantSplit/>
        </w:trPr>
        <w:tc>
          <w:tcPr>
            <w:tcW w:w="2166" w:type="dxa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iCs/>
              </w:rPr>
            </w:pPr>
            <w:r>
              <w:rPr>
                <w:iCs/>
              </w:rPr>
              <w:t>15-19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65FC6" w:rsidRPr="008D572D" w:rsidRDefault="00665FC6" w:rsidP="00602A8B">
            <w:pPr>
              <w:spacing w:before="40" w:after="120"/>
              <w:ind w:right="113"/>
              <w:rPr>
                <w:iCs/>
              </w:rPr>
            </w:pPr>
            <w:r w:rsidRPr="008D572D">
              <w:rPr>
                <w:iCs/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iCs/>
                <w:u w:val="single"/>
                <w:lang w:val="fr-FR"/>
              </w:rPr>
              <w:t>aura</w:t>
            </w:r>
            <w:r w:rsidRPr="008D572D">
              <w:rPr>
                <w:iCs/>
                <w:lang w:val="fr-FR"/>
              </w:rPr>
              <w:t xml:space="preserve"> </w:t>
            </w:r>
            <w:r w:rsidRPr="008D572D">
              <w:rPr>
                <w:iCs/>
                <w:u w:val="single"/>
                <w:lang w:val="fr-FR"/>
              </w:rPr>
              <w:t>lieu à Berne</w:t>
            </w:r>
            <w:r w:rsidRPr="008D572D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</w:t>
            </w:r>
          </w:p>
        </w:tc>
      </w:tr>
    </w:tbl>
    <w:p w:rsidR="004342FC" w:rsidRPr="00D45C0F" w:rsidRDefault="00D45C0F" w:rsidP="00D45C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2FC" w:rsidRPr="00D45C0F" w:rsidSect="00C542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20" w:rsidRDefault="00C54220" w:rsidP="00F95C08">
      <w:pPr>
        <w:spacing w:line="240" w:lineRule="auto"/>
      </w:pPr>
    </w:p>
  </w:endnote>
  <w:endnote w:type="continuationSeparator" w:id="0">
    <w:p w:rsidR="00C54220" w:rsidRPr="00AC3823" w:rsidRDefault="00C54220" w:rsidP="00AC3823">
      <w:pPr>
        <w:pStyle w:val="Footer"/>
      </w:pPr>
    </w:p>
  </w:endnote>
  <w:endnote w:type="continuationNotice" w:id="1">
    <w:p w:rsidR="00C54220" w:rsidRDefault="00C542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20" w:rsidRPr="00C54220" w:rsidRDefault="00C54220" w:rsidP="00C54220">
    <w:pPr>
      <w:pStyle w:val="Footer"/>
      <w:tabs>
        <w:tab w:val="right" w:pos="9638"/>
      </w:tabs>
      <w:rPr>
        <w:sz w:val="18"/>
      </w:rPr>
    </w:pPr>
    <w:r w:rsidRPr="00C54220">
      <w:rPr>
        <w:b/>
        <w:sz w:val="18"/>
      </w:rPr>
      <w:fldChar w:fldCharType="begin"/>
    </w:r>
    <w:r w:rsidRPr="00C54220">
      <w:rPr>
        <w:b/>
        <w:sz w:val="18"/>
      </w:rPr>
      <w:instrText xml:space="preserve"> PAGE  \* MERGEFORMAT </w:instrText>
    </w:r>
    <w:r w:rsidRPr="00C54220">
      <w:rPr>
        <w:b/>
        <w:sz w:val="18"/>
      </w:rPr>
      <w:fldChar w:fldCharType="separate"/>
    </w:r>
    <w:r w:rsidRPr="00C54220">
      <w:rPr>
        <w:b/>
        <w:noProof/>
        <w:sz w:val="18"/>
      </w:rPr>
      <w:t>2</w:t>
    </w:r>
    <w:r w:rsidRPr="00C5422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20" w:rsidRPr="00C54220" w:rsidRDefault="00C54220" w:rsidP="00C54220">
    <w:pPr>
      <w:pStyle w:val="Footer"/>
      <w:tabs>
        <w:tab w:val="right" w:pos="9638"/>
      </w:tabs>
      <w:rPr>
        <w:b/>
        <w:sz w:val="18"/>
      </w:rPr>
    </w:pPr>
    <w:r>
      <w:tab/>
    </w:r>
    <w:r w:rsidRPr="00C54220">
      <w:rPr>
        <w:b/>
        <w:sz w:val="18"/>
      </w:rPr>
      <w:fldChar w:fldCharType="begin"/>
    </w:r>
    <w:r w:rsidRPr="00C54220">
      <w:rPr>
        <w:b/>
        <w:sz w:val="18"/>
      </w:rPr>
      <w:instrText xml:space="preserve"> PAGE  \* MERGEFORMAT </w:instrText>
    </w:r>
    <w:r w:rsidRPr="00C54220">
      <w:rPr>
        <w:b/>
        <w:sz w:val="18"/>
      </w:rPr>
      <w:fldChar w:fldCharType="separate"/>
    </w:r>
    <w:r w:rsidRPr="00C54220">
      <w:rPr>
        <w:b/>
        <w:noProof/>
        <w:sz w:val="18"/>
      </w:rPr>
      <w:t>3</w:t>
    </w:r>
    <w:r w:rsidRPr="00C542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C54220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20" w:rsidRPr="00AC3823" w:rsidRDefault="00C542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4220" w:rsidRPr="00AC3823" w:rsidRDefault="00C542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4220" w:rsidRPr="00AC3823" w:rsidRDefault="00C54220">
      <w:pPr>
        <w:spacing w:line="240" w:lineRule="auto"/>
        <w:rPr>
          <w:sz w:val="2"/>
          <w:szCs w:val="2"/>
        </w:rPr>
      </w:pPr>
    </w:p>
  </w:footnote>
  <w:footnote w:id="2">
    <w:p w:rsidR="0039764D" w:rsidRPr="0039764D" w:rsidRDefault="0039764D">
      <w:pPr>
        <w:pStyle w:val="FootnoteText"/>
      </w:pPr>
      <w:r>
        <w:rPr>
          <w:rStyle w:val="FootnoteReference"/>
        </w:rPr>
        <w:tab/>
      </w:r>
      <w:r w:rsidRPr="0039764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mandat du Comité des transports intérieurs (ECE/TRANS/97), qui prévoit l’organisation des réunions tel qu’il le juge utile.</w:t>
      </w:r>
    </w:p>
  </w:footnote>
  <w:footnote w:id="3">
    <w:p w:rsidR="00B85DB6" w:rsidRPr="00B85DB6" w:rsidRDefault="00B85DB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B85DB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 xml:space="preserve">Il a été convenu que le présent document serait publié après la date normale de publication en raison de circonstances indépendantes de la volonté du </w:t>
      </w:r>
      <w:proofErr w:type="spellStart"/>
      <w:r>
        <w:t>soumetteur</w:t>
      </w:r>
      <w:proofErr w:type="spellEnd"/>
      <w:r>
        <w:t>.</w:t>
      </w:r>
    </w:p>
  </w:footnote>
  <w:footnote w:id="4">
    <w:p w:rsidR="00665FC6" w:rsidRDefault="00F048F9" w:rsidP="00665FC6">
      <w:pPr>
        <w:pStyle w:val="FootnoteText"/>
      </w:pPr>
      <w:r>
        <w:tab/>
      </w:r>
      <w:r w:rsidR="00665FC6">
        <w:rPr>
          <w:rStyle w:val="FootnoteReference"/>
        </w:rPr>
        <w:footnoteRef/>
      </w:r>
      <w:r w:rsidR="00665FC6">
        <w:t xml:space="preserve"> </w:t>
      </w:r>
      <w:r>
        <w:tab/>
      </w:r>
      <w:r w:rsidR="00665FC6">
        <w:t xml:space="preserve">Sous réserve d’approbation de la création d’un nouveau groupe d’experts, date provisoire, à confirmer. </w:t>
      </w:r>
    </w:p>
  </w:footnote>
  <w:footnote w:id="5">
    <w:p w:rsidR="00665FC6" w:rsidRDefault="00665FC6" w:rsidP="00665FC6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6">
    <w:p w:rsidR="00665FC6" w:rsidRPr="00DB7CF8" w:rsidRDefault="00665FC6" w:rsidP="00665FC6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  <w:t>Ibid.</w:t>
      </w:r>
    </w:p>
  </w:footnote>
  <w:footnote w:id="7">
    <w:p w:rsidR="00665FC6" w:rsidRPr="00DB7CF8" w:rsidRDefault="00665FC6" w:rsidP="00665FC6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8">
    <w:p w:rsidR="00665FC6" w:rsidRPr="00DB7CF8" w:rsidRDefault="00665FC6" w:rsidP="00665FC6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20" w:rsidRPr="00C54220" w:rsidRDefault="00B2224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54220">
      <w:t>ECE/TRANS/2020/24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20" w:rsidRPr="00C54220" w:rsidRDefault="00B22240" w:rsidP="00C542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54220">
      <w:t>ECE/TRANS/2020/24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5E223DA"/>
    <w:multiLevelType w:val="hybridMultilevel"/>
    <w:tmpl w:val="5B7ACB42"/>
    <w:lvl w:ilvl="0" w:tplc="1FC8AFA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ACF6E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E40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8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9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64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C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EE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C54220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62D9B"/>
    <w:rsid w:val="00176178"/>
    <w:rsid w:val="001D400F"/>
    <w:rsid w:val="001F525A"/>
    <w:rsid w:val="00223272"/>
    <w:rsid w:val="0023215B"/>
    <w:rsid w:val="00234137"/>
    <w:rsid w:val="00240333"/>
    <w:rsid w:val="0024779E"/>
    <w:rsid w:val="002832AC"/>
    <w:rsid w:val="002D7C93"/>
    <w:rsid w:val="0030055C"/>
    <w:rsid w:val="00305064"/>
    <w:rsid w:val="0037241C"/>
    <w:rsid w:val="003819FF"/>
    <w:rsid w:val="0039764D"/>
    <w:rsid w:val="004342FC"/>
    <w:rsid w:val="00441C3B"/>
    <w:rsid w:val="00446B0A"/>
    <w:rsid w:val="00446FE5"/>
    <w:rsid w:val="00452396"/>
    <w:rsid w:val="0049687C"/>
    <w:rsid w:val="004E468C"/>
    <w:rsid w:val="005316B0"/>
    <w:rsid w:val="005505B7"/>
    <w:rsid w:val="00573BE5"/>
    <w:rsid w:val="00586ED3"/>
    <w:rsid w:val="00596AA9"/>
    <w:rsid w:val="005B4D0F"/>
    <w:rsid w:val="005B5D6E"/>
    <w:rsid w:val="0063409E"/>
    <w:rsid w:val="00665FC6"/>
    <w:rsid w:val="006E3A03"/>
    <w:rsid w:val="00703D0F"/>
    <w:rsid w:val="00706363"/>
    <w:rsid w:val="0071601D"/>
    <w:rsid w:val="0073510B"/>
    <w:rsid w:val="00793210"/>
    <w:rsid w:val="007A106D"/>
    <w:rsid w:val="007A62E6"/>
    <w:rsid w:val="007D406B"/>
    <w:rsid w:val="0080684C"/>
    <w:rsid w:val="008204DA"/>
    <w:rsid w:val="00871C75"/>
    <w:rsid w:val="008767E8"/>
    <w:rsid w:val="008776DC"/>
    <w:rsid w:val="00883605"/>
    <w:rsid w:val="008E6043"/>
    <w:rsid w:val="00915F55"/>
    <w:rsid w:val="00961E7B"/>
    <w:rsid w:val="009705C8"/>
    <w:rsid w:val="009A3200"/>
    <w:rsid w:val="009C1CF4"/>
    <w:rsid w:val="009D270A"/>
    <w:rsid w:val="009F02C9"/>
    <w:rsid w:val="00A30353"/>
    <w:rsid w:val="00A3244A"/>
    <w:rsid w:val="00A53941"/>
    <w:rsid w:val="00A62D91"/>
    <w:rsid w:val="00A90D54"/>
    <w:rsid w:val="00AA113A"/>
    <w:rsid w:val="00AC3823"/>
    <w:rsid w:val="00AE323C"/>
    <w:rsid w:val="00AF774C"/>
    <w:rsid w:val="00B00181"/>
    <w:rsid w:val="00B00B0D"/>
    <w:rsid w:val="00B22240"/>
    <w:rsid w:val="00B40927"/>
    <w:rsid w:val="00B50E25"/>
    <w:rsid w:val="00B64918"/>
    <w:rsid w:val="00B765F7"/>
    <w:rsid w:val="00B85DB6"/>
    <w:rsid w:val="00BA0CA9"/>
    <w:rsid w:val="00BD78A4"/>
    <w:rsid w:val="00C02897"/>
    <w:rsid w:val="00C067AA"/>
    <w:rsid w:val="00C54220"/>
    <w:rsid w:val="00C7616F"/>
    <w:rsid w:val="00CB16B5"/>
    <w:rsid w:val="00CE0608"/>
    <w:rsid w:val="00D3439C"/>
    <w:rsid w:val="00D3775F"/>
    <w:rsid w:val="00D44CF3"/>
    <w:rsid w:val="00D45C0F"/>
    <w:rsid w:val="00DB1831"/>
    <w:rsid w:val="00DD3BFD"/>
    <w:rsid w:val="00DE239D"/>
    <w:rsid w:val="00DF09F7"/>
    <w:rsid w:val="00DF431C"/>
    <w:rsid w:val="00DF6678"/>
    <w:rsid w:val="00E070CB"/>
    <w:rsid w:val="00E978E1"/>
    <w:rsid w:val="00ED084B"/>
    <w:rsid w:val="00EF2E22"/>
    <w:rsid w:val="00F048F9"/>
    <w:rsid w:val="00F0592C"/>
    <w:rsid w:val="00F06ED4"/>
    <w:rsid w:val="00F43289"/>
    <w:rsid w:val="00F64FE9"/>
    <w:rsid w:val="00F660DF"/>
    <w:rsid w:val="00F95C08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238709"/>
  <w15:docId w15:val="{50EA5028-F954-41AC-B2CA-EBC6B92B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TRANS_F.dotm</Template>
  <TotalTime>20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ECE/TRANS/2020/24</vt:lpstr>
      <vt:lpstr>ECE/EX/22</vt:lpstr>
    </vt:vector>
  </TitlesOfParts>
  <Company>DCM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ECE/TRANS/2020/24</dc:title>
  <dc:subject>FINAL</dc:subject>
  <dc:creator>Anastasia Barinova</dc:creator>
  <cp:keywords/>
  <dc:description/>
  <cp:lastModifiedBy>Anastasia Barinova</cp:lastModifiedBy>
  <cp:revision>15</cp:revision>
  <cp:lastPrinted>2014-05-14T10:59:00Z</cp:lastPrinted>
  <dcterms:created xsi:type="dcterms:W3CDTF">2019-12-18T15:29:00Z</dcterms:created>
  <dcterms:modified xsi:type="dcterms:W3CDTF">2019-12-20T09:08:00Z</dcterms:modified>
</cp:coreProperties>
</file>