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7736FF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7EC1BC" w14:textId="77777777" w:rsidR="00F35BAF" w:rsidRPr="00DB58B5" w:rsidRDefault="00F35BAF" w:rsidP="001E398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DB0D7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A10CC4" w14:textId="77777777" w:rsidR="00F35BAF" w:rsidRPr="00DB58B5" w:rsidRDefault="001E3980" w:rsidP="001E3980">
            <w:pPr>
              <w:jc w:val="right"/>
            </w:pPr>
            <w:r w:rsidRPr="001E3980">
              <w:rPr>
                <w:sz w:val="40"/>
              </w:rPr>
              <w:t>ECE</w:t>
            </w:r>
            <w:r>
              <w:t>/TRANS/2020/23</w:t>
            </w:r>
          </w:p>
        </w:tc>
      </w:tr>
      <w:tr w:rsidR="00F35BAF" w:rsidRPr="00DB58B5" w14:paraId="169A6F6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9AB8A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905CF5D" wp14:editId="5EF0FD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ABF1A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61A873" w14:textId="77777777" w:rsidR="00F35BAF" w:rsidRDefault="001E398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2487FA07" w14:textId="77777777" w:rsidR="001E3980" w:rsidRDefault="001E3980" w:rsidP="001E3980">
            <w:pPr>
              <w:spacing w:line="240" w:lineRule="exact"/>
            </w:pPr>
            <w:r>
              <w:t>18 décembre 2019</w:t>
            </w:r>
          </w:p>
          <w:p w14:paraId="0F8FA581" w14:textId="77777777" w:rsidR="001E3980" w:rsidRDefault="001E3980" w:rsidP="001E3980">
            <w:pPr>
              <w:spacing w:line="240" w:lineRule="exact"/>
            </w:pPr>
            <w:r>
              <w:t>Français</w:t>
            </w:r>
          </w:p>
          <w:p w14:paraId="14CCF9DE" w14:textId="77777777" w:rsidR="001E3980" w:rsidRPr="00DB58B5" w:rsidRDefault="001E3980" w:rsidP="001E3980">
            <w:pPr>
              <w:spacing w:line="240" w:lineRule="exact"/>
            </w:pPr>
            <w:r>
              <w:t>Original : anglais</w:t>
            </w:r>
          </w:p>
        </w:tc>
      </w:tr>
    </w:tbl>
    <w:p w14:paraId="3DAF726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86AE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EC543B9" w14:textId="77777777" w:rsidR="007F20FA" w:rsidRDefault="007F20FA" w:rsidP="00047CB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0C3C34F" w14:textId="77777777" w:rsidR="001953EC" w:rsidRPr="001953EC" w:rsidRDefault="001953EC" w:rsidP="001953EC">
      <w:pPr>
        <w:rPr>
          <w:b/>
          <w:bCs/>
          <w:lang w:val="fr-FR"/>
        </w:rPr>
      </w:pPr>
      <w:r w:rsidRPr="001953EC">
        <w:rPr>
          <w:b/>
          <w:bCs/>
          <w:lang w:val="fr-FR"/>
        </w:rPr>
        <w:t>Quatre-vingt-deuxième session</w:t>
      </w:r>
    </w:p>
    <w:p w14:paraId="312882E5" w14:textId="77777777" w:rsidR="001953EC" w:rsidRPr="001953EC" w:rsidRDefault="001953EC" w:rsidP="001953EC">
      <w:pPr>
        <w:rPr>
          <w:lang w:val="fr-FR"/>
        </w:rPr>
      </w:pPr>
      <w:r w:rsidRPr="001953EC">
        <w:rPr>
          <w:lang w:val="fr-FR"/>
        </w:rPr>
        <w:t xml:space="preserve">Genève, 25-28 février 2020 </w:t>
      </w:r>
    </w:p>
    <w:p w14:paraId="7A3252D2" w14:textId="77777777" w:rsidR="001953EC" w:rsidRPr="001953EC" w:rsidRDefault="001953EC" w:rsidP="001953EC">
      <w:pPr>
        <w:rPr>
          <w:lang w:val="fr-FR"/>
        </w:rPr>
      </w:pPr>
      <w:r w:rsidRPr="001953EC">
        <w:rPr>
          <w:lang w:val="fr-FR"/>
        </w:rPr>
        <w:t>Point 13 de l</w:t>
      </w:r>
      <w:r w:rsidR="00E86AE8">
        <w:rPr>
          <w:lang w:val="fr-FR"/>
        </w:rPr>
        <w:t>’</w:t>
      </w:r>
      <w:r w:rsidRPr="001953EC">
        <w:rPr>
          <w:lang w:val="fr-FR"/>
        </w:rPr>
        <w:t xml:space="preserve">ordre du jour provisoire </w:t>
      </w:r>
    </w:p>
    <w:p w14:paraId="77A03500" w14:textId="77777777" w:rsidR="001953EC" w:rsidRPr="001953EC" w:rsidRDefault="001953EC" w:rsidP="001953EC">
      <w:pPr>
        <w:rPr>
          <w:b/>
          <w:bCs/>
          <w:lang w:val="fr-FR"/>
        </w:rPr>
      </w:pPr>
      <w:r w:rsidRPr="001953EC">
        <w:rPr>
          <w:b/>
          <w:bCs/>
          <w:lang w:val="fr-FR"/>
        </w:rPr>
        <w:t>Liste des publications prévues en 2021</w:t>
      </w:r>
    </w:p>
    <w:p w14:paraId="581E44CC" w14:textId="77777777" w:rsidR="001953EC" w:rsidRPr="001953EC" w:rsidRDefault="001953EC" w:rsidP="00047CBD">
      <w:pPr>
        <w:pStyle w:val="HChG"/>
        <w:rPr>
          <w:lang w:val="fr-FR"/>
        </w:rPr>
      </w:pPr>
      <w:r w:rsidRPr="001953EC">
        <w:rPr>
          <w:lang w:val="fr-FR"/>
        </w:rPr>
        <w:tab/>
      </w:r>
      <w:r w:rsidRPr="001953EC">
        <w:rPr>
          <w:lang w:val="fr-FR"/>
        </w:rPr>
        <w:tab/>
        <w:t>Programme des publications prévues en 2021</w:t>
      </w:r>
    </w:p>
    <w:p w14:paraId="1C42336F" w14:textId="77777777" w:rsidR="00F9573C" w:rsidRDefault="001953EC" w:rsidP="00047CBD">
      <w:pPr>
        <w:pStyle w:val="H1G"/>
        <w:rPr>
          <w:b w:val="0"/>
          <w:sz w:val="20"/>
        </w:rPr>
      </w:pPr>
      <w:r w:rsidRPr="001953EC">
        <w:rPr>
          <w:lang w:val="fr-FR"/>
        </w:rPr>
        <w:tab/>
      </w:r>
      <w:r w:rsidRPr="001953EC">
        <w:rPr>
          <w:lang w:val="fr-FR"/>
        </w:rPr>
        <w:tab/>
        <w:t>Note du secrétariat</w:t>
      </w:r>
      <w:r w:rsidRPr="00047CBD">
        <w:rPr>
          <w:b w:val="0"/>
          <w:sz w:val="20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047CBD" w14:paraId="6C26953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2BBDD53" w14:textId="77777777" w:rsidR="00047CBD" w:rsidRDefault="00047CB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047CBD" w14:paraId="4865E50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F382811" w14:textId="77777777" w:rsidR="00047CBD" w:rsidRDefault="00047CBD" w:rsidP="00047CBD">
            <w:pPr>
              <w:pStyle w:val="SingleTxtG"/>
              <w:ind w:firstLine="567"/>
            </w:pPr>
            <w:r w:rsidRPr="00047CBD">
              <w:rPr>
                <w:lang w:val="fr-FR"/>
              </w:rPr>
              <w:t>Le Comité des transports intérieurs aura l</w:t>
            </w:r>
            <w:r w:rsidR="00E86AE8">
              <w:rPr>
                <w:lang w:val="fr-FR"/>
              </w:rPr>
              <w:t>’</w:t>
            </w:r>
            <w:r w:rsidRPr="00047CBD">
              <w:rPr>
                <w:lang w:val="fr-FR"/>
              </w:rPr>
              <w:t>occasion d</w:t>
            </w:r>
            <w:r w:rsidR="00E86AE8">
              <w:rPr>
                <w:lang w:val="fr-FR"/>
              </w:rPr>
              <w:t>’</w:t>
            </w:r>
            <w:r w:rsidRPr="00047CBD">
              <w:rPr>
                <w:lang w:val="fr-FR"/>
              </w:rPr>
              <w:t>examiner la liste des publications prévues en 2021, conformément aux instructions reçues du Comité des publications de l</w:t>
            </w:r>
            <w:r w:rsidR="00E86AE8">
              <w:rPr>
                <w:lang w:val="fr-FR"/>
              </w:rPr>
              <w:t>’</w:t>
            </w:r>
            <w:r w:rsidRPr="00047CBD">
              <w:rPr>
                <w:lang w:val="fr-FR"/>
              </w:rPr>
              <w:t>Organisation des Nations Unies concernant l</w:t>
            </w:r>
            <w:r w:rsidR="00E86AE8">
              <w:rPr>
                <w:lang w:val="fr-FR"/>
              </w:rPr>
              <w:t>’</w:t>
            </w:r>
            <w:r w:rsidRPr="00047CBD">
              <w:rPr>
                <w:lang w:val="fr-FR"/>
              </w:rPr>
              <w:t>établissement du programme des publications de la CEE pour l</w:t>
            </w:r>
            <w:r w:rsidR="00E86AE8">
              <w:rPr>
                <w:lang w:val="fr-FR"/>
              </w:rPr>
              <w:t>’</w:t>
            </w:r>
            <w:r w:rsidRPr="00047CBD">
              <w:rPr>
                <w:lang w:val="fr-FR"/>
              </w:rPr>
              <w:t>exercice budgétaire</w:t>
            </w:r>
            <w:r w:rsidR="009F25AC">
              <w:rPr>
                <w:lang w:val="fr-FR"/>
              </w:rPr>
              <w:t xml:space="preserve"> </w:t>
            </w:r>
            <w:r w:rsidRPr="00047CBD">
              <w:rPr>
                <w:lang w:val="fr-FR"/>
              </w:rPr>
              <w:t xml:space="preserve">2021. Le Comité souhaitera peut-être </w:t>
            </w:r>
            <w:r w:rsidRPr="00047CBD">
              <w:rPr>
                <w:b/>
                <w:bCs/>
                <w:lang w:val="fr-FR"/>
              </w:rPr>
              <w:t>appuyer et approuver</w:t>
            </w:r>
            <w:r w:rsidRPr="00047CBD">
              <w:rPr>
                <w:lang w:val="fr-FR"/>
              </w:rPr>
              <w:t xml:space="preserve"> la publication des documents qui figurent sur la présente liste.</w:t>
            </w:r>
          </w:p>
        </w:tc>
      </w:tr>
      <w:tr w:rsidR="00047CBD" w14:paraId="668FBF2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80FF0A6" w14:textId="77777777" w:rsidR="00047CBD" w:rsidRDefault="00047CBD"/>
        </w:tc>
      </w:tr>
    </w:tbl>
    <w:p w14:paraId="33A46959" w14:textId="77777777" w:rsidR="009F25AC" w:rsidRDefault="009F25AC" w:rsidP="00047CBD"/>
    <w:p w14:paraId="456A47AF" w14:textId="77777777" w:rsidR="009F25AC" w:rsidRPr="00672EEB" w:rsidRDefault="009F25AC" w:rsidP="000464D1">
      <w:pPr>
        <w:pStyle w:val="HChG"/>
        <w:spacing w:before="0"/>
      </w:pPr>
      <w:r>
        <w:br w:type="page"/>
      </w:r>
      <w:r>
        <w:lastRenderedPageBreak/>
        <w:tab/>
      </w:r>
      <w:r>
        <w:tab/>
        <w:t xml:space="preserve">Publications </w:t>
      </w:r>
      <w:r w:rsidRPr="009F25AC">
        <w:t>proposées</w:t>
      </w:r>
      <w:r>
        <w:t xml:space="preserve"> pour 2021</w:t>
      </w:r>
    </w:p>
    <w:p w14:paraId="194CE1F0" w14:textId="77777777" w:rsidR="009F25AC" w:rsidRPr="009F25AC" w:rsidRDefault="009F25AC" w:rsidP="000464D1">
      <w:pPr>
        <w:pStyle w:val="H1G"/>
        <w:spacing w:before="320" w:after="200"/>
      </w:pPr>
      <w:r>
        <w:tab/>
        <w:t>A.</w:t>
      </w:r>
      <w:r>
        <w:tab/>
        <w:t>Publications en série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3720"/>
        <w:gridCol w:w="1511"/>
        <w:gridCol w:w="994"/>
        <w:gridCol w:w="952"/>
        <w:gridCol w:w="917"/>
      </w:tblGrid>
      <w:tr w:rsidR="00E86AE8" w:rsidRPr="009F25AC" w14:paraId="1CC1E17D" w14:textId="77777777" w:rsidTr="00B772B3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584741A" w14:textId="77777777" w:rsidR="009F25AC" w:rsidRPr="009F25AC" w:rsidRDefault="009F25AC" w:rsidP="009F25A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F25AC">
              <w:rPr>
                <w:i/>
                <w:sz w:val="16"/>
              </w:rPr>
              <w:t>N</w:t>
            </w:r>
            <w:r w:rsidRPr="00E86AE8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566E0F6" w14:textId="77777777" w:rsidR="009F25AC" w:rsidRPr="009F25AC" w:rsidRDefault="009F25AC" w:rsidP="009F25A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F25AC">
              <w:rPr>
                <w:i/>
                <w:sz w:val="16"/>
              </w:rPr>
              <w:t>Titre de la publication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6D11D33" w14:textId="77777777" w:rsidR="009F25AC" w:rsidRPr="009F25AC" w:rsidRDefault="009F25AC" w:rsidP="009F25A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F25AC">
              <w:rPr>
                <w:i/>
                <w:sz w:val="16"/>
              </w:rPr>
              <w:t>Version papier et/ou électronique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F5A1394" w14:textId="77777777" w:rsidR="009F25AC" w:rsidRPr="009F25AC" w:rsidRDefault="009F25AC" w:rsidP="009F25A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F25AC">
              <w:rPr>
                <w:i/>
                <w:sz w:val="16"/>
              </w:rPr>
              <w:t xml:space="preserve">Nombre </w:t>
            </w:r>
            <w:r w:rsidR="006A0404">
              <w:rPr>
                <w:i/>
                <w:sz w:val="16"/>
              </w:rPr>
              <w:br/>
            </w:r>
            <w:r w:rsidRPr="009F25AC">
              <w:rPr>
                <w:i/>
                <w:sz w:val="16"/>
              </w:rPr>
              <w:t>de pages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DADFDBE" w14:textId="77777777" w:rsidR="009F25AC" w:rsidRPr="009F25AC" w:rsidRDefault="009F25AC" w:rsidP="009F25A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F25AC">
              <w:rPr>
                <w:i/>
                <w:sz w:val="16"/>
              </w:rPr>
              <w:t>Langue(s) originale(s)</w:t>
            </w:r>
            <w:r w:rsidRPr="00F10A46">
              <w:rPr>
                <w:sz w:val="16"/>
                <w:vertAlign w:val="superscri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6EC27DC" w14:textId="77777777" w:rsidR="009F25AC" w:rsidRPr="006137BE" w:rsidRDefault="009F25AC" w:rsidP="006A0404">
            <w:pPr>
              <w:spacing w:before="80" w:after="80" w:line="200" w:lineRule="exact"/>
              <w:rPr>
                <w:i/>
                <w:spacing w:val="-2"/>
                <w:sz w:val="16"/>
              </w:rPr>
            </w:pPr>
            <w:r w:rsidRPr="006137BE">
              <w:rPr>
                <w:i/>
                <w:spacing w:val="-2"/>
                <w:sz w:val="16"/>
              </w:rPr>
              <w:t>Traduction(s)</w:t>
            </w:r>
            <w:r w:rsidR="006137BE" w:rsidRPr="006137BE">
              <w:rPr>
                <w:spacing w:val="-2"/>
                <w:sz w:val="16"/>
                <w:vertAlign w:val="superscript"/>
              </w:rPr>
              <w:t>1</w:t>
            </w:r>
          </w:p>
        </w:tc>
      </w:tr>
      <w:tr w:rsidR="00714D5D" w:rsidRPr="009F25AC" w14:paraId="7515F621" w14:textId="77777777" w:rsidTr="00B772B3">
        <w:trPr>
          <w:cantSplit/>
          <w:trHeight w:hRule="exact" w:val="113"/>
          <w:tblHeader/>
        </w:trPr>
        <w:tc>
          <w:tcPr>
            <w:tcW w:w="410" w:type="dxa"/>
            <w:tcBorders>
              <w:top w:val="single" w:sz="12" w:space="0" w:color="auto"/>
            </w:tcBorders>
            <w:shd w:val="clear" w:color="auto" w:fill="auto"/>
          </w:tcPr>
          <w:p w14:paraId="54F44596" w14:textId="77777777" w:rsidR="009F25AC" w:rsidRPr="009F25AC" w:rsidRDefault="009F25AC" w:rsidP="009F25AC">
            <w:pPr>
              <w:spacing w:before="40" w:after="120"/>
              <w:ind w:right="113"/>
            </w:pPr>
          </w:p>
        </w:tc>
        <w:tc>
          <w:tcPr>
            <w:tcW w:w="3720" w:type="dxa"/>
            <w:tcBorders>
              <w:top w:val="single" w:sz="12" w:space="0" w:color="auto"/>
            </w:tcBorders>
            <w:shd w:val="clear" w:color="auto" w:fill="auto"/>
          </w:tcPr>
          <w:p w14:paraId="3A1E68C7" w14:textId="77777777" w:rsidR="009F25AC" w:rsidRPr="009F25AC" w:rsidRDefault="009F25AC" w:rsidP="009F25AC">
            <w:pPr>
              <w:spacing w:before="40" w:after="120"/>
              <w:ind w:right="113"/>
            </w:pP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14:paraId="3BA6799A" w14:textId="77777777" w:rsidR="009F25AC" w:rsidRPr="009F25AC" w:rsidRDefault="009F25AC" w:rsidP="009F25AC">
            <w:pPr>
              <w:spacing w:before="40" w:after="120"/>
              <w:ind w:right="113"/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7C93E494" w14:textId="77777777" w:rsidR="009F25AC" w:rsidRPr="009F25AC" w:rsidRDefault="009F25AC" w:rsidP="009F25AC">
            <w:pPr>
              <w:spacing w:before="40" w:after="120"/>
              <w:ind w:right="113"/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14:paraId="50B50796" w14:textId="77777777" w:rsidR="009F25AC" w:rsidRPr="009F25AC" w:rsidRDefault="009F25AC" w:rsidP="009F25AC">
            <w:pPr>
              <w:spacing w:before="40" w:after="120"/>
              <w:ind w:right="113"/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4BF0EF37" w14:textId="77777777" w:rsidR="009F25AC" w:rsidRPr="009F25AC" w:rsidRDefault="009F25AC" w:rsidP="006A0404">
            <w:pPr>
              <w:spacing w:before="40" w:after="120"/>
            </w:pPr>
          </w:p>
        </w:tc>
      </w:tr>
      <w:tr w:rsidR="00E86AE8" w:rsidRPr="009F25AC" w14:paraId="51D88100" w14:textId="77777777" w:rsidTr="00B772B3">
        <w:trPr>
          <w:cantSplit/>
        </w:trPr>
        <w:tc>
          <w:tcPr>
            <w:tcW w:w="410" w:type="dxa"/>
            <w:shd w:val="clear" w:color="auto" w:fill="auto"/>
          </w:tcPr>
          <w:p w14:paraId="6690586E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14:paraId="4A9D6B52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Recommandations relatives au transport des marchandises dangereuses, Règlements type, 22</w:t>
            </w:r>
            <w:r w:rsidRPr="009F25AC">
              <w:rPr>
                <w:szCs w:val="18"/>
                <w:vertAlign w:val="superscript"/>
              </w:rPr>
              <w:t>e</w:t>
            </w:r>
            <w:r w:rsidRPr="009F25AC">
              <w:rPr>
                <w:szCs w:val="18"/>
              </w:rPr>
              <w:t xml:space="preserve"> édition révisée, vol.</w:t>
            </w:r>
            <w:r w:rsidR="00807A39">
              <w:rPr>
                <w:szCs w:val="18"/>
              </w:rPr>
              <w:t> </w:t>
            </w:r>
            <w:r w:rsidRPr="009F25AC">
              <w:rPr>
                <w:szCs w:val="18"/>
              </w:rPr>
              <w:t>I et II</w:t>
            </w:r>
          </w:p>
        </w:tc>
        <w:tc>
          <w:tcPr>
            <w:tcW w:w="1511" w:type="dxa"/>
            <w:shd w:val="clear" w:color="auto" w:fill="auto"/>
          </w:tcPr>
          <w:p w14:paraId="142B1031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Versions papier et électronique</w:t>
            </w:r>
          </w:p>
        </w:tc>
        <w:tc>
          <w:tcPr>
            <w:tcW w:w="994" w:type="dxa"/>
            <w:shd w:val="clear" w:color="auto" w:fill="auto"/>
          </w:tcPr>
          <w:p w14:paraId="5318F4C0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Vol I : 470 Vol II : 460</w:t>
            </w:r>
          </w:p>
        </w:tc>
        <w:tc>
          <w:tcPr>
            <w:tcW w:w="952" w:type="dxa"/>
            <w:shd w:val="clear" w:color="auto" w:fill="auto"/>
          </w:tcPr>
          <w:p w14:paraId="7F72587E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E, F et S</w:t>
            </w:r>
          </w:p>
        </w:tc>
        <w:tc>
          <w:tcPr>
            <w:tcW w:w="917" w:type="dxa"/>
            <w:shd w:val="clear" w:color="auto" w:fill="auto"/>
          </w:tcPr>
          <w:p w14:paraId="60B9C572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A, C et R</w:t>
            </w:r>
          </w:p>
        </w:tc>
      </w:tr>
      <w:tr w:rsidR="00E86AE8" w:rsidRPr="009F25AC" w14:paraId="3B912E1F" w14:textId="77777777" w:rsidTr="00B772B3">
        <w:trPr>
          <w:cantSplit/>
        </w:trPr>
        <w:tc>
          <w:tcPr>
            <w:tcW w:w="410" w:type="dxa"/>
            <w:shd w:val="clear" w:color="auto" w:fill="auto"/>
          </w:tcPr>
          <w:p w14:paraId="79D9CDFD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14:paraId="33C05FD1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Système général harmonisé de classification et d</w:t>
            </w:r>
            <w:r w:rsidR="00E86AE8">
              <w:rPr>
                <w:szCs w:val="18"/>
              </w:rPr>
              <w:t>’</w:t>
            </w:r>
            <w:r w:rsidRPr="009F25AC">
              <w:rPr>
                <w:szCs w:val="18"/>
              </w:rPr>
              <w:t>étiquetage des produits chimiques (SGH), 9</w:t>
            </w:r>
            <w:r w:rsidRPr="009F25AC">
              <w:rPr>
                <w:szCs w:val="18"/>
                <w:vertAlign w:val="superscript"/>
              </w:rPr>
              <w:t>e</w:t>
            </w:r>
            <w:r w:rsidRPr="009F25AC">
              <w:rPr>
                <w:szCs w:val="18"/>
              </w:rPr>
              <w:t xml:space="preserve"> édition révisée</w:t>
            </w:r>
          </w:p>
        </w:tc>
        <w:tc>
          <w:tcPr>
            <w:tcW w:w="1511" w:type="dxa"/>
            <w:shd w:val="clear" w:color="auto" w:fill="auto"/>
          </w:tcPr>
          <w:p w14:paraId="7628A6F8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Versions papier et électronique</w:t>
            </w:r>
          </w:p>
        </w:tc>
        <w:tc>
          <w:tcPr>
            <w:tcW w:w="994" w:type="dxa"/>
            <w:shd w:val="clear" w:color="auto" w:fill="auto"/>
          </w:tcPr>
          <w:p w14:paraId="109A7454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630</w:t>
            </w:r>
          </w:p>
        </w:tc>
        <w:tc>
          <w:tcPr>
            <w:tcW w:w="952" w:type="dxa"/>
            <w:shd w:val="clear" w:color="auto" w:fill="auto"/>
          </w:tcPr>
          <w:p w14:paraId="106D744A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E, F et S</w:t>
            </w:r>
          </w:p>
        </w:tc>
        <w:tc>
          <w:tcPr>
            <w:tcW w:w="917" w:type="dxa"/>
            <w:shd w:val="clear" w:color="auto" w:fill="auto"/>
          </w:tcPr>
          <w:p w14:paraId="5212F015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A, C et R</w:t>
            </w:r>
          </w:p>
        </w:tc>
      </w:tr>
      <w:tr w:rsidR="00E86AE8" w:rsidRPr="009F25AC" w14:paraId="25AB5B87" w14:textId="77777777" w:rsidTr="00B772B3">
        <w:trPr>
          <w:cantSplit/>
        </w:trPr>
        <w:tc>
          <w:tcPr>
            <w:tcW w:w="410" w:type="dxa"/>
            <w:shd w:val="clear" w:color="auto" w:fill="auto"/>
          </w:tcPr>
          <w:p w14:paraId="4BA32298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14:paraId="4C72F80F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Manuel d</w:t>
            </w:r>
            <w:r w:rsidR="00E86AE8">
              <w:rPr>
                <w:szCs w:val="18"/>
              </w:rPr>
              <w:t>’</w:t>
            </w:r>
            <w:r w:rsidRPr="009F25AC">
              <w:rPr>
                <w:szCs w:val="18"/>
              </w:rPr>
              <w:t>épreuves et de critères (8</w:t>
            </w:r>
            <w:r w:rsidRPr="009F25AC">
              <w:rPr>
                <w:szCs w:val="18"/>
                <w:vertAlign w:val="superscript"/>
              </w:rPr>
              <w:t>e</w:t>
            </w:r>
            <w:r w:rsidR="002D272F">
              <w:rPr>
                <w:szCs w:val="18"/>
                <w:vertAlign w:val="superscript"/>
              </w:rPr>
              <w:t xml:space="preserve"> </w:t>
            </w:r>
            <w:r w:rsidRPr="009F25AC">
              <w:rPr>
                <w:szCs w:val="18"/>
              </w:rPr>
              <w:t>éd</w:t>
            </w:r>
            <w:r w:rsidR="0086133F">
              <w:rPr>
                <w:szCs w:val="18"/>
              </w:rPr>
              <w:t>ition</w:t>
            </w:r>
            <w:r w:rsidR="002D272F">
              <w:rPr>
                <w:szCs w:val="18"/>
              </w:rPr>
              <w:t xml:space="preserve"> </w:t>
            </w:r>
            <w:r w:rsidRPr="009F25AC">
              <w:rPr>
                <w:szCs w:val="18"/>
              </w:rPr>
              <w:t>révisée OU amendement 1 à la 7</w:t>
            </w:r>
            <w:r w:rsidRPr="009F25AC">
              <w:rPr>
                <w:szCs w:val="18"/>
                <w:vertAlign w:val="superscript"/>
              </w:rPr>
              <w:t>e</w:t>
            </w:r>
            <w:r w:rsidRPr="009F25AC">
              <w:rPr>
                <w:szCs w:val="18"/>
              </w:rPr>
              <w:t xml:space="preserve"> édition révisée)</w:t>
            </w:r>
          </w:p>
        </w:tc>
        <w:tc>
          <w:tcPr>
            <w:tcW w:w="1511" w:type="dxa"/>
            <w:shd w:val="clear" w:color="auto" w:fill="auto"/>
          </w:tcPr>
          <w:p w14:paraId="71A3454B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Versions papier et électronique</w:t>
            </w:r>
          </w:p>
        </w:tc>
        <w:tc>
          <w:tcPr>
            <w:tcW w:w="994" w:type="dxa"/>
            <w:shd w:val="clear" w:color="auto" w:fill="auto"/>
          </w:tcPr>
          <w:p w14:paraId="1FA63307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Dans le premier cas : 550 ; dans le deuxième cas : 60</w:t>
            </w:r>
          </w:p>
        </w:tc>
        <w:tc>
          <w:tcPr>
            <w:tcW w:w="952" w:type="dxa"/>
            <w:shd w:val="clear" w:color="auto" w:fill="auto"/>
          </w:tcPr>
          <w:p w14:paraId="460052DB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E, F et S</w:t>
            </w:r>
          </w:p>
        </w:tc>
        <w:tc>
          <w:tcPr>
            <w:tcW w:w="917" w:type="dxa"/>
            <w:shd w:val="clear" w:color="auto" w:fill="auto"/>
          </w:tcPr>
          <w:p w14:paraId="1577880F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A, C et R</w:t>
            </w:r>
          </w:p>
        </w:tc>
      </w:tr>
      <w:tr w:rsidR="00E86AE8" w:rsidRPr="009F25AC" w14:paraId="160B2D3C" w14:textId="77777777" w:rsidTr="00B772B3">
        <w:trPr>
          <w:cantSplit/>
        </w:trPr>
        <w:tc>
          <w:tcPr>
            <w:tcW w:w="410" w:type="dxa"/>
            <w:shd w:val="clear" w:color="auto" w:fill="auto"/>
          </w:tcPr>
          <w:p w14:paraId="39E306BC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14:paraId="55863915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Accord relatif aux transports internationaux de denrées périssables et aux engins spéciaux à utiliser pour ces transports (ATP)</w:t>
            </w:r>
          </w:p>
        </w:tc>
        <w:tc>
          <w:tcPr>
            <w:tcW w:w="1511" w:type="dxa"/>
            <w:shd w:val="clear" w:color="auto" w:fill="auto"/>
          </w:tcPr>
          <w:p w14:paraId="1948ABDB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Versions papier et électronique</w:t>
            </w:r>
          </w:p>
        </w:tc>
        <w:tc>
          <w:tcPr>
            <w:tcW w:w="994" w:type="dxa"/>
            <w:shd w:val="clear" w:color="auto" w:fill="auto"/>
          </w:tcPr>
          <w:p w14:paraId="13F5A024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120</w:t>
            </w:r>
          </w:p>
        </w:tc>
        <w:tc>
          <w:tcPr>
            <w:tcW w:w="952" w:type="dxa"/>
            <w:shd w:val="clear" w:color="auto" w:fill="auto"/>
          </w:tcPr>
          <w:p w14:paraId="510D45AA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 et F</w:t>
            </w:r>
          </w:p>
        </w:tc>
        <w:tc>
          <w:tcPr>
            <w:tcW w:w="917" w:type="dxa"/>
            <w:shd w:val="clear" w:color="auto" w:fill="auto"/>
          </w:tcPr>
          <w:p w14:paraId="05367AA1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R</w:t>
            </w:r>
          </w:p>
        </w:tc>
      </w:tr>
      <w:tr w:rsidR="00E86AE8" w:rsidRPr="009F25AC" w14:paraId="150214AD" w14:textId="77777777" w:rsidTr="00B772B3">
        <w:trPr>
          <w:cantSplit/>
        </w:trPr>
        <w:tc>
          <w:tcPr>
            <w:tcW w:w="410" w:type="dxa"/>
            <w:shd w:val="clear" w:color="auto" w:fill="auto"/>
          </w:tcPr>
          <w:p w14:paraId="45D319DC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14:paraId="4E93D634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Forum mondial de l</w:t>
            </w:r>
            <w:r w:rsidR="00E86AE8">
              <w:rPr>
                <w:szCs w:val="18"/>
              </w:rPr>
              <w:t>’</w:t>
            </w:r>
            <w:r w:rsidRPr="009F25AC">
              <w:rPr>
                <w:szCs w:val="18"/>
              </w:rPr>
              <w:t>harmonisation des Règlements concernant les véhicules (WP.29). Comment il fonctionne − Comment y adhérer</w:t>
            </w:r>
          </w:p>
        </w:tc>
        <w:tc>
          <w:tcPr>
            <w:tcW w:w="1511" w:type="dxa"/>
            <w:shd w:val="clear" w:color="auto" w:fill="auto"/>
          </w:tcPr>
          <w:p w14:paraId="188D5518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Versions papier et électronique</w:t>
            </w:r>
          </w:p>
        </w:tc>
        <w:tc>
          <w:tcPr>
            <w:tcW w:w="994" w:type="dxa"/>
            <w:shd w:val="clear" w:color="auto" w:fill="auto"/>
          </w:tcPr>
          <w:p w14:paraId="01064926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6930D898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</w:t>
            </w:r>
          </w:p>
        </w:tc>
        <w:tc>
          <w:tcPr>
            <w:tcW w:w="917" w:type="dxa"/>
            <w:shd w:val="clear" w:color="auto" w:fill="auto"/>
          </w:tcPr>
          <w:p w14:paraId="11F23C5A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A, C, F, R et S</w:t>
            </w:r>
          </w:p>
        </w:tc>
      </w:tr>
      <w:tr w:rsidR="00E86AE8" w:rsidRPr="009F25AC" w14:paraId="0F7E26A8" w14:textId="77777777" w:rsidTr="00B772B3">
        <w:trPr>
          <w:cantSplit/>
        </w:trPr>
        <w:tc>
          <w:tcPr>
            <w:tcW w:w="410" w:type="dxa"/>
            <w:shd w:val="clear" w:color="auto" w:fill="auto"/>
          </w:tcPr>
          <w:p w14:paraId="0BDFEB5F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14:paraId="285549AB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Statistiques des accidents de la circulation routière en Europe et en Amérique du Nord (volume LVI)</w:t>
            </w:r>
          </w:p>
        </w:tc>
        <w:tc>
          <w:tcPr>
            <w:tcW w:w="1511" w:type="dxa"/>
            <w:shd w:val="clear" w:color="auto" w:fill="auto"/>
          </w:tcPr>
          <w:p w14:paraId="6AF7FAC3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 électronique</w:t>
            </w:r>
          </w:p>
        </w:tc>
        <w:tc>
          <w:tcPr>
            <w:tcW w:w="994" w:type="dxa"/>
            <w:shd w:val="clear" w:color="auto" w:fill="auto"/>
          </w:tcPr>
          <w:p w14:paraId="465BFC48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150</w:t>
            </w:r>
          </w:p>
        </w:tc>
        <w:tc>
          <w:tcPr>
            <w:tcW w:w="952" w:type="dxa"/>
            <w:shd w:val="clear" w:color="auto" w:fill="auto"/>
          </w:tcPr>
          <w:p w14:paraId="51EA304B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</w:t>
            </w:r>
          </w:p>
        </w:tc>
        <w:tc>
          <w:tcPr>
            <w:tcW w:w="917" w:type="dxa"/>
            <w:shd w:val="clear" w:color="auto" w:fill="auto"/>
          </w:tcPr>
          <w:p w14:paraId="204B9ACB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F et R</w:t>
            </w:r>
          </w:p>
        </w:tc>
      </w:tr>
      <w:tr w:rsidR="00E86AE8" w:rsidRPr="009F25AC" w14:paraId="263C4C77" w14:textId="77777777" w:rsidTr="00B772B3">
        <w:trPr>
          <w:cantSplit/>
        </w:trPr>
        <w:tc>
          <w:tcPr>
            <w:tcW w:w="410" w:type="dxa"/>
            <w:shd w:val="clear" w:color="auto" w:fill="auto"/>
          </w:tcPr>
          <w:p w14:paraId="759DA464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14:paraId="3BB8745C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Code européen des voies de navigation intérieure (CEVNI), révision 6</w:t>
            </w:r>
          </w:p>
        </w:tc>
        <w:tc>
          <w:tcPr>
            <w:tcW w:w="1511" w:type="dxa"/>
            <w:shd w:val="clear" w:color="auto" w:fill="auto"/>
          </w:tcPr>
          <w:p w14:paraId="2E54B3C8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Versions papier et électronique</w:t>
            </w:r>
          </w:p>
        </w:tc>
        <w:tc>
          <w:tcPr>
            <w:tcW w:w="994" w:type="dxa"/>
            <w:shd w:val="clear" w:color="auto" w:fill="auto"/>
          </w:tcPr>
          <w:p w14:paraId="0281C8A4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200</w:t>
            </w:r>
          </w:p>
        </w:tc>
        <w:tc>
          <w:tcPr>
            <w:tcW w:w="952" w:type="dxa"/>
            <w:shd w:val="clear" w:color="auto" w:fill="auto"/>
          </w:tcPr>
          <w:p w14:paraId="47FAEBE8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</w:t>
            </w:r>
          </w:p>
        </w:tc>
        <w:tc>
          <w:tcPr>
            <w:tcW w:w="917" w:type="dxa"/>
            <w:shd w:val="clear" w:color="auto" w:fill="auto"/>
          </w:tcPr>
          <w:p w14:paraId="00390332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F et R</w:t>
            </w:r>
          </w:p>
        </w:tc>
      </w:tr>
      <w:tr w:rsidR="00E86AE8" w:rsidRPr="009F25AC" w14:paraId="6E1E5FF9" w14:textId="77777777" w:rsidTr="00B772B3">
        <w:trPr>
          <w:cantSplit/>
        </w:trPr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</w:tcPr>
          <w:p w14:paraId="724E26A7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8</w:t>
            </w:r>
          </w:p>
        </w:tc>
        <w:tc>
          <w:tcPr>
            <w:tcW w:w="3720" w:type="dxa"/>
            <w:tcBorders>
              <w:bottom w:val="single" w:sz="12" w:space="0" w:color="auto"/>
            </w:tcBorders>
            <w:shd w:val="clear" w:color="auto" w:fill="auto"/>
          </w:tcPr>
          <w:p w14:paraId="3B2DD073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Manuel TIR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14:paraId="67A2A850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Versions papier et électronique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14:paraId="661FEB6A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400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71971FFD" w14:textId="77777777" w:rsidR="009F25AC" w:rsidRPr="009F25AC" w:rsidRDefault="009F25AC" w:rsidP="009F25AC">
            <w:pPr>
              <w:spacing w:before="40" w:after="120"/>
              <w:ind w:right="113"/>
            </w:pPr>
            <w:r w:rsidRPr="009F25AC">
              <w:rPr>
                <w:szCs w:val="18"/>
              </w:rPr>
              <w:t>E, F et R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4DB32EFC" w14:textId="77777777" w:rsidR="009F25AC" w:rsidRPr="009F25AC" w:rsidRDefault="009F25AC" w:rsidP="006A0404">
            <w:pPr>
              <w:spacing w:before="40" w:after="120"/>
            </w:pPr>
            <w:r w:rsidRPr="009F25AC">
              <w:rPr>
                <w:szCs w:val="18"/>
              </w:rPr>
              <w:t>A, C et S</w:t>
            </w:r>
          </w:p>
        </w:tc>
      </w:tr>
    </w:tbl>
    <w:p w14:paraId="1E54B8EA" w14:textId="77777777" w:rsidR="00E86AE8" w:rsidRPr="006137BE" w:rsidRDefault="00E86AE8" w:rsidP="0086133F">
      <w:pPr>
        <w:spacing w:before="120"/>
        <w:ind w:left="1134" w:firstLine="170"/>
        <w:rPr>
          <w:sz w:val="18"/>
          <w:szCs w:val="18"/>
        </w:rPr>
      </w:pPr>
      <w:proofErr w:type="gramStart"/>
      <w:r w:rsidRPr="006137BE">
        <w:rPr>
          <w:i/>
          <w:sz w:val="18"/>
          <w:szCs w:val="18"/>
          <w:vertAlign w:val="superscript"/>
        </w:rPr>
        <w:t>1</w:t>
      </w:r>
      <w:r w:rsidRPr="006137BE">
        <w:rPr>
          <w:sz w:val="18"/>
          <w:szCs w:val="18"/>
        </w:rPr>
        <w:t xml:space="preserve"> </w:t>
      </w:r>
      <w:r w:rsidR="002D272F" w:rsidRPr="006137BE">
        <w:rPr>
          <w:sz w:val="18"/>
          <w:szCs w:val="18"/>
        </w:rPr>
        <w:t xml:space="preserve"> </w:t>
      </w:r>
      <w:r w:rsidRPr="006137BE">
        <w:rPr>
          <w:sz w:val="18"/>
          <w:szCs w:val="18"/>
        </w:rPr>
        <w:t>Langues</w:t>
      </w:r>
      <w:proofErr w:type="gramEnd"/>
      <w:r w:rsidRPr="006137BE">
        <w:rPr>
          <w:sz w:val="18"/>
          <w:szCs w:val="18"/>
        </w:rPr>
        <w:t> : anglais = E</w:t>
      </w:r>
      <w:r w:rsidR="0086133F" w:rsidRPr="006137BE">
        <w:rPr>
          <w:sz w:val="18"/>
          <w:szCs w:val="18"/>
        </w:rPr>
        <w:t xml:space="preserve"> </w:t>
      </w:r>
      <w:r w:rsidRPr="006137BE">
        <w:rPr>
          <w:sz w:val="18"/>
          <w:szCs w:val="18"/>
        </w:rPr>
        <w:t>; arabe = A ; chinois = C ; espagnol = S ; français = F ; russe = R.</w:t>
      </w:r>
    </w:p>
    <w:p w14:paraId="33469A63" w14:textId="77777777" w:rsidR="00E86AE8" w:rsidRPr="00672EEB" w:rsidRDefault="00E86AE8" w:rsidP="000464D1">
      <w:pPr>
        <w:pStyle w:val="H1G"/>
        <w:spacing w:before="320" w:after="200"/>
      </w:pPr>
      <w:r>
        <w:tab/>
        <w:t>B.</w:t>
      </w:r>
      <w:r>
        <w:tab/>
        <w:t>Publications isolées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699"/>
        <w:gridCol w:w="1525"/>
        <w:gridCol w:w="1008"/>
        <w:gridCol w:w="938"/>
        <w:gridCol w:w="917"/>
      </w:tblGrid>
      <w:tr w:rsidR="0086133F" w:rsidRPr="00E86AE8" w14:paraId="2B94C7A0" w14:textId="77777777" w:rsidTr="00B772B3">
        <w:trPr>
          <w:cantSplit/>
          <w:tblHeader/>
        </w:trPr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69D9657" w14:textId="77777777" w:rsidR="00E86AE8" w:rsidRPr="00E86AE8" w:rsidRDefault="00E86AE8" w:rsidP="00E86AE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86AE8">
              <w:rPr>
                <w:i/>
                <w:sz w:val="16"/>
              </w:rPr>
              <w:t>N</w:t>
            </w:r>
            <w:r w:rsidR="0086133F">
              <w:rPr>
                <w:i/>
                <w:sz w:val="16"/>
              </w:rPr>
              <w:t>°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69D614B" w14:textId="77777777" w:rsidR="00E86AE8" w:rsidRPr="00E86AE8" w:rsidRDefault="00E86AE8" w:rsidP="00E86AE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86AE8">
              <w:rPr>
                <w:i/>
                <w:sz w:val="16"/>
              </w:rPr>
              <w:t>Titre de la publication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EAA6458" w14:textId="77777777" w:rsidR="00E86AE8" w:rsidRPr="00E86AE8" w:rsidRDefault="00E86AE8" w:rsidP="00E86AE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86AE8">
              <w:rPr>
                <w:i/>
                <w:sz w:val="16"/>
              </w:rPr>
              <w:t>Version papier et/ou électronique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9D8659A" w14:textId="77777777" w:rsidR="00E86AE8" w:rsidRPr="00E86AE8" w:rsidRDefault="00E86AE8" w:rsidP="00E86AE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86AE8">
              <w:rPr>
                <w:i/>
                <w:sz w:val="16"/>
              </w:rPr>
              <w:t xml:space="preserve">Nombre </w:t>
            </w:r>
            <w:r w:rsidR="000E5AC0">
              <w:rPr>
                <w:i/>
                <w:sz w:val="16"/>
              </w:rPr>
              <w:br/>
            </w:r>
            <w:r w:rsidRPr="00E86AE8">
              <w:rPr>
                <w:i/>
                <w:sz w:val="16"/>
              </w:rPr>
              <w:t>de pages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DBE9280" w14:textId="77777777" w:rsidR="00E86AE8" w:rsidRPr="00E86AE8" w:rsidRDefault="00E86AE8" w:rsidP="00E86AE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86AE8">
              <w:rPr>
                <w:i/>
                <w:sz w:val="16"/>
              </w:rPr>
              <w:t>Langue(s) originale(s)</w:t>
            </w:r>
            <w:r w:rsidRPr="000E5AC0">
              <w:rPr>
                <w:sz w:val="16"/>
                <w:vertAlign w:val="superscri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306EBE7" w14:textId="77777777" w:rsidR="00E86AE8" w:rsidRPr="00E86AE8" w:rsidRDefault="00B772B3" w:rsidP="000E5AC0">
            <w:pPr>
              <w:spacing w:before="80" w:after="80" w:line="200" w:lineRule="exact"/>
              <w:rPr>
                <w:i/>
                <w:sz w:val="16"/>
              </w:rPr>
            </w:pPr>
            <w:r w:rsidRPr="006137BE">
              <w:rPr>
                <w:i/>
                <w:spacing w:val="-2"/>
                <w:sz w:val="16"/>
              </w:rPr>
              <w:t>Traduction(s)</w:t>
            </w:r>
            <w:r w:rsidRPr="006137BE">
              <w:rPr>
                <w:spacing w:val="-2"/>
                <w:sz w:val="16"/>
                <w:vertAlign w:val="superscript"/>
              </w:rPr>
              <w:t>1</w:t>
            </w:r>
          </w:p>
        </w:tc>
      </w:tr>
      <w:tr w:rsidR="00E86AE8" w:rsidRPr="00E86AE8" w14:paraId="08EC4127" w14:textId="77777777" w:rsidTr="00B772B3">
        <w:trPr>
          <w:cantSplit/>
          <w:trHeight w:hRule="exact" w:val="113"/>
          <w:tblHeader/>
        </w:trPr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</w:tcPr>
          <w:p w14:paraId="05BAFC47" w14:textId="77777777" w:rsidR="00E86AE8" w:rsidRPr="00E86AE8" w:rsidRDefault="00E86AE8" w:rsidP="00E86AE8">
            <w:pPr>
              <w:spacing w:before="40" w:after="120"/>
              <w:ind w:right="113"/>
            </w:pPr>
          </w:p>
        </w:tc>
        <w:tc>
          <w:tcPr>
            <w:tcW w:w="3699" w:type="dxa"/>
            <w:tcBorders>
              <w:top w:val="single" w:sz="12" w:space="0" w:color="auto"/>
            </w:tcBorders>
            <w:shd w:val="clear" w:color="auto" w:fill="auto"/>
          </w:tcPr>
          <w:p w14:paraId="716CD747" w14:textId="77777777" w:rsidR="00E86AE8" w:rsidRPr="00E86AE8" w:rsidRDefault="00E86AE8" w:rsidP="00E86AE8">
            <w:pPr>
              <w:spacing w:before="40" w:after="120"/>
              <w:ind w:right="113"/>
            </w:pP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</w:tcPr>
          <w:p w14:paraId="778BB46D" w14:textId="77777777" w:rsidR="00E86AE8" w:rsidRPr="00E86AE8" w:rsidRDefault="00E86AE8" w:rsidP="00E86AE8">
            <w:pPr>
              <w:spacing w:before="40" w:after="120"/>
              <w:ind w:right="113"/>
            </w:pP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4595C0B1" w14:textId="77777777" w:rsidR="00E86AE8" w:rsidRPr="00E86AE8" w:rsidRDefault="00E86AE8" w:rsidP="00E86AE8">
            <w:pPr>
              <w:spacing w:before="40" w:after="120"/>
              <w:ind w:right="113"/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</w:tcPr>
          <w:p w14:paraId="1D0E3353" w14:textId="77777777" w:rsidR="00E86AE8" w:rsidRPr="00E86AE8" w:rsidRDefault="00E86AE8" w:rsidP="00E86AE8">
            <w:pPr>
              <w:spacing w:before="40" w:after="120"/>
              <w:ind w:right="113"/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44D3B5A4" w14:textId="77777777" w:rsidR="00E86AE8" w:rsidRPr="00E86AE8" w:rsidRDefault="00E86AE8" w:rsidP="000E5AC0">
            <w:pPr>
              <w:spacing w:before="40" w:after="120"/>
            </w:pPr>
          </w:p>
        </w:tc>
      </w:tr>
      <w:tr w:rsidR="000E5AC0" w:rsidRPr="00E86AE8" w14:paraId="1D71E009" w14:textId="77777777" w:rsidTr="00B772B3">
        <w:trPr>
          <w:cantSplit/>
        </w:trPr>
        <w:tc>
          <w:tcPr>
            <w:tcW w:w="417" w:type="dxa"/>
            <w:shd w:val="clear" w:color="auto" w:fill="auto"/>
          </w:tcPr>
          <w:p w14:paraId="6A8C3036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1F22668E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Glossaire des termes et définitions utilisés dans le transport par voie navigable</w:t>
            </w:r>
          </w:p>
        </w:tc>
        <w:tc>
          <w:tcPr>
            <w:tcW w:w="1525" w:type="dxa"/>
            <w:shd w:val="clear" w:color="auto" w:fill="auto"/>
          </w:tcPr>
          <w:p w14:paraId="05C50E63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Versions papier et électronique</w:t>
            </w:r>
          </w:p>
        </w:tc>
        <w:tc>
          <w:tcPr>
            <w:tcW w:w="1008" w:type="dxa"/>
            <w:shd w:val="clear" w:color="auto" w:fill="auto"/>
          </w:tcPr>
          <w:p w14:paraId="73C5934D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150</w:t>
            </w:r>
          </w:p>
        </w:tc>
        <w:tc>
          <w:tcPr>
            <w:tcW w:w="938" w:type="dxa"/>
            <w:shd w:val="clear" w:color="auto" w:fill="auto"/>
          </w:tcPr>
          <w:p w14:paraId="7DB0D8AC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E</w:t>
            </w:r>
          </w:p>
        </w:tc>
        <w:tc>
          <w:tcPr>
            <w:tcW w:w="917" w:type="dxa"/>
            <w:shd w:val="clear" w:color="auto" w:fill="auto"/>
          </w:tcPr>
          <w:p w14:paraId="04752750" w14:textId="77777777" w:rsidR="00E86AE8" w:rsidRPr="00E86AE8" w:rsidRDefault="00E86AE8" w:rsidP="000E5AC0">
            <w:pPr>
              <w:spacing w:before="40" w:after="120"/>
              <w:rPr>
                <w:szCs w:val="14"/>
              </w:rPr>
            </w:pPr>
            <w:r w:rsidRPr="00E86AE8">
              <w:rPr>
                <w:szCs w:val="18"/>
              </w:rPr>
              <w:t>F et R</w:t>
            </w:r>
          </w:p>
        </w:tc>
      </w:tr>
      <w:tr w:rsidR="000E5AC0" w:rsidRPr="00E86AE8" w14:paraId="5DB34D30" w14:textId="77777777" w:rsidTr="00B772B3">
        <w:trPr>
          <w:cantSplit/>
        </w:trPr>
        <w:tc>
          <w:tcPr>
            <w:tcW w:w="417" w:type="dxa"/>
            <w:shd w:val="clear" w:color="auto" w:fill="auto"/>
          </w:tcPr>
          <w:p w14:paraId="34AC870C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14:paraId="59C59FAA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Transport vert : logistique verte</w:t>
            </w:r>
          </w:p>
        </w:tc>
        <w:tc>
          <w:tcPr>
            <w:tcW w:w="1525" w:type="dxa"/>
            <w:shd w:val="clear" w:color="auto" w:fill="auto"/>
          </w:tcPr>
          <w:p w14:paraId="0D8B2177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Versions papier et électronique</w:t>
            </w:r>
          </w:p>
        </w:tc>
        <w:tc>
          <w:tcPr>
            <w:tcW w:w="1008" w:type="dxa"/>
            <w:shd w:val="clear" w:color="auto" w:fill="auto"/>
          </w:tcPr>
          <w:p w14:paraId="2D8F8A81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150</w:t>
            </w:r>
          </w:p>
        </w:tc>
        <w:tc>
          <w:tcPr>
            <w:tcW w:w="938" w:type="dxa"/>
            <w:shd w:val="clear" w:color="auto" w:fill="auto"/>
          </w:tcPr>
          <w:p w14:paraId="76C13A25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E</w:t>
            </w:r>
          </w:p>
        </w:tc>
        <w:tc>
          <w:tcPr>
            <w:tcW w:w="917" w:type="dxa"/>
            <w:shd w:val="clear" w:color="auto" w:fill="auto"/>
          </w:tcPr>
          <w:p w14:paraId="6DE0A1FD" w14:textId="77777777" w:rsidR="00E86AE8" w:rsidRPr="00E86AE8" w:rsidRDefault="00E86AE8" w:rsidP="000E5AC0">
            <w:pPr>
              <w:spacing w:before="40" w:after="120"/>
              <w:rPr>
                <w:szCs w:val="14"/>
              </w:rPr>
            </w:pPr>
            <w:r w:rsidRPr="00E86AE8">
              <w:rPr>
                <w:szCs w:val="18"/>
              </w:rPr>
              <w:t>F et R</w:t>
            </w:r>
          </w:p>
        </w:tc>
      </w:tr>
      <w:tr w:rsidR="000E5AC0" w:rsidRPr="00E86AE8" w14:paraId="21DE9E8C" w14:textId="77777777" w:rsidTr="00B772B3">
        <w:trPr>
          <w:cantSplit/>
        </w:trPr>
        <w:tc>
          <w:tcPr>
            <w:tcW w:w="417" w:type="dxa"/>
            <w:shd w:val="clear" w:color="auto" w:fill="auto"/>
          </w:tcPr>
          <w:p w14:paraId="42A50207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14:paraId="4F4BAD58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  <w:lang w:val="en-US"/>
              </w:rPr>
            </w:pPr>
            <w:r w:rsidRPr="00E86AE8">
              <w:rPr>
                <w:szCs w:val="18"/>
                <w:lang w:val="en-US"/>
              </w:rPr>
              <w:t>Managing risks and climate change in road infrastructure sub-sector</w:t>
            </w:r>
          </w:p>
        </w:tc>
        <w:tc>
          <w:tcPr>
            <w:tcW w:w="1525" w:type="dxa"/>
            <w:shd w:val="clear" w:color="auto" w:fill="auto"/>
          </w:tcPr>
          <w:p w14:paraId="2545EAE7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Versions papier et électronique</w:t>
            </w:r>
          </w:p>
        </w:tc>
        <w:tc>
          <w:tcPr>
            <w:tcW w:w="1008" w:type="dxa"/>
            <w:shd w:val="clear" w:color="auto" w:fill="auto"/>
          </w:tcPr>
          <w:p w14:paraId="065162E8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14:paraId="7B4C2097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E</w:t>
            </w:r>
          </w:p>
        </w:tc>
        <w:tc>
          <w:tcPr>
            <w:tcW w:w="917" w:type="dxa"/>
            <w:shd w:val="clear" w:color="auto" w:fill="auto"/>
          </w:tcPr>
          <w:p w14:paraId="328B378B" w14:textId="77777777" w:rsidR="00E86AE8" w:rsidRPr="00E86AE8" w:rsidRDefault="00E86AE8" w:rsidP="000E5AC0">
            <w:pPr>
              <w:spacing w:before="40" w:after="120"/>
              <w:rPr>
                <w:szCs w:val="14"/>
              </w:rPr>
            </w:pPr>
            <w:r w:rsidRPr="00E86AE8">
              <w:rPr>
                <w:szCs w:val="18"/>
              </w:rPr>
              <w:t>Pas de traductions</w:t>
            </w:r>
          </w:p>
        </w:tc>
      </w:tr>
      <w:tr w:rsidR="0086133F" w:rsidRPr="00E86AE8" w14:paraId="16452DE8" w14:textId="77777777" w:rsidTr="00B772B3">
        <w:trPr>
          <w:cantSplit/>
        </w:trPr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</w:tcPr>
          <w:p w14:paraId="74752C89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4</w:t>
            </w:r>
          </w:p>
        </w:tc>
        <w:tc>
          <w:tcPr>
            <w:tcW w:w="3699" w:type="dxa"/>
            <w:tcBorders>
              <w:bottom w:val="single" w:sz="12" w:space="0" w:color="auto"/>
            </w:tcBorders>
            <w:shd w:val="clear" w:color="auto" w:fill="auto"/>
          </w:tcPr>
          <w:p w14:paraId="4E3A6F24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Data management in transport infrastructure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</w:tcPr>
          <w:p w14:paraId="32C69D28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Versions papier et électronique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0887E2A6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100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14:paraId="600EA8FC" w14:textId="77777777" w:rsidR="00E86AE8" w:rsidRPr="00E86AE8" w:rsidRDefault="00E86AE8" w:rsidP="00E86AE8">
            <w:pPr>
              <w:spacing w:before="40" w:after="120"/>
              <w:ind w:right="113"/>
              <w:rPr>
                <w:szCs w:val="14"/>
              </w:rPr>
            </w:pPr>
            <w:r w:rsidRPr="00E86AE8">
              <w:rPr>
                <w:szCs w:val="18"/>
              </w:rPr>
              <w:t>E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2D75AB9B" w14:textId="77777777" w:rsidR="00E86AE8" w:rsidRPr="00E86AE8" w:rsidRDefault="00E86AE8" w:rsidP="000E5AC0">
            <w:pPr>
              <w:spacing w:before="40" w:after="120"/>
              <w:rPr>
                <w:szCs w:val="14"/>
              </w:rPr>
            </w:pPr>
            <w:r w:rsidRPr="00E86AE8">
              <w:rPr>
                <w:szCs w:val="18"/>
              </w:rPr>
              <w:t>Pas de traductions</w:t>
            </w:r>
          </w:p>
        </w:tc>
      </w:tr>
    </w:tbl>
    <w:p w14:paraId="76FED387" w14:textId="77777777" w:rsidR="00047CBD" w:rsidRPr="00E86AE8" w:rsidRDefault="00E86AE8" w:rsidP="00E86A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7CBD" w:rsidRPr="00E86AE8" w:rsidSect="001E39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5278" w14:textId="77777777" w:rsidR="00DB6EEA" w:rsidRDefault="00DB6EEA" w:rsidP="00F95C08">
      <w:pPr>
        <w:spacing w:line="240" w:lineRule="auto"/>
      </w:pPr>
    </w:p>
  </w:endnote>
  <w:endnote w:type="continuationSeparator" w:id="0">
    <w:p w14:paraId="33E4298C" w14:textId="77777777" w:rsidR="00DB6EEA" w:rsidRPr="00AC3823" w:rsidRDefault="00DB6EEA" w:rsidP="00AC3823">
      <w:pPr>
        <w:pStyle w:val="Footer"/>
      </w:pPr>
    </w:p>
  </w:endnote>
  <w:endnote w:type="continuationNotice" w:id="1">
    <w:p w14:paraId="424A6599" w14:textId="77777777" w:rsidR="00DB6EEA" w:rsidRDefault="00DB6E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8129" w14:textId="77777777" w:rsidR="001E3980" w:rsidRPr="001E3980" w:rsidRDefault="001E3980" w:rsidP="001E3980">
    <w:pPr>
      <w:pStyle w:val="Footer"/>
      <w:tabs>
        <w:tab w:val="right" w:pos="9638"/>
      </w:tabs>
    </w:pPr>
    <w:r w:rsidRPr="001E3980">
      <w:rPr>
        <w:b/>
        <w:sz w:val="18"/>
      </w:rPr>
      <w:fldChar w:fldCharType="begin"/>
    </w:r>
    <w:r w:rsidRPr="001E3980">
      <w:rPr>
        <w:b/>
        <w:sz w:val="18"/>
      </w:rPr>
      <w:instrText xml:space="preserve"> PAGE  \* MERGEFORMAT </w:instrText>
    </w:r>
    <w:r w:rsidRPr="001E3980">
      <w:rPr>
        <w:b/>
        <w:sz w:val="18"/>
      </w:rPr>
      <w:fldChar w:fldCharType="separate"/>
    </w:r>
    <w:r w:rsidRPr="001E3980">
      <w:rPr>
        <w:b/>
        <w:noProof/>
        <w:sz w:val="18"/>
      </w:rPr>
      <w:t>2</w:t>
    </w:r>
    <w:r w:rsidRPr="001E3980">
      <w:rPr>
        <w:b/>
        <w:sz w:val="18"/>
      </w:rPr>
      <w:fldChar w:fldCharType="end"/>
    </w:r>
    <w:r>
      <w:rPr>
        <w:b/>
        <w:sz w:val="18"/>
      </w:rPr>
      <w:tab/>
    </w:r>
    <w:r>
      <w:t>GE.19-21985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CD6A" w14:textId="77777777" w:rsidR="001E3980" w:rsidRPr="001E3980" w:rsidRDefault="001E3980" w:rsidP="001E3980">
    <w:pPr>
      <w:pStyle w:val="Footer"/>
      <w:tabs>
        <w:tab w:val="right" w:pos="9638"/>
      </w:tabs>
      <w:rPr>
        <w:b/>
        <w:sz w:val="18"/>
      </w:rPr>
    </w:pPr>
    <w:r>
      <w:t>GE.19-21985</w:t>
    </w:r>
    <w:r>
      <w:tab/>
    </w:r>
    <w:r w:rsidRPr="001E3980">
      <w:rPr>
        <w:b/>
        <w:sz w:val="18"/>
      </w:rPr>
      <w:fldChar w:fldCharType="begin"/>
    </w:r>
    <w:r w:rsidRPr="001E3980">
      <w:rPr>
        <w:b/>
        <w:sz w:val="18"/>
      </w:rPr>
      <w:instrText xml:space="preserve"> PAGE  \* MERGEFORMAT </w:instrText>
    </w:r>
    <w:r w:rsidRPr="001E3980">
      <w:rPr>
        <w:b/>
        <w:sz w:val="18"/>
      </w:rPr>
      <w:fldChar w:fldCharType="separate"/>
    </w:r>
    <w:r w:rsidRPr="001E3980">
      <w:rPr>
        <w:b/>
        <w:noProof/>
        <w:sz w:val="18"/>
      </w:rPr>
      <w:t>3</w:t>
    </w:r>
    <w:r w:rsidRPr="001E39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F3EC" w14:textId="77777777" w:rsidR="007F20FA" w:rsidRPr="001E3980" w:rsidRDefault="001E3980" w:rsidP="001E398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FD34756" wp14:editId="376456E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21985  (</w:t>
    </w:r>
    <w:proofErr w:type="gramEnd"/>
    <w:r>
      <w:rPr>
        <w:sz w:val="20"/>
      </w:rPr>
      <w:t>F)    210120    240120</w:t>
    </w:r>
    <w:r>
      <w:rPr>
        <w:sz w:val="20"/>
      </w:rPr>
      <w:br/>
    </w:r>
    <w:r w:rsidRPr="001E3980">
      <w:rPr>
        <w:rFonts w:ascii="C39T30Lfz" w:hAnsi="C39T30Lfz"/>
        <w:sz w:val="56"/>
      </w:rPr>
      <w:t></w:t>
    </w:r>
    <w:r w:rsidRPr="001E3980">
      <w:rPr>
        <w:rFonts w:ascii="C39T30Lfz" w:hAnsi="C39T30Lfz"/>
        <w:sz w:val="56"/>
      </w:rPr>
      <w:t></w:t>
    </w:r>
    <w:r w:rsidRPr="001E3980">
      <w:rPr>
        <w:rFonts w:ascii="C39T30Lfz" w:hAnsi="C39T30Lfz"/>
        <w:sz w:val="56"/>
      </w:rPr>
      <w:t></w:t>
    </w:r>
    <w:r w:rsidRPr="001E3980">
      <w:rPr>
        <w:rFonts w:ascii="C39T30Lfz" w:hAnsi="C39T30Lfz"/>
        <w:sz w:val="56"/>
      </w:rPr>
      <w:t></w:t>
    </w:r>
    <w:r w:rsidRPr="001E3980">
      <w:rPr>
        <w:rFonts w:ascii="C39T30Lfz" w:hAnsi="C39T30Lfz"/>
        <w:sz w:val="56"/>
      </w:rPr>
      <w:t></w:t>
    </w:r>
    <w:r w:rsidRPr="001E3980">
      <w:rPr>
        <w:rFonts w:ascii="C39T30Lfz" w:hAnsi="C39T30Lfz"/>
        <w:sz w:val="56"/>
      </w:rPr>
      <w:t></w:t>
    </w:r>
    <w:r w:rsidRPr="001E3980">
      <w:rPr>
        <w:rFonts w:ascii="C39T30Lfz" w:hAnsi="C39T30Lfz"/>
        <w:sz w:val="56"/>
      </w:rPr>
      <w:t></w:t>
    </w:r>
    <w:r w:rsidRPr="001E3980">
      <w:rPr>
        <w:rFonts w:ascii="C39T30Lfz" w:hAnsi="C39T30Lfz"/>
        <w:sz w:val="56"/>
      </w:rPr>
      <w:t></w:t>
    </w:r>
    <w:r w:rsidRPr="001E398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9F1BE7C" wp14:editId="1A25621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ECE/TRANS/2020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ED0A" w14:textId="77777777" w:rsidR="00DB6EEA" w:rsidRPr="00AC3823" w:rsidRDefault="00DB6E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7F6D0A" w14:textId="77777777" w:rsidR="00DB6EEA" w:rsidRPr="00AC3823" w:rsidRDefault="00DB6E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00A377" w14:textId="77777777" w:rsidR="00DB6EEA" w:rsidRPr="00AC3823" w:rsidRDefault="00DB6EEA">
      <w:pPr>
        <w:spacing w:line="240" w:lineRule="auto"/>
        <w:rPr>
          <w:sz w:val="2"/>
          <w:szCs w:val="2"/>
        </w:rPr>
      </w:pPr>
    </w:p>
  </w:footnote>
  <w:footnote w:id="2">
    <w:p w14:paraId="27307A99" w14:textId="77777777" w:rsidR="001953EC" w:rsidRPr="00716F21" w:rsidRDefault="001953EC" w:rsidP="001953EC">
      <w:pPr>
        <w:pStyle w:val="FootnoteText"/>
      </w:pPr>
      <w:r>
        <w:tab/>
      </w:r>
      <w:r w:rsidRPr="00BC727A">
        <w:rPr>
          <w:sz w:val="20"/>
        </w:rPr>
        <w:t>*</w:t>
      </w:r>
      <w:r>
        <w:tab/>
        <w:t>Ce document sera publié après la date standard de publication pour des raisons indépendantes de</w:t>
      </w:r>
      <w:r w:rsidR="003A54AD">
        <w:t> </w:t>
      </w:r>
      <w:r>
        <w:t>la</w:t>
      </w:r>
      <w:r w:rsidR="003A54AD">
        <w:t> </w:t>
      </w:r>
      <w:r>
        <w:t>volonté de l’auteur.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E172" w14:textId="7C02D6B7" w:rsidR="001E3980" w:rsidRPr="001E3980" w:rsidRDefault="00F60C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C5DF1">
      <w:t>ECE/TRANS/2020/23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4854" w14:textId="18E84F65" w:rsidR="001E3980" w:rsidRPr="001E3980" w:rsidRDefault="00F60C75" w:rsidP="001E398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C5DF1">
      <w:t>ECE/TRANS/2020/23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EEA"/>
    <w:rsid w:val="00017F94"/>
    <w:rsid w:val="00023842"/>
    <w:rsid w:val="000334F9"/>
    <w:rsid w:val="00045FEB"/>
    <w:rsid w:val="000464D1"/>
    <w:rsid w:val="00047CBD"/>
    <w:rsid w:val="0007796D"/>
    <w:rsid w:val="000B7790"/>
    <w:rsid w:val="000E5AC0"/>
    <w:rsid w:val="00111F2F"/>
    <w:rsid w:val="0014365E"/>
    <w:rsid w:val="00143C66"/>
    <w:rsid w:val="00176178"/>
    <w:rsid w:val="001953EC"/>
    <w:rsid w:val="001A2BE9"/>
    <w:rsid w:val="001E3980"/>
    <w:rsid w:val="001F525A"/>
    <w:rsid w:val="00223272"/>
    <w:rsid w:val="0024779E"/>
    <w:rsid w:val="00257168"/>
    <w:rsid w:val="002744B8"/>
    <w:rsid w:val="002832AC"/>
    <w:rsid w:val="002D272F"/>
    <w:rsid w:val="002D7C93"/>
    <w:rsid w:val="00305801"/>
    <w:rsid w:val="003916DE"/>
    <w:rsid w:val="003A54AD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37BE"/>
    <w:rsid w:val="006A0404"/>
    <w:rsid w:val="006C5DF1"/>
    <w:rsid w:val="00714D5D"/>
    <w:rsid w:val="0071601D"/>
    <w:rsid w:val="007A62E6"/>
    <w:rsid w:val="007D0845"/>
    <w:rsid w:val="007F20FA"/>
    <w:rsid w:val="0080684C"/>
    <w:rsid w:val="00807A39"/>
    <w:rsid w:val="0086133F"/>
    <w:rsid w:val="00871C75"/>
    <w:rsid w:val="008776DC"/>
    <w:rsid w:val="009048E9"/>
    <w:rsid w:val="009446C0"/>
    <w:rsid w:val="009705C8"/>
    <w:rsid w:val="009C1CF4"/>
    <w:rsid w:val="009F25AC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2B3"/>
    <w:rsid w:val="00BA0CA9"/>
    <w:rsid w:val="00BC727A"/>
    <w:rsid w:val="00C02897"/>
    <w:rsid w:val="00C97039"/>
    <w:rsid w:val="00D3439C"/>
    <w:rsid w:val="00DB1831"/>
    <w:rsid w:val="00DB6EEA"/>
    <w:rsid w:val="00DD3BFD"/>
    <w:rsid w:val="00DF6678"/>
    <w:rsid w:val="00E0299A"/>
    <w:rsid w:val="00E65E0D"/>
    <w:rsid w:val="00E85C74"/>
    <w:rsid w:val="00E86AE8"/>
    <w:rsid w:val="00EA6547"/>
    <w:rsid w:val="00EF2E22"/>
    <w:rsid w:val="00F10A46"/>
    <w:rsid w:val="00F35BAF"/>
    <w:rsid w:val="00F57988"/>
    <w:rsid w:val="00F60C75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63642"/>
  <w15:docId w15:val="{C9CF2C38-C93E-4F00-8FC1-2B7D0EF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47C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F25A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ECE/TRANS/2020/23</vt:lpstr>
      <vt:lpstr>ECE/TRANS/2020/23</vt:lpstr>
    </vt:vector>
  </TitlesOfParts>
  <Company>DCM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ECE/TRANS/2020/23</dc:title>
  <dc:subject/>
  <dc:creator>Corinne ROBERT</dc:creator>
  <cp:keywords/>
  <cp:lastModifiedBy>Anastasia Barinova</cp:lastModifiedBy>
  <cp:revision>2</cp:revision>
  <cp:lastPrinted>2020-01-24T14:41:00Z</cp:lastPrinted>
  <dcterms:created xsi:type="dcterms:W3CDTF">2020-01-24T16:50:00Z</dcterms:created>
  <dcterms:modified xsi:type="dcterms:W3CDTF">2020-01-24T16:50:00Z</dcterms:modified>
</cp:coreProperties>
</file>