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D7E0DF" w14:textId="77777777" w:rsidTr="00C97039">
        <w:trPr>
          <w:trHeight w:hRule="exact" w:val="851"/>
        </w:trPr>
        <w:tc>
          <w:tcPr>
            <w:tcW w:w="1276" w:type="dxa"/>
            <w:tcBorders>
              <w:bottom w:val="single" w:sz="4" w:space="0" w:color="auto"/>
            </w:tcBorders>
          </w:tcPr>
          <w:p w14:paraId="4E8C8987" w14:textId="77777777" w:rsidR="00F35BAF" w:rsidRPr="00DB58B5" w:rsidRDefault="00F35BAF" w:rsidP="00847CBD"/>
        </w:tc>
        <w:tc>
          <w:tcPr>
            <w:tcW w:w="2268" w:type="dxa"/>
            <w:tcBorders>
              <w:bottom w:val="single" w:sz="4" w:space="0" w:color="auto"/>
            </w:tcBorders>
            <w:vAlign w:val="bottom"/>
          </w:tcPr>
          <w:p w14:paraId="0084DE4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511D26" w14:textId="77777777" w:rsidR="00F35BAF" w:rsidRPr="00DB58B5" w:rsidRDefault="00847CBD" w:rsidP="00847CBD">
            <w:pPr>
              <w:jc w:val="right"/>
            </w:pPr>
            <w:r w:rsidRPr="00847CBD">
              <w:rPr>
                <w:sz w:val="40"/>
              </w:rPr>
              <w:t>ECE</w:t>
            </w:r>
            <w:r>
              <w:t>/TRANS/2020/22/Rev.1</w:t>
            </w:r>
          </w:p>
        </w:tc>
      </w:tr>
      <w:tr w:rsidR="00F35BAF" w:rsidRPr="00DB58B5" w14:paraId="7818E8AE" w14:textId="77777777" w:rsidTr="00C97039">
        <w:trPr>
          <w:trHeight w:hRule="exact" w:val="2835"/>
        </w:trPr>
        <w:tc>
          <w:tcPr>
            <w:tcW w:w="1276" w:type="dxa"/>
            <w:tcBorders>
              <w:top w:val="single" w:sz="4" w:space="0" w:color="auto"/>
              <w:bottom w:val="single" w:sz="12" w:space="0" w:color="auto"/>
            </w:tcBorders>
          </w:tcPr>
          <w:p w14:paraId="12DA947A" w14:textId="77777777" w:rsidR="00F35BAF" w:rsidRPr="00DB58B5" w:rsidRDefault="00F35BAF" w:rsidP="00C97039">
            <w:pPr>
              <w:spacing w:before="120"/>
              <w:jc w:val="center"/>
            </w:pPr>
            <w:r>
              <w:rPr>
                <w:noProof/>
                <w:lang w:eastAsia="fr-CH"/>
              </w:rPr>
              <w:drawing>
                <wp:inline distT="0" distB="0" distL="0" distR="0" wp14:anchorId="570A964C" wp14:editId="4C34B63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7ECF2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9DE0C45" w14:textId="77777777" w:rsidR="00F35BAF" w:rsidRDefault="00847CBD" w:rsidP="00C97039">
            <w:pPr>
              <w:spacing w:before="240"/>
            </w:pPr>
            <w:proofErr w:type="spellStart"/>
            <w:r>
              <w:t>Distr</w:t>
            </w:r>
            <w:proofErr w:type="spellEnd"/>
            <w:r>
              <w:t xml:space="preserve">. </w:t>
            </w:r>
            <w:proofErr w:type="gramStart"/>
            <w:r>
              <w:t>générale</w:t>
            </w:r>
            <w:proofErr w:type="gramEnd"/>
          </w:p>
          <w:p w14:paraId="46898BA2" w14:textId="77777777" w:rsidR="00847CBD" w:rsidRDefault="00847CBD" w:rsidP="00847CBD">
            <w:pPr>
              <w:spacing w:line="240" w:lineRule="exact"/>
            </w:pPr>
            <w:r>
              <w:t>24 janvier 2020</w:t>
            </w:r>
          </w:p>
          <w:p w14:paraId="25BE9427" w14:textId="77777777" w:rsidR="00847CBD" w:rsidRDefault="00847CBD" w:rsidP="00847CBD">
            <w:pPr>
              <w:spacing w:line="240" w:lineRule="exact"/>
            </w:pPr>
            <w:r>
              <w:t>Français</w:t>
            </w:r>
          </w:p>
          <w:p w14:paraId="1B466EE4" w14:textId="77777777" w:rsidR="00847CBD" w:rsidRPr="00DB58B5" w:rsidRDefault="00847CBD" w:rsidP="00847CBD">
            <w:pPr>
              <w:spacing w:line="240" w:lineRule="exact"/>
            </w:pPr>
            <w:r>
              <w:t>Original : anglais</w:t>
            </w:r>
          </w:p>
        </w:tc>
      </w:tr>
    </w:tbl>
    <w:p w14:paraId="6EA362D4" w14:textId="77777777" w:rsidR="007F20FA" w:rsidRPr="000312C0" w:rsidRDefault="007F20FA" w:rsidP="007F20FA">
      <w:pPr>
        <w:spacing w:before="120"/>
        <w:rPr>
          <w:b/>
          <w:sz w:val="28"/>
          <w:szCs w:val="28"/>
        </w:rPr>
      </w:pPr>
      <w:r w:rsidRPr="000312C0">
        <w:rPr>
          <w:b/>
          <w:sz w:val="28"/>
          <w:szCs w:val="28"/>
        </w:rPr>
        <w:t>Commission économique pour l’Europe</w:t>
      </w:r>
    </w:p>
    <w:p w14:paraId="0D135688" w14:textId="77777777" w:rsidR="007F20FA" w:rsidRDefault="007F20FA" w:rsidP="000F22EF">
      <w:pPr>
        <w:spacing w:before="120"/>
        <w:rPr>
          <w:sz w:val="28"/>
          <w:szCs w:val="28"/>
        </w:rPr>
      </w:pPr>
      <w:r w:rsidRPr="00685843">
        <w:rPr>
          <w:sz w:val="28"/>
          <w:szCs w:val="28"/>
        </w:rPr>
        <w:t>Comité des transports intérieurs</w:t>
      </w:r>
    </w:p>
    <w:p w14:paraId="39EB4818" w14:textId="77777777" w:rsidR="00847CBD" w:rsidRDefault="00847CBD" w:rsidP="00847CBD">
      <w:pPr>
        <w:spacing w:before="120"/>
        <w:rPr>
          <w:b/>
          <w:bCs/>
          <w:lang w:val="fr-FR"/>
        </w:rPr>
      </w:pPr>
      <w:r>
        <w:rPr>
          <w:b/>
          <w:bCs/>
          <w:lang w:val="fr-FR"/>
        </w:rPr>
        <w:t>Quatre-vingt-deuxième session</w:t>
      </w:r>
    </w:p>
    <w:p w14:paraId="12398C66" w14:textId="77777777" w:rsidR="00847CBD" w:rsidRDefault="00847CBD" w:rsidP="00847CBD">
      <w:pPr>
        <w:rPr>
          <w:lang w:val="fr-FR"/>
        </w:rPr>
      </w:pPr>
      <w:r>
        <w:rPr>
          <w:lang w:val="fr-FR"/>
        </w:rPr>
        <w:t>Genève, 25-28 février 2020</w:t>
      </w:r>
    </w:p>
    <w:p w14:paraId="44CBEA10" w14:textId="77777777" w:rsidR="00847CBD" w:rsidRDefault="00847CBD" w:rsidP="00847CBD">
      <w:pPr>
        <w:rPr>
          <w:lang w:val="fr-FR"/>
        </w:rPr>
      </w:pPr>
      <w:r>
        <w:rPr>
          <w:lang w:val="fr-FR"/>
        </w:rPr>
        <w:t>Point 12 de l’ordre du jour provisoire</w:t>
      </w:r>
    </w:p>
    <w:p w14:paraId="5DDF4CD0" w14:textId="77777777" w:rsidR="00847CBD" w:rsidRDefault="00847CBD" w:rsidP="00847CBD">
      <w:pPr>
        <w:rPr>
          <w:b/>
          <w:bCs/>
          <w:lang w:val="fr-FR"/>
        </w:rPr>
      </w:pPr>
      <w:r>
        <w:rPr>
          <w:b/>
          <w:bCs/>
          <w:lang w:val="fr-FR"/>
        </w:rPr>
        <w:t>Plan-programme pour 2021</w:t>
      </w:r>
    </w:p>
    <w:p w14:paraId="5A92C212" w14:textId="77777777" w:rsidR="000F22EF" w:rsidRDefault="00847CBD" w:rsidP="000F22EF">
      <w:pPr>
        <w:pStyle w:val="HChG"/>
        <w:spacing w:before="300" w:after="200"/>
        <w:rPr>
          <w:lang w:val="fr-FR"/>
        </w:rPr>
      </w:pPr>
      <w:r>
        <w:rPr>
          <w:lang w:val="fr-FR"/>
        </w:rPr>
        <w:tab/>
      </w:r>
      <w:r>
        <w:rPr>
          <w:lang w:val="fr-FR"/>
        </w:rPr>
        <w:tab/>
        <w:t>Plan-programme pour 2021</w:t>
      </w:r>
      <w:r w:rsidR="00195AC3" w:rsidRPr="000F22EF">
        <w:rPr>
          <w:rStyle w:val="FootnoteReference"/>
          <w:b w:val="0"/>
          <w:sz w:val="20"/>
          <w:vertAlign w:val="baseline"/>
        </w:rPr>
        <w:footnoteReference w:customMarkFollows="1" w:id="2"/>
        <w:t>*</w:t>
      </w:r>
    </w:p>
    <w:p w14:paraId="4B2C05B4" w14:textId="77777777" w:rsidR="00847CBD" w:rsidRDefault="00847CBD" w:rsidP="000F22EF">
      <w:pPr>
        <w:pStyle w:val="HChG"/>
        <w:spacing w:before="300" w:after="200"/>
        <w:rPr>
          <w:lang w:val="fr-FR"/>
        </w:rPr>
      </w:pPr>
      <w:r>
        <w:rPr>
          <w:lang w:val="fr-FR"/>
        </w:rPr>
        <w:tab/>
      </w:r>
      <w:r>
        <w:rPr>
          <w:lang w:val="fr-FR"/>
        </w:rPr>
        <w:tab/>
        <w:t>Sous-programme 2 : Transports</w:t>
      </w:r>
    </w:p>
    <w:p w14:paraId="72E3AA12" w14:textId="77777777" w:rsidR="00F9573C" w:rsidRDefault="00847CBD" w:rsidP="000F22EF">
      <w:pPr>
        <w:pStyle w:val="H1G"/>
        <w:spacing w:before="300" w:after="200"/>
        <w:rPr>
          <w:lang w:val="fr-FR"/>
        </w:rPr>
      </w:pPr>
      <w:r>
        <w:rPr>
          <w:lang w:val="fr-FR"/>
        </w:rPr>
        <w:tab/>
      </w:r>
      <w:r>
        <w:rPr>
          <w:lang w:val="fr-FR"/>
        </w:rPr>
        <w:tab/>
      </w:r>
      <w:r w:rsidRPr="004A1D21">
        <w:rPr>
          <w:lang w:val="fr-FR"/>
        </w:rPr>
        <w:t>Révision</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847CBD" w14:paraId="634951AB" w14:textId="77777777" w:rsidTr="00C4632F">
        <w:trPr>
          <w:trHeight w:val="240"/>
          <w:jc w:val="center"/>
        </w:trPr>
        <w:tc>
          <w:tcPr>
            <w:tcW w:w="7654" w:type="dxa"/>
            <w:tcBorders>
              <w:top w:val="single" w:sz="4" w:space="0" w:color="auto"/>
              <w:left w:val="single" w:sz="4" w:space="0" w:color="auto"/>
              <w:bottom w:val="nil"/>
              <w:right w:val="single" w:sz="4" w:space="0" w:color="auto"/>
            </w:tcBorders>
          </w:tcPr>
          <w:p w14:paraId="23007305" w14:textId="77777777" w:rsidR="00847CBD" w:rsidRDefault="00847CBD" w:rsidP="00C4632F">
            <w:pPr>
              <w:spacing w:line="240" w:lineRule="auto"/>
              <w:rPr>
                <w:lang w:val="fr-FR"/>
              </w:rPr>
            </w:pPr>
          </w:p>
        </w:tc>
      </w:tr>
      <w:tr w:rsidR="00847CBD" w14:paraId="3522BEA6" w14:textId="77777777" w:rsidTr="00C4632F">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14:paraId="0ECEF892" w14:textId="77777777" w:rsidR="00847CBD" w:rsidRPr="00AB5A7D" w:rsidRDefault="00847CBD" w:rsidP="000F22EF">
            <w:pPr>
              <w:spacing w:after="120" w:line="234" w:lineRule="exact"/>
              <w:ind w:firstLine="567"/>
              <w:jc w:val="both"/>
            </w:pPr>
            <w:r w:rsidRPr="00AB5A7D">
              <w:t>1.</w:t>
            </w:r>
            <w:r w:rsidRPr="00AB5A7D">
              <w:tab/>
              <w:t xml:space="preserve">À sa soixante-douzième session tenue en décembre 2017, l’Assemblée générale a adopté la résolution A/72/266 intitulée « Un nouveau modèle de gestion pour l’Organisation des Nations Unies ». Par cette résolution, les États Membres ont approuvé le remplacement à titre expérimental des exercices budgétaires biennaux par des exercices annuels à compter du budget-programme de 2020, et prié le Secrétaire général de procéder en 2022, c’est-à-dire à l’issue du premier cycle budgétaire complet, à un examen des modifications qui auront été apportées au cycle budgétaire. L’Assemblée générale a aussi décidé d’examiner à sa soixante-dix-septième session la mise en œuvre du budget sur une base annuelle, en vue de prendre une décision définitive sur la question. </w:t>
            </w:r>
          </w:p>
        </w:tc>
      </w:tr>
      <w:tr w:rsidR="00847CBD" w14:paraId="30778E0E" w14:textId="77777777" w:rsidTr="00C4632F">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14:paraId="10F8B655" w14:textId="77777777" w:rsidR="00847CBD" w:rsidRPr="00AB5A7D" w:rsidRDefault="00847CBD" w:rsidP="000F22EF">
            <w:pPr>
              <w:spacing w:after="120" w:line="234" w:lineRule="exact"/>
              <w:ind w:firstLine="567"/>
              <w:jc w:val="both"/>
            </w:pPr>
            <w:r w:rsidRPr="00AB5A7D">
              <w:t>2.</w:t>
            </w:r>
            <w:r w:rsidRPr="00AB5A7D">
              <w:tab/>
              <w:t xml:space="preserve">Conformément aux instructions du Contrôleur de l’ONU, le secrétariat de la CEE a établi le projet de budget-programme pour 2021 pour le sous-programme 2 (Transports), en vue de sa communication pour observations au Comité des transports intérieurs (CTI) ou à son </w:t>
            </w:r>
            <w:r>
              <w:t>b</w:t>
            </w:r>
            <w:r w:rsidRPr="00AB5A7D">
              <w:t xml:space="preserve">ureau, et au Comité exécutif dans le cadre du projet de budget de la CEE. Le projet de budget-programme récapitulatif de la CEE, modifié le cas échéant, sera ensuite soumis au Comité du programme et de la coordination et au Comité consultatif pour les questions administratives et budgétaires à leurs sessions qui se tiendront à la mi-2020. Les conclusions et recommandations des deux </w:t>
            </w:r>
            <w:r>
              <w:t>C</w:t>
            </w:r>
            <w:r w:rsidRPr="00AB5A7D">
              <w:t>omités seront transmises à l’Assemblée générale à sa soixante-quinzième session, en 2020, au cours de laquelle sera examiné le projet de budget-programme du Secrétaire général pour 2021.</w:t>
            </w:r>
          </w:p>
        </w:tc>
      </w:tr>
      <w:tr w:rsidR="00847CBD" w14:paraId="6B97D9C2" w14:textId="77777777" w:rsidTr="00C4632F">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14:paraId="75918B3F" w14:textId="77777777" w:rsidR="00847CBD" w:rsidRDefault="00847CBD" w:rsidP="000F22EF">
            <w:pPr>
              <w:spacing w:after="120" w:line="234" w:lineRule="exact"/>
              <w:ind w:firstLine="567"/>
              <w:jc w:val="both"/>
              <w:rPr>
                <w:lang w:val="fr-FR"/>
              </w:rPr>
            </w:pPr>
            <w:r>
              <w:rPr>
                <w:lang w:val="fr-FR"/>
              </w:rPr>
              <w:t>3.</w:t>
            </w:r>
            <w:r>
              <w:rPr>
                <w:lang w:val="fr-FR"/>
              </w:rPr>
              <w:tab/>
              <w:t xml:space="preserve">Le Comité </w:t>
            </w:r>
            <w:r>
              <w:rPr>
                <w:b/>
                <w:bCs/>
                <w:lang w:val="fr-FR"/>
              </w:rPr>
              <w:t>voudra bien prendre note du fait que</w:t>
            </w:r>
            <w:r>
              <w:rPr>
                <w:lang w:val="fr-FR"/>
              </w:rPr>
              <w:t xml:space="preserve"> les informations contenues dans le présent document ont été examinées par le Bureau du CTI à sa session des 28 et 29 novembre 2019. Le Comité </w:t>
            </w:r>
            <w:r>
              <w:rPr>
                <w:b/>
                <w:bCs/>
                <w:lang w:val="fr-FR"/>
              </w:rPr>
              <w:t>est invité à examiner le présent document et à formuler des observations</w:t>
            </w:r>
            <w:r>
              <w:rPr>
                <w:lang w:val="fr-FR"/>
              </w:rPr>
              <w:t xml:space="preserve"> à son sujet.</w:t>
            </w:r>
          </w:p>
        </w:tc>
      </w:tr>
      <w:tr w:rsidR="00847CBD" w14:paraId="3295A676" w14:textId="77777777" w:rsidTr="00C4632F">
        <w:trPr>
          <w:trHeight w:val="20"/>
          <w:jc w:val="center"/>
        </w:trPr>
        <w:tc>
          <w:tcPr>
            <w:tcW w:w="7654" w:type="dxa"/>
            <w:tcBorders>
              <w:top w:val="nil"/>
              <w:left w:val="single" w:sz="4" w:space="0" w:color="auto"/>
              <w:bottom w:val="single" w:sz="4" w:space="0" w:color="auto"/>
              <w:right w:val="single" w:sz="4" w:space="0" w:color="auto"/>
            </w:tcBorders>
          </w:tcPr>
          <w:p w14:paraId="3B89DAA4" w14:textId="77777777" w:rsidR="00847CBD" w:rsidRDefault="00847CBD" w:rsidP="00C4632F">
            <w:pPr>
              <w:spacing w:line="240" w:lineRule="auto"/>
              <w:rPr>
                <w:lang w:val="fr-FR"/>
              </w:rPr>
            </w:pPr>
          </w:p>
        </w:tc>
      </w:tr>
    </w:tbl>
    <w:p w14:paraId="321FD163" w14:textId="77777777" w:rsidR="00847CBD" w:rsidRDefault="00847CBD" w:rsidP="000F22EF">
      <w:pPr>
        <w:pStyle w:val="HChG"/>
        <w:rPr>
          <w:lang w:val="fr-FR"/>
        </w:rPr>
      </w:pPr>
      <w:r>
        <w:rPr>
          <w:lang w:val="fr-FR"/>
        </w:rPr>
        <w:lastRenderedPageBreak/>
        <w:tab/>
        <w:t>I.</w:t>
      </w:r>
      <w:r>
        <w:rPr>
          <w:lang w:val="fr-FR"/>
        </w:rPr>
        <w:tab/>
        <w:t>Objectif</w:t>
      </w:r>
    </w:p>
    <w:p w14:paraId="09B0989D" w14:textId="77777777" w:rsidR="00847CBD" w:rsidRDefault="00847CBD" w:rsidP="00847CBD">
      <w:pPr>
        <w:pStyle w:val="SingleTxtG"/>
        <w:rPr>
          <w:lang w:val="fr-FR"/>
        </w:rPr>
      </w:pPr>
      <w:r>
        <w:rPr>
          <w:lang w:val="fr-FR"/>
        </w:rPr>
        <w:t>1.</w:t>
      </w:r>
      <w:r>
        <w:rPr>
          <w:lang w:val="fr-FR"/>
        </w:rPr>
        <w:tab/>
        <w:t xml:space="preserve">Le sous-programme doit contribuer à promouvoir la viabilité des systèmes de transport intérieur (transports routiers, ferroviaires et par voies de navigation intérieure, et transport intermodal) à l’échelle régionale ou mondiale en les rendant plus sûrs, plus propres, plus efficaces et plus abordables, qu’il s’agisse d’assurer le transport de marchandises ou la mobilité personnelle, le Comité des transports intérieurs jouant le rôle de plateforme des Nations Unies dans ce domaine. </w:t>
      </w:r>
      <w:bookmarkStart w:id="0" w:name="_Hlk18936091"/>
      <w:bookmarkEnd w:id="0"/>
    </w:p>
    <w:p w14:paraId="56DB63C0" w14:textId="77777777" w:rsidR="00847CBD" w:rsidRDefault="00847CBD" w:rsidP="00847CBD">
      <w:pPr>
        <w:pStyle w:val="HChG"/>
        <w:rPr>
          <w:rFonts w:ascii="Segoe UI" w:hAnsi="Segoe UI" w:cs="Segoe UI"/>
          <w:lang w:val="fr-FR"/>
        </w:rPr>
      </w:pPr>
      <w:r>
        <w:rPr>
          <w:lang w:val="fr-FR"/>
        </w:rPr>
        <w:tab/>
        <w:t>II.</w:t>
      </w:r>
      <w:r>
        <w:rPr>
          <w:lang w:val="fr-FR"/>
        </w:rPr>
        <w:tab/>
        <w:t>Stratégie</w:t>
      </w:r>
    </w:p>
    <w:p w14:paraId="398E96BD" w14:textId="77777777" w:rsidR="00847CBD" w:rsidRDefault="00847CBD" w:rsidP="00847CBD">
      <w:pPr>
        <w:pStyle w:val="SingleTxtG"/>
        <w:rPr>
          <w:lang w:val="fr-FR"/>
        </w:rPr>
      </w:pPr>
      <w:r>
        <w:rPr>
          <w:lang w:val="fr-FR"/>
        </w:rPr>
        <w:t>2.</w:t>
      </w:r>
      <w:r>
        <w:rPr>
          <w:lang w:val="fr-FR"/>
        </w:rPr>
        <w:tab/>
        <w:t>Le sous-programme de la CEE sur les transports est mis en œuvre par l’intermédiaire du programme de travail adopté par le Comité des transports intérieurs (CTI), en sa qualité de « plateforme des Nations Unies pour les transports intérieurs contribuant à répondre efficacement aux besoins régionaux et mondiaux dans ce domaine », comme l’énonce expressément la Stratégie du CTI jusqu’en 2030 (ECE/TRANS/288/</w:t>
      </w:r>
      <w:r w:rsidR="00A73CB6">
        <w:rPr>
          <w:lang w:val="fr-FR"/>
        </w:rPr>
        <w:t xml:space="preserve"> </w:t>
      </w:r>
      <w:r>
        <w:rPr>
          <w:lang w:val="fr-FR"/>
        </w:rPr>
        <w:t xml:space="preserve">Add.2). Par l’intermédiaire de ses 20 groupes de travail et de ses 14 comités de gestion, du Comité d’experts du Conseil économique et social et de plus de 50 réseaux formels et informels rassemblant quelque 6 000 experts agréés, le Comité promeut entre autres la viabilité des systèmes de transport aux échelles régionale et mondiale. </w:t>
      </w:r>
    </w:p>
    <w:p w14:paraId="2E39B045" w14:textId="77777777" w:rsidR="00847CBD" w:rsidRDefault="00847CBD" w:rsidP="00847CBD">
      <w:pPr>
        <w:pStyle w:val="SingleTxtG"/>
        <w:rPr>
          <w:lang w:val="fr-FR"/>
        </w:rPr>
      </w:pPr>
      <w:r>
        <w:rPr>
          <w:lang w:val="fr-FR"/>
        </w:rPr>
        <w:t>3.</w:t>
      </w:r>
      <w:r>
        <w:rPr>
          <w:lang w:val="fr-FR"/>
        </w:rPr>
        <w:tab/>
        <w:t xml:space="preserve">Sa tâche principale consiste à administrer le cadre réglementaire international pour les transports intérieurs, qui comprend actuellement 59 instruments juridiques des Nations Unies relatifs à la sécurité, la pollution, l’efficience et l’efficacité (fonction normative), en élaborant de nouveaux instruments juridiques et en actualisant ceux qui existent, selon les besoins. </w:t>
      </w:r>
    </w:p>
    <w:p w14:paraId="762C1836" w14:textId="77777777" w:rsidR="00847CBD" w:rsidRDefault="00847CBD" w:rsidP="00847CBD">
      <w:pPr>
        <w:pStyle w:val="SingleTxtG"/>
        <w:rPr>
          <w:lang w:val="fr-FR"/>
        </w:rPr>
      </w:pPr>
      <w:r>
        <w:rPr>
          <w:lang w:val="fr-FR"/>
        </w:rPr>
        <w:t>4.</w:t>
      </w:r>
      <w:r>
        <w:rPr>
          <w:lang w:val="fr-FR"/>
        </w:rPr>
        <w:tab/>
        <w:t>Faisant suite à la demande des États membres et des Parties contractantes, le sous</w:t>
      </w:r>
      <w:r>
        <w:rPr>
          <w:lang w:val="fr-FR"/>
        </w:rPr>
        <w:noBreakHyphen/>
        <w:t>programme offre aux gouvernements nationaux et aux autres parties prenantes de premier plan du secteur des transports une plateforme institutionnelle leur permettant de gérer ce cadre réglementaire, que complètent des activités connexes de concertation, d’analyse, d’assistance technique et de renforcement des capacités. Ces travaux devraient contribuer à l’action menée dans les domaines de travail mixtes de la CEE suivants : « Mobilité durable et connectivité intelligente » ; « Exploitation durable des ressources naturelles » ; « Villes intelligentes et viables » ; « Activités de mesure et de suivi au titre des objectifs de développement durable ».</w:t>
      </w:r>
    </w:p>
    <w:p w14:paraId="14A9C4F5" w14:textId="77777777" w:rsidR="00847CBD" w:rsidRDefault="00847CBD" w:rsidP="00847CBD">
      <w:pPr>
        <w:pStyle w:val="SingleTxtG"/>
        <w:keepNext/>
        <w:rPr>
          <w:lang w:val="fr-FR"/>
        </w:rPr>
      </w:pPr>
      <w:r>
        <w:rPr>
          <w:lang w:val="fr-FR"/>
        </w:rPr>
        <w:t>5.</w:t>
      </w:r>
      <w:r>
        <w:rPr>
          <w:lang w:val="fr-FR"/>
        </w:rPr>
        <w:tab/>
        <w:t>Pour contribuer à l’amélioration et à la viabilité des systèmes de transports intérieurs aux échelles nationale, régionale et mondiale, le sous-programme visera à :</w:t>
      </w:r>
    </w:p>
    <w:p w14:paraId="4FF5AFDD" w14:textId="77777777" w:rsidR="00847CBD" w:rsidRDefault="00847CBD" w:rsidP="00847CBD">
      <w:pPr>
        <w:pStyle w:val="SingleTxtG"/>
        <w:ind w:firstLine="567"/>
        <w:rPr>
          <w:lang w:val="fr-FR"/>
        </w:rPr>
      </w:pPr>
      <w:r>
        <w:rPr>
          <w:lang w:val="fr-FR"/>
        </w:rPr>
        <w:t>a)</w:t>
      </w:r>
      <w:r>
        <w:rPr>
          <w:lang w:val="fr-FR"/>
        </w:rPr>
        <w:tab/>
        <w:t>Intensifier les activités normatives et réglementaires du CTI en tant que plateforme des Nations Unies pour les conventions relatives aux transports intérieurs, en veillant à ce qu’elles restent d’actualité et ouvertes à tous les États Membres des Nations Unies. Ces activités devraient aider les États à faire des progrès dans la réalisation des objectifs du développement durable, en particulier les objectifs 3, 6, 7, 8, 9, 11, 12 et 13 ;</w:t>
      </w:r>
    </w:p>
    <w:p w14:paraId="1F68885B" w14:textId="77777777" w:rsidR="00847CBD" w:rsidRDefault="00847CBD" w:rsidP="00847CBD">
      <w:pPr>
        <w:pStyle w:val="SingleTxtG"/>
        <w:ind w:firstLine="567"/>
        <w:rPr>
          <w:lang w:val="fr-FR"/>
        </w:rPr>
      </w:pPr>
      <w:r>
        <w:rPr>
          <w:lang w:val="fr-FR"/>
        </w:rPr>
        <w:t>b)</w:t>
      </w:r>
      <w:r>
        <w:rPr>
          <w:lang w:val="fr-FR"/>
        </w:rPr>
        <w:tab/>
        <w:t>Faire en sorte : i) que le Comité soit en phase, dans l’exercice de ses fonctions de réglementation, avec l’évolution des technologies de pointe qui suscitent l’innovation dans les transports − en particulier dans les domaines des systèmes de transport intelligents, des véhicules autonomes et de la numérisation ; ii) que les différents processus d’amendement des différentes conventions ne provoquent pas de fragmentation ; iii) d’éviter qu’une réglementation trop précoce n’entrave le progrès ;</w:t>
      </w:r>
    </w:p>
    <w:p w14:paraId="0843C116" w14:textId="77777777" w:rsidR="00847CBD" w:rsidRDefault="00847CBD" w:rsidP="003212AD">
      <w:pPr>
        <w:pStyle w:val="SingleTxtG"/>
        <w:ind w:firstLine="567"/>
        <w:rPr>
          <w:lang w:val="fr-FR"/>
        </w:rPr>
      </w:pPr>
      <w:r>
        <w:rPr>
          <w:lang w:val="fr-FR"/>
        </w:rPr>
        <w:t>c)</w:t>
      </w:r>
      <w:r>
        <w:rPr>
          <w:lang w:val="fr-FR"/>
        </w:rPr>
        <w:tab/>
        <w:t>Constituer une plateforme de concertation pour examiner les nouveaux défis qui se posent dans le domaine des transports intérieurs, ainsi que les propositions visant à améliorer les infrastructures et les pratiques d’exploitation, lors de la session annuelle de l’ITC ;</w:t>
      </w:r>
    </w:p>
    <w:p w14:paraId="2A531B0C" w14:textId="77777777" w:rsidR="00847CBD" w:rsidRDefault="00847CBD" w:rsidP="00847CBD">
      <w:pPr>
        <w:pStyle w:val="SingleTxtG"/>
        <w:keepLines/>
        <w:ind w:firstLine="567"/>
        <w:rPr>
          <w:lang w:val="fr-FR"/>
        </w:rPr>
      </w:pPr>
      <w:r>
        <w:rPr>
          <w:lang w:val="fr-FR"/>
        </w:rPr>
        <w:t>d)</w:t>
      </w:r>
      <w:r>
        <w:rPr>
          <w:lang w:val="fr-FR"/>
        </w:rPr>
        <w:tab/>
        <w:t>Constituer un cadre institutionnel permettant de favoriser la connectivité régionale et interrégionale, en mettant sur pied des initiatives, des accords ou des corridors ou en s’appuyant sur ceux qui existent déjà, ce qui devrait se traduire par des flux transfrontaliers de biens et de personnes plus efficaces.</w:t>
      </w:r>
    </w:p>
    <w:p w14:paraId="51415BB9" w14:textId="32E8603F" w:rsidR="00847CBD" w:rsidRPr="003212AD" w:rsidRDefault="00847CBD" w:rsidP="008730F9">
      <w:pPr>
        <w:pStyle w:val="SingleTxtG"/>
        <w:keepNext/>
        <w:rPr>
          <w:rFonts w:eastAsia="Times New Roman"/>
          <w:lang w:val="fr-FR" w:eastAsia="fr-FR"/>
        </w:rPr>
      </w:pPr>
      <w:bookmarkStart w:id="1" w:name="_GoBack"/>
      <w:bookmarkEnd w:id="1"/>
      <w:r w:rsidRPr="003212AD">
        <w:rPr>
          <w:lang w:val="fr-FR"/>
        </w:rPr>
        <w:lastRenderedPageBreak/>
        <w:t>5</w:t>
      </w:r>
      <w:r w:rsidR="003212AD">
        <w:rPr>
          <w:lang w:val="fr-FR"/>
        </w:rPr>
        <w:t> </w:t>
      </w:r>
      <w:r w:rsidRPr="003212AD">
        <w:rPr>
          <w:i/>
          <w:lang w:val="fr-FR"/>
        </w:rPr>
        <w:t>bis</w:t>
      </w:r>
      <w:r w:rsidRPr="003212AD">
        <w:rPr>
          <w:lang w:val="fr-FR"/>
        </w:rPr>
        <w:t>.</w:t>
      </w:r>
      <w:r w:rsidRPr="003212AD">
        <w:rPr>
          <w:lang w:val="fr-FR"/>
        </w:rPr>
        <w:tab/>
        <w:t xml:space="preserve">Au nombre des résultats obtenus dans ces domaines, on citera le renforcement considérable du cadre réglementaire applicable aux systèmes de transports intérieurs durables, ce dont attestent : a) </w:t>
      </w:r>
      <w:r w:rsidRPr="003212AD">
        <w:rPr>
          <w:rFonts w:eastAsia="Times New Roman"/>
          <w:shd w:val="clear" w:color="auto" w:fill="FFFFFF"/>
          <w:lang w:val="fr-FR" w:eastAsia="fr-FR"/>
        </w:rPr>
        <w:t>l’adoption de 100 nouveaux règlements ONU relatifs aux véhicules et la mise à jour de règlements existants, au service de l’approche à 360 degrés en matière de sécurité routière adoptée par le CTI, ainsi que l’adoption de deux règlements techniques mondiaux ONU sur les voitures électriques et les deux-roues électriques pour promouvoir la décarbonisation des transports. Ces modifications réglementaires sont juridiquement contraignantes et affectent la production mondiale de véhicules. Elles ont ainsi un impact immédiat sur la sécurité routière et les performances environnementales</w:t>
      </w:r>
      <w:r w:rsidR="00A73CB6" w:rsidRPr="003212AD">
        <w:rPr>
          <w:rFonts w:eastAsia="Times New Roman"/>
          <w:shd w:val="clear" w:color="auto" w:fill="FFFFFF"/>
          <w:lang w:val="fr-FR" w:eastAsia="fr-FR"/>
        </w:rPr>
        <w:t> </w:t>
      </w:r>
      <w:r w:rsidRPr="003212AD">
        <w:rPr>
          <w:rFonts w:eastAsia="Times New Roman"/>
          <w:shd w:val="clear" w:color="auto" w:fill="FFFFFF"/>
          <w:lang w:val="fr-FR" w:eastAsia="fr-FR"/>
        </w:rPr>
        <w:t>; b)</w:t>
      </w:r>
      <w:r w:rsidR="00A73CB6" w:rsidRPr="003212AD">
        <w:rPr>
          <w:rFonts w:eastAsia="Times New Roman"/>
          <w:shd w:val="clear" w:color="auto" w:fill="FFFFFF"/>
          <w:lang w:val="fr-FR" w:eastAsia="fr-FR"/>
        </w:rPr>
        <w:t> </w:t>
      </w:r>
      <w:r w:rsidRPr="003212AD">
        <w:rPr>
          <w:rFonts w:eastAsia="Times New Roman"/>
          <w:shd w:val="clear" w:color="auto" w:fill="FFFFFF"/>
          <w:lang w:val="fr-FR" w:eastAsia="fr-FR"/>
        </w:rPr>
        <w:t xml:space="preserve">l’adoption de dispositions relatives au transport des marchandises dangereuses pour l’Accord européen relatif au transport international des marchandises dangereuses par voies de navigation intérieures (ADN), qui sont axées sur le renforcement de la protection contre les explosions à bord des bateaux de navigation intérieure ; c) l’adoption d’une série d’amendements à l’Accord européen relatif au transport international des marchandises dangereuses par route (ADR), qui traite des questions nouvelles en rapport avec la sécurité et l’environnement résultant du développement croissant du transport et de l’utilisation des piles au lithium et des véhicules fonctionnant avec des carburants moins polluants (tels que le gaz naturel liquéfié ou comprimé ou les piles à hydrogène) ; et d) l’accélération de l’informatisation du Système TIR, sous le nom de « </w:t>
      </w:r>
      <w:proofErr w:type="spellStart"/>
      <w:r w:rsidRPr="003212AD">
        <w:rPr>
          <w:rFonts w:eastAsia="Times New Roman"/>
          <w:shd w:val="clear" w:color="auto" w:fill="FFFFFF"/>
          <w:lang w:val="fr-FR" w:eastAsia="fr-FR"/>
        </w:rPr>
        <w:t>eTIR</w:t>
      </w:r>
      <w:proofErr w:type="spellEnd"/>
      <w:r w:rsidRPr="003212AD">
        <w:rPr>
          <w:rFonts w:eastAsia="Times New Roman"/>
          <w:shd w:val="clear" w:color="auto" w:fill="FFFFFF"/>
          <w:lang w:val="fr-FR" w:eastAsia="fr-FR"/>
        </w:rPr>
        <w:t xml:space="preserve"> », qui s’est traduite par un attrait accru pour le Système dans les pays à croissance rapide et ceux qui s’efforcent de mettre en place une administration sans papier. Les opérations </w:t>
      </w:r>
      <w:proofErr w:type="spellStart"/>
      <w:r w:rsidRPr="003212AD">
        <w:rPr>
          <w:rFonts w:eastAsia="Times New Roman"/>
          <w:shd w:val="clear" w:color="auto" w:fill="FFFFFF"/>
          <w:lang w:val="fr-FR" w:eastAsia="fr-FR"/>
        </w:rPr>
        <w:t>eTIR</w:t>
      </w:r>
      <w:proofErr w:type="spellEnd"/>
      <w:r w:rsidRPr="003212AD">
        <w:rPr>
          <w:rFonts w:eastAsia="Times New Roman"/>
          <w:shd w:val="clear" w:color="auto" w:fill="FFFFFF"/>
          <w:lang w:val="fr-FR" w:eastAsia="fr-FR"/>
        </w:rPr>
        <w:t xml:space="preserve"> menées dans le cadre de projets pilotes entre l’Iran et la Turquie ainsi qu’entre la Géorgie et la Turquie ont fourni la preuve du bon fonctionnement du système en situation dans un environnement réel. L’efficacité de </w:t>
      </w:r>
      <w:proofErr w:type="gramStart"/>
      <w:r w:rsidRPr="003212AD">
        <w:rPr>
          <w:rFonts w:eastAsia="Times New Roman"/>
          <w:shd w:val="clear" w:color="auto" w:fill="FFFFFF"/>
          <w:lang w:val="fr-FR" w:eastAsia="fr-FR"/>
        </w:rPr>
        <w:t>ces</w:t>
      </w:r>
      <w:proofErr w:type="gramEnd"/>
      <w:r w:rsidRPr="003212AD">
        <w:rPr>
          <w:rFonts w:eastAsia="Times New Roman"/>
          <w:shd w:val="clear" w:color="auto" w:fill="FFFFFF"/>
          <w:lang w:val="fr-FR" w:eastAsia="fr-FR"/>
        </w:rPr>
        <w:t xml:space="preserve"> activités est attestée par l’adhésion accrue des pays d’Asie et du Moyen-Orient à la Convention TIR. Parmi les dernières parties contractantes figurent la Chine, l’Inde et le Pakistan, qui représentent à eux seuls 40</w:t>
      </w:r>
      <w:r w:rsidR="008730F9" w:rsidRPr="003212AD">
        <w:rPr>
          <w:rFonts w:eastAsia="Times New Roman"/>
          <w:shd w:val="clear" w:color="auto" w:fill="FFFFFF"/>
          <w:lang w:val="fr-FR" w:eastAsia="fr-FR"/>
        </w:rPr>
        <w:t> </w:t>
      </w:r>
      <w:r w:rsidRPr="003212AD">
        <w:rPr>
          <w:rFonts w:eastAsia="Times New Roman"/>
          <w:shd w:val="clear" w:color="auto" w:fill="FFFFFF"/>
          <w:lang w:val="fr-FR" w:eastAsia="fr-FR"/>
        </w:rPr>
        <w:t>% de la population mondiale.</w:t>
      </w:r>
    </w:p>
    <w:p w14:paraId="5368A32B" w14:textId="77777777" w:rsidR="00847CBD" w:rsidRDefault="00847CBD" w:rsidP="00847CBD">
      <w:pPr>
        <w:pStyle w:val="SingleTxtG"/>
        <w:rPr>
          <w:lang w:val="fr-FR"/>
        </w:rPr>
      </w:pPr>
      <w:r>
        <w:rPr>
          <w:lang w:val="fr-FR"/>
        </w:rPr>
        <w:t>6.</w:t>
      </w:r>
      <w:r>
        <w:rPr>
          <w:lang w:val="fr-FR"/>
        </w:rPr>
        <w:tab/>
        <w:t>Ces mesures devraient permettre de rendre les systèmes de transport intérieur plus sûrs, plus propres, plus efficaces et plus abordables pour les principaux bénéficiaires du sous-programme, à savoir les États membres de la CEE et les États Membres de l’ONU qui sont Parties contractantes aux conventions des Nations Unies sur les transports intérieurs.</w:t>
      </w:r>
    </w:p>
    <w:p w14:paraId="70489617" w14:textId="77777777" w:rsidR="00847CBD" w:rsidRDefault="00847CBD" w:rsidP="00847CBD">
      <w:pPr>
        <w:pStyle w:val="HChG"/>
        <w:rPr>
          <w:lang w:val="fr-FR"/>
        </w:rPr>
      </w:pPr>
      <w:r>
        <w:rPr>
          <w:lang w:val="fr-FR"/>
        </w:rPr>
        <w:tab/>
        <w:t>III.</w:t>
      </w:r>
      <w:r>
        <w:rPr>
          <w:lang w:val="fr-FR"/>
        </w:rPr>
        <w:tab/>
        <w:t xml:space="preserve">Exécution du programme en 2019 : un renforcement </w:t>
      </w:r>
      <w:r>
        <w:rPr>
          <w:lang w:val="fr-FR"/>
        </w:rPr>
        <w:br/>
        <w:t xml:space="preserve">de la coopération en matière de sécurité routière </w:t>
      </w:r>
      <w:r>
        <w:rPr>
          <w:lang w:val="fr-FR"/>
        </w:rPr>
        <w:br/>
        <w:t xml:space="preserve">contribuant à réduire le nombre de décès </w:t>
      </w:r>
      <w:r>
        <w:rPr>
          <w:lang w:val="fr-FR"/>
        </w:rPr>
        <w:br/>
        <w:t>dus aux accidents de la route</w:t>
      </w:r>
    </w:p>
    <w:p w14:paraId="2BB2D8A8" w14:textId="77777777" w:rsidR="00847CBD" w:rsidRDefault="00847CBD" w:rsidP="00847CBD">
      <w:pPr>
        <w:pStyle w:val="SingleTxtG"/>
        <w:rPr>
          <w:lang w:val="fr-FR"/>
        </w:rPr>
      </w:pPr>
      <w:r>
        <w:rPr>
          <w:lang w:val="fr-FR"/>
        </w:rPr>
        <w:t>7.</w:t>
      </w:r>
      <w:r>
        <w:rPr>
          <w:lang w:val="fr-FR"/>
        </w:rPr>
        <w:tab/>
        <w:t xml:space="preserve">Conscient du fait que l’objectif de développement durable relatif à la sécurité routière d’ici à 2020 n’a pas été atteint en raison de la tendance à l’augmentation du nombre de victimes de la route dans le monde, le sous-programme a opté en 2019 pour une stratégie « à 360 degrés » en matière de sécurité routière afin de mieux satisfaire ses principaux bénéficiaires. Cette stratégie comprend : </w:t>
      </w:r>
    </w:p>
    <w:p w14:paraId="072E78E1" w14:textId="77777777" w:rsidR="00847CBD" w:rsidRDefault="00847CBD" w:rsidP="00847CBD">
      <w:pPr>
        <w:pStyle w:val="SingleTxtG"/>
        <w:ind w:firstLine="567"/>
        <w:rPr>
          <w:lang w:val="fr-FR"/>
        </w:rPr>
      </w:pPr>
      <w:r>
        <w:rPr>
          <w:lang w:val="fr-FR"/>
        </w:rPr>
        <w:t>a)</w:t>
      </w:r>
      <w:r>
        <w:rPr>
          <w:lang w:val="fr-FR"/>
        </w:rPr>
        <w:tab/>
        <w:t xml:space="preserve">Une action de sensibilisation visant à augmenter le nombre de pays adhérant aux conventions, comme en témoignent quatre nouvelles adhésions aux conventions fondamentales de l’ONU sur la sécurité routière en 2019, qui aident les pays à élaborer des systèmes nationaux de sécurité routière solides ; </w:t>
      </w:r>
    </w:p>
    <w:p w14:paraId="1CE00D08" w14:textId="77777777" w:rsidR="00847CBD" w:rsidRDefault="00847CBD" w:rsidP="00847CBD">
      <w:pPr>
        <w:pStyle w:val="SingleTxtG"/>
        <w:ind w:firstLine="567"/>
        <w:rPr>
          <w:lang w:val="fr-FR"/>
        </w:rPr>
      </w:pPr>
      <w:r>
        <w:rPr>
          <w:lang w:val="fr-FR"/>
        </w:rPr>
        <w:t>b)</w:t>
      </w:r>
      <w:r>
        <w:rPr>
          <w:lang w:val="fr-FR"/>
        </w:rPr>
        <w:tab/>
        <w:t xml:space="preserve">La poursuite du développement du cadre juridique international et de son application en vue de la conception et de la fabrication de véhicules plus sûrs. Un total de 149 adoptions de nouveaux Règlements ONU sur les véhicules ou de mises à jour de textes existants témoignent de cette action. Cette réglementation juridiquement contraignante, en influant sur la production mondiale de véhicules, a un effet direct sur la sécurité routière. À cet égard, on notera l’importance stratégique de l’adoption d’une résolution technique sur la conduite hautement automatisée, qui devrait ouvrir pleinement la voie à la mise au point et au déploiement de technologies de pointe ; </w:t>
      </w:r>
    </w:p>
    <w:p w14:paraId="5A60B5B6" w14:textId="77777777" w:rsidR="00847CBD" w:rsidRDefault="00847CBD" w:rsidP="00847CBD">
      <w:pPr>
        <w:pStyle w:val="SingleTxtG"/>
        <w:ind w:firstLine="567"/>
        <w:rPr>
          <w:lang w:val="fr-FR"/>
        </w:rPr>
      </w:pPr>
      <w:r>
        <w:rPr>
          <w:lang w:val="fr-FR"/>
        </w:rPr>
        <w:t>c)</w:t>
      </w:r>
      <w:r>
        <w:rPr>
          <w:lang w:val="fr-FR"/>
        </w:rPr>
        <w:tab/>
        <w:t xml:space="preserve">Des travaux en vue de la modification de l’Accord européen relatif au transport international des marchandises dangereuses par route (ADR), en particulier pour son </w:t>
      </w:r>
      <w:r>
        <w:rPr>
          <w:lang w:val="fr-FR"/>
        </w:rPr>
        <w:lastRenderedPageBreak/>
        <w:t>élargissement à l’échelle mondiale, qui facilitent l’adhésion des pays et contribuent à réduire les effets catastrophiques de l’insécurité routière ;</w:t>
      </w:r>
    </w:p>
    <w:p w14:paraId="4B27DDBC" w14:textId="77777777" w:rsidR="00847CBD" w:rsidRDefault="00847CBD" w:rsidP="00847CBD">
      <w:pPr>
        <w:pStyle w:val="SingleTxtG"/>
        <w:ind w:firstLine="567"/>
        <w:rPr>
          <w:lang w:val="fr-FR"/>
        </w:rPr>
      </w:pPr>
      <w:r>
        <w:rPr>
          <w:lang w:val="fr-FR"/>
        </w:rPr>
        <w:t>d)</w:t>
      </w:r>
      <w:r>
        <w:rPr>
          <w:lang w:val="fr-FR"/>
        </w:rPr>
        <w:tab/>
        <w:t xml:space="preserve">La réalisation d’études de performance en matière de sécurité routière à l’échelle nationale qui permettent de recenser systématiquement les besoins spécifiques des pays, à l’appui d’une analyse à l’échelle du système fondée sur des données probantes, de l’établissement de priorités stratégiques et d’interventions à forte incidence. Ces travaux se sont concrétisés par la formulation de recommandations en Géorgie et par la préparation de deux nouvelles études de performance, en Éthiopie et au Zimbabwe (imminentes) ; </w:t>
      </w:r>
    </w:p>
    <w:p w14:paraId="53724E3C" w14:textId="77777777" w:rsidR="00847CBD" w:rsidRDefault="00847CBD" w:rsidP="00847CBD">
      <w:pPr>
        <w:pStyle w:val="SingleTxtG"/>
        <w:ind w:firstLine="567"/>
        <w:rPr>
          <w:lang w:val="fr-FR"/>
        </w:rPr>
      </w:pPr>
      <w:r>
        <w:rPr>
          <w:lang w:val="fr-FR"/>
        </w:rPr>
        <w:t>e)</w:t>
      </w:r>
      <w:r>
        <w:rPr>
          <w:lang w:val="fr-FR"/>
        </w:rPr>
        <w:tab/>
        <w:t xml:space="preserve">L’organisation, dans six pays, d’ateliers de renforcement des capacités réunissant des représentants de 18 pays. </w:t>
      </w:r>
    </w:p>
    <w:p w14:paraId="633044F0" w14:textId="77777777" w:rsidR="00847CBD" w:rsidRDefault="00847CBD" w:rsidP="00847CBD">
      <w:pPr>
        <w:pStyle w:val="SingleTxtG"/>
        <w:rPr>
          <w:lang w:val="fr-FR"/>
        </w:rPr>
      </w:pPr>
      <w:r>
        <w:rPr>
          <w:lang w:val="fr-FR"/>
        </w:rPr>
        <w:t>8.</w:t>
      </w:r>
      <w:r>
        <w:rPr>
          <w:lang w:val="fr-FR"/>
        </w:rPr>
        <w:tab/>
        <w:t>Afin d’accélérer l’amélioration de la sécurité routière dans le monde, le sous</w:t>
      </w:r>
      <w:r>
        <w:rPr>
          <w:lang w:val="fr-FR"/>
        </w:rPr>
        <w:noBreakHyphen/>
        <w:t xml:space="preserve">programme a mobilisé des ressources politiques et stratégiques par l’entremise de l’Envoyé spécial du Secrétaire général pour la sécurité routière. Un événement marquant de l’année 2019 a été la mise en service du Fonds des Nations Unies pour la sécurité routière, qui a adopté tous les textes fondateurs et commencé à financer cinq projets de sécurité routière dans les pays à revenu faible ou intermédiaire. </w:t>
      </w:r>
    </w:p>
    <w:p w14:paraId="4DD18FAA" w14:textId="77777777" w:rsidR="00847CBD" w:rsidRDefault="00847CBD" w:rsidP="00847CBD">
      <w:pPr>
        <w:pStyle w:val="H4G"/>
        <w:rPr>
          <w:lang w:val="fr-FR"/>
        </w:rPr>
      </w:pPr>
      <w:r>
        <w:rPr>
          <w:lang w:val="fr-FR"/>
        </w:rPr>
        <w:tab/>
      </w:r>
      <w:r>
        <w:rPr>
          <w:lang w:val="fr-FR"/>
        </w:rPr>
        <w:tab/>
        <w:t xml:space="preserve">Progrès obtenus vers la réalisation de l’objectif et résultats en chiffres </w:t>
      </w:r>
    </w:p>
    <w:p w14:paraId="7B815CD9" w14:textId="77777777" w:rsidR="00847CBD" w:rsidRDefault="00847CBD" w:rsidP="00847CBD">
      <w:pPr>
        <w:pStyle w:val="SingleTxtG"/>
        <w:rPr>
          <w:lang w:val="fr-FR"/>
        </w:rPr>
      </w:pPr>
      <w:r>
        <w:rPr>
          <w:lang w:val="fr-FR"/>
        </w:rPr>
        <w:t>9.</w:t>
      </w:r>
      <w:r>
        <w:rPr>
          <w:lang w:val="fr-FR"/>
        </w:rPr>
        <w:tab/>
        <w:t>Ces travaux ont contribué à améliorer la sécurité des transports, ce dont témoigne la diminution continue du nombre de décès dus aux accidents de la route dans la région de la CEE qui est passé de plus de 154 000 en 2000 à environ 105 000 en 2017, avec une baisse de 2,4 % pour 2016. Les données pour 2018 sont déjà disponibles pour 22 pays, dont la grande majorité (16 d’entre eux) affichent une nouvelle baisse qui se traduit, pour l’instant, par une diminution totale en moyenne pondérée de 5,4 % entre 2018 et 2017.</w:t>
      </w:r>
    </w:p>
    <w:p w14:paraId="2CD3E6D8" w14:textId="77777777" w:rsidR="00847CBD" w:rsidRDefault="00847CBD" w:rsidP="00847CBD">
      <w:pPr>
        <w:pStyle w:val="H4G"/>
        <w:rPr>
          <w:lang w:val="fr-FR"/>
        </w:rPr>
      </w:pPr>
      <w:r>
        <w:rPr>
          <w:lang w:val="fr-FR"/>
        </w:rPr>
        <w:tab/>
      </w:r>
      <w:r>
        <w:rPr>
          <w:lang w:val="fr-FR"/>
        </w:rPr>
        <w:tab/>
        <w:t>Les résultats en chiffres</w:t>
      </w:r>
    </w:p>
    <w:p w14:paraId="584BC99A" w14:textId="77777777" w:rsidR="00847CBD" w:rsidRDefault="00847CBD" w:rsidP="00847CBD">
      <w:pPr>
        <w:spacing w:line="240" w:lineRule="auto"/>
        <w:rPr>
          <w:lang w:val="fr-FR"/>
        </w:rPr>
      </w:pPr>
      <w:r>
        <w:rPr>
          <w:noProof/>
        </w:rPr>
        <w:drawing>
          <wp:inline distT="0" distB="0" distL="0" distR="0" wp14:anchorId="46B51D59" wp14:editId="2D33ABAF">
            <wp:extent cx="6116403" cy="273600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08"/>
                    <a:stretch/>
                  </pic:blipFill>
                  <pic:spPr bwMode="auto">
                    <a:xfrm>
                      <a:off x="0" y="0"/>
                      <a:ext cx="6120130" cy="2737667"/>
                    </a:xfrm>
                    <a:prstGeom prst="rect">
                      <a:avLst/>
                    </a:prstGeom>
                    <a:ln>
                      <a:noFill/>
                    </a:ln>
                    <a:extLst>
                      <a:ext uri="{53640926-AAD7-44D8-BBD7-CCE9431645EC}">
                        <a14:shadowObscured xmlns:a14="http://schemas.microsoft.com/office/drawing/2010/main"/>
                      </a:ext>
                    </a:extLst>
                  </pic:spPr>
                </pic:pic>
              </a:graphicData>
            </a:graphic>
          </wp:inline>
        </w:drawing>
      </w:r>
    </w:p>
    <w:p w14:paraId="6E8210AE" w14:textId="77777777" w:rsidR="00847CBD" w:rsidRDefault="00847CBD" w:rsidP="00847CBD">
      <w:pPr>
        <w:pStyle w:val="HChG"/>
        <w:spacing w:before="300"/>
        <w:rPr>
          <w:lang w:val="fr-FR"/>
        </w:rPr>
      </w:pPr>
      <w:r>
        <w:rPr>
          <w:lang w:val="fr-FR"/>
        </w:rPr>
        <w:tab/>
        <w:t>IV.</w:t>
      </w:r>
      <w:r>
        <w:rPr>
          <w:lang w:val="fr-FR"/>
        </w:rPr>
        <w:tab/>
        <w:t xml:space="preserve">Exécution du programme en 2019, par rapport </w:t>
      </w:r>
      <w:r>
        <w:rPr>
          <w:lang w:val="fr-FR"/>
        </w:rPr>
        <w:br/>
        <w:t>au résultat escompté</w:t>
      </w:r>
    </w:p>
    <w:p w14:paraId="0EC6C718" w14:textId="77777777" w:rsidR="00847CBD" w:rsidRDefault="00847CBD" w:rsidP="00847CBD">
      <w:pPr>
        <w:pStyle w:val="SingleTxtG"/>
        <w:rPr>
          <w:rFonts w:ascii="Segoe UI" w:hAnsi="Segoe UI" w:cs="Segoe UI"/>
          <w:sz w:val="18"/>
          <w:szCs w:val="18"/>
          <w:lang w:val="fr-FR"/>
        </w:rPr>
      </w:pPr>
      <w:r>
        <w:rPr>
          <w:lang w:val="fr-FR"/>
        </w:rPr>
        <w:t>10.</w:t>
      </w:r>
      <w:r>
        <w:rPr>
          <w:lang w:val="fr-FR"/>
        </w:rPr>
        <w:tab/>
        <w:t>L’un des résultats escomptés pour 2019 figurant dans le projet de budget</w:t>
      </w:r>
      <w:r>
        <w:rPr>
          <w:lang w:val="fr-FR"/>
        </w:rPr>
        <w:noBreakHyphen/>
        <w:t xml:space="preserve">programme pour l’exercice biennal 2018-2019, à savoir le renforcement du cadre juridique et réglementaire concernant les transports intérieurs internationaux, y compris les infrastructures, la facilitation du passage des frontières, le transport des marchandises dangereuses, la construction automobile et d’autres services liés aux transports, a été atteint, comme le montrent les éléments suivants : a) l’adoption de 149 nouveaux Règlements ou amendements. Ces évolutions réglementaires sont juridiquement contraignantes et ont une incidence sur la production mondiale de véhicules. Elles ont ainsi un effet direct sur la </w:t>
      </w:r>
      <w:r>
        <w:rPr>
          <w:lang w:val="fr-FR"/>
        </w:rPr>
        <w:lastRenderedPageBreak/>
        <w:t xml:space="preserve">sécurité routière et les performances environnementales. L’utilisation à l’échelle mondiale, par l’ensemble du secteur automobile (États, organisations intergouvernementales, organisations non gouvernementales, industriels et universités), de cette réglementation, est attestée par 3,94 millions de requêtes sur Internet, soit 10 800 visiteurs par jour, qui ont débouché sur 340 000 téléchargements de documents par an (Règlements ONU ou Règlements techniques mondiaux ONU) ; b) la mise en conformité de six instruments juridiques internationaux avec la révision la plus récente des Recommandations des Nations Unies relatives au transport des marchandises dangereuses. Des résultats sont ainsi obtenus en ce qui concerne l’Accord européen relatif au transport international des marchandises dangereuses par route (ADR), qui régit le transport transnational des marchandises dangereuses en toute sécurité. L’utilisation généralisée de l’ADR est attestée par le fait que la diffusion de cet instrument génère environ 18 % du total des recettes provenant des publications des Nations Unies, soit environ </w:t>
      </w:r>
      <w:r w:rsidR="00DB61CB">
        <w:rPr>
          <w:lang w:val="fr-FR"/>
        </w:rPr>
        <w:t>1 </w:t>
      </w:r>
      <w:r>
        <w:rPr>
          <w:lang w:val="fr-FR"/>
        </w:rPr>
        <w:t>million de dollars des États-Unis par édition.</w:t>
      </w:r>
    </w:p>
    <w:p w14:paraId="7AD09C23" w14:textId="77777777" w:rsidR="00847CBD" w:rsidRDefault="00847CBD" w:rsidP="00847CBD">
      <w:pPr>
        <w:pStyle w:val="HChG"/>
        <w:rPr>
          <w:lang w:val="fr-FR"/>
        </w:rPr>
      </w:pPr>
      <w:r>
        <w:rPr>
          <w:lang w:val="fr-FR"/>
        </w:rPr>
        <w:tab/>
        <w:t>V.</w:t>
      </w:r>
      <w:r>
        <w:rPr>
          <w:lang w:val="fr-FR"/>
        </w:rPr>
        <w:tab/>
        <w:t xml:space="preserve">Plan-programme pour 2021 : renforcement du cadre réglementaire destiné à assurer la viabilité de systèmes </w:t>
      </w:r>
      <w:r>
        <w:rPr>
          <w:lang w:val="fr-FR"/>
        </w:rPr>
        <w:br/>
        <w:t xml:space="preserve">de transport intérieur plus sûrs, plus propres et plus efficaces </w:t>
      </w:r>
    </w:p>
    <w:p w14:paraId="3002E24D" w14:textId="77777777" w:rsidR="00847CBD" w:rsidRDefault="00847CBD" w:rsidP="00847CBD">
      <w:pPr>
        <w:pStyle w:val="SingleTxtG"/>
        <w:rPr>
          <w:rFonts w:ascii="Segoe UI" w:hAnsi="Segoe UI" w:cs="Segoe UI"/>
          <w:sz w:val="18"/>
          <w:szCs w:val="18"/>
          <w:lang w:val="fr-FR"/>
        </w:rPr>
      </w:pPr>
      <w:r>
        <w:rPr>
          <w:lang w:val="fr-FR"/>
        </w:rPr>
        <w:t>11.</w:t>
      </w:r>
      <w:r>
        <w:rPr>
          <w:lang w:val="fr-FR"/>
        </w:rPr>
        <w:tab/>
        <w:t>Les auteurs du Rapport sur les objectifs de développement durable 2017 ont estimé que, si des progrès considérables avaient été accomplis au cours de la dernière décennie dans tous les domaines du développement, le rythme des progrès n’était pas suffisant pour atteindre pleinement d’ici à 2030 les cibles définies dans le cadre des objectifs de développement durable. Le cas de la sécurité routière illustre clairement cela : en 2018, l’Assemblée générale a constaté que la cible 3.6 (diminuer de moitié d’ici à 2020 le nombre de décès et de blessures dus à des accidents de la route dans le monde) ne serait pas atteinte. Malgré l’action menée dans le monde entier et les améliorations globalement obtenues dans la région de la CEE, les faits montrent effectivement que la cible 3.6 ne sera pas atteinte à l’échelle mondiale.</w:t>
      </w:r>
    </w:p>
    <w:p w14:paraId="79B079EA" w14:textId="77777777" w:rsidR="00847CBD" w:rsidRDefault="00847CBD" w:rsidP="00847CBD">
      <w:pPr>
        <w:pStyle w:val="H4G"/>
        <w:rPr>
          <w:lang w:val="fr-FR"/>
        </w:rPr>
      </w:pPr>
      <w:r>
        <w:rPr>
          <w:lang w:val="fr-FR"/>
        </w:rPr>
        <w:tab/>
      </w:r>
      <w:r>
        <w:rPr>
          <w:lang w:val="fr-FR"/>
        </w:rPr>
        <w:tab/>
        <w:t xml:space="preserve">Défi internes </w:t>
      </w:r>
    </w:p>
    <w:p w14:paraId="0241ECF7" w14:textId="77777777" w:rsidR="00847CBD" w:rsidRDefault="00847CBD" w:rsidP="00847CBD">
      <w:pPr>
        <w:pStyle w:val="SingleTxtG"/>
        <w:rPr>
          <w:lang w:val="fr-FR"/>
        </w:rPr>
      </w:pPr>
      <w:r>
        <w:rPr>
          <w:lang w:val="fr-FR"/>
        </w:rPr>
        <w:t>12.</w:t>
      </w:r>
      <w:r>
        <w:rPr>
          <w:lang w:val="fr-FR"/>
        </w:rPr>
        <w:tab/>
      </w:r>
      <w:r w:rsidRPr="000E128F">
        <w:rPr>
          <w:spacing w:val="-2"/>
          <w:lang w:val="fr-FR"/>
        </w:rPr>
        <w:t xml:space="preserve">Le défi, pour le sous-programme, est d’accélérer l’élargissement de sa portée géographique et d’intensifier ses efforts pour faire en sorte que ses activités profitent davantage à d’autres régions qui s’emploient : à réduire le nombre annuel de 1,35 million de personnes tuées sur la route ; à améliorer la performance environnementale des systèmes de transport intérieur, y compris dans le domaine du transport des denrées alimentaires périssables ; et à améliorer l’efficacité et la connectivité, notamment grâce à la numérisation et à la dématérialisation de la documentation dans les transports. Le sous-programme prévoit de s’y consacrer par la mise en œuvre de la </w:t>
      </w:r>
      <w:r w:rsidRPr="000E128F">
        <w:rPr>
          <w:i/>
          <w:spacing w:val="-2"/>
          <w:lang w:val="fr-FR"/>
        </w:rPr>
        <w:t>Stratégie du CTI jusqu’en 2030</w:t>
      </w:r>
      <w:r w:rsidRPr="000E128F">
        <w:rPr>
          <w:spacing w:val="-2"/>
          <w:lang w:val="fr-FR"/>
        </w:rPr>
        <w:t xml:space="preserve">, </w:t>
      </w:r>
      <w:r>
        <w:rPr>
          <w:lang w:val="fr-FR"/>
        </w:rPr>
        <w:t xml:space="preserve">adoptée en 2019, notamment en encourageant la participation de pays extérieurs à la région de la CEE aux activités du Comité et de ses organes subsidiaires, et en intensifiant les activités de sensibilisation et de renforcement des capacités, notamment par des partenariats avec des entités du système des Nations Unies et des partenaires extérieurs et la participation aux initiatives régionales et mondiales. Dans le même temps, le sous-programme se heurte à des difficultés en ce qui concerne les ressources humaines et les ressources autres que celles affectées à des postes pour répondre aux nouvelles demandes des États Membres, notamment en ce qui concerne : a) de nouveaux domaines tels que la réglementation des véhicules automatisés/autonomes, la numérisation et les systèmes de transport intelligent ; b) le défi de taille que constitue la sécurité routière, qui exige que le sous-programme renforce ses activités de réglementation internationale et d’assistance aux États Membres en vue de l’application des instruments juridiques des Nations Unies ; c) l’appui technique à l’Envoyé spécial du Secrétaire général pour la sécurité routière et au Fonds des Nations Unies pour la sécurité routière ; d) la constante augmentation du nombre de Parties contractantes potentielles, nouvelles et existantes, dont les besoins croissants en matière d’appui pour l’adhésion aux instruments juridiques gérés par le sous-programme ou leur mise en œuvre doivent être satisfaits. </w:t>
      </w:r>
    </w:p>
    <w:p w14:paraId="362C6306" w14:textId="77777777" w:rsidR="00847CBD" w:rsidRDefault="00847CBD" w:rsidP="00847CBD">
      <w:pPr>
        <w:pStyle w:val="H4G"/>
        <w:rPr>
          <w:lang w:val="fr-FR"/>
        </w:rPr>
      </w:pPr>
      <w:r>
        <w:rPr>
          <w:lang w:val="fr-FR"/>
        </w:rPr>
        <w:lastRenderedPageBreak/>
        <w:tab/>
      </w:r>
      <w:r>
        <w:rPr>
          <w:lang w:val="fr-FR"/>
        </w:rPr>
        <w:tab/>
        <w:t xml:space="preserve">Progrès obtenus vers la réalisation de l’objectif et résultats en chiffres </w:t>
      </w:r>
    </w:p>
    <w:p w14:paraId="5FDFA5DC" w14:textId="77777777" w:rsidR="00847CBD" w:rsidRDefault="00847CBD" w:rsidP="00847CBD">
      <w:pPr>
        <w:pStyle w:val="SingleTxtG"/>
        <w:rPr>
          <w:rFonts w:ascii="Segoe UI" w:hAnsi="Segoe UI" w:cs="Segoe UI"/>
          <w:sz w:val="18"/>
          <w:szCs w:val="18"/>
          <w:lang w:val="fr-FR"/>
        </w:rPr>
      </w:pPr>
      <w:r>
        <w:rPr>
          <w:lang w:val="fr-FR"/>
        </w:rPr>
        <w:t>13.</w:t>
      </w:r>
      <w:r>
        <w:rPr>
          <w:lang w:val="fr-FR"/>
        </w:rPr>
        <w:tab/>
        <w:t>Il a été démontré que les pays comptant le plus grand nombre d’adhésions aux conventions et accords avaient, entre autres, de meilleurs résultats en matière de sécurité routière en raison de la nature juridiquement contraignante de ces instruments juridiques et des pratiques optimales très au point qui les accompagnent. L’ensemble des textes ayant fait l’objet d’une adhésion forme un cadre juridique et réglementaire plus harmonisé aux échelles nationale et internationale, qui contribue à la mise en place de systèmes de transport viables. La figure fait apparaître que le nombre des Parties contractantes aux instruments juridiques des Nations Unies relevant du sous-programme (1 764) a atteint un niveau respectable et qu’il ne cesse de croître. Pourtant, il reste insuffisant si l’on tient compte de la nécessité d’une harmonisation plus poussée et de systèmes de transports intérieurs viables. Par conséquent, le résultat escompté correspondant à l’accent supplémentaire mis sur les activités menées dans le cadre du sous-programme à l’appui du développement à l’échelle internationale de systèmes de transport intérieur viables sera un renforcement des cadres juridiques et réglementaires visant à assurer la viabilité des transports intérieurs. Ce résultat sera notamment démontré par une augmentation du nombre d’adhésions aux conventions et accords, en particulier dans les pays extérieurs à la région de la CEE. Comme le montre la figure, en 2019, 148 États Membres des Nations Unies, dont 92 États non membres de la CEE, étaient Parties contractantes à au moins une convention administrée dans le cadre du sous-programme. En 2018, Cabo Verde et Oman sont devenus Parties contractantes pour la première fois en adhérant, respectivement, aux conventions sur la sûreté et sur la facilitation du passage des frontières. La même année, le Nigéria est devenu Partie contractante à cinq conventions fondamentales des Nations Unies relatives à la sécurité routière. En 2019, le Myanmar est devenu Partie contractante pour la première fois en adhérant à deux des conventions fondamentales relatives à la sécurité routière. Le résultat escompté serait la preuve que des progrès auront été accomplis en 2021 sur la voie de la réalisation collective de l’objectif du sous-programme.</w:t>
      </w:r>
    </w:p>
    <w:p w14:paraId="21EAE11C" w14:textId="77777777" w:rsidR="00847CBD" w:rsidRDefault="00847CBD" w:rsidP="00847CBD">
      <w:pPr>
        <w:pStyle w:val="H4G"/>
        <w:rPr>
          <w:lang w:val="fr-FR"/>
        </w:rPr>
      </w:pPr>
      <w:r>
        <w:rPr>
          <w:lang w:val="fr-FR"/>
        </w:rPr>
        <w:tab/>
      </w:r>
      <w:r>
        <w:rPr>
          <w:lang w:val="fr-FR"/>
        </w:rPr>
        <w:tab/>
        <w:t>Les résultats en chiffres</w:t>
      </w:r>
    </w:p>
    <w:p w14:paraId="4ACAB022" w14:textId="77777777" w:rsidR="00847CBD" w:rsidRDefault="00847CBD" w:rsidP="00847CBD">
      <w:pPr>
        <w:ind w:left="1134"/>
        <w:rPr>
          <w:lang w:val="fr-FR"/>
        </w:rPr>
      </w:pPr>
      <w:r>
        <w:rPr>
          <w:noProof/>
        </w:rPr>
        <w:drawing>
          <wp:inline distT="0" distB="0" distL="0" distR="0" wp14:anchorId="324E35F0" wp14:editId="7D77F819">
            <wp:extent cx="4680000" cy="2833200"/>
            <wp:effectExtent l="0" t="0" r="635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2833200"/>
                    </a:xfrm>
                    <a:prstGeom prst="rect">
                      <a:avLst/>
                    </a:prstGeom>
                  </pic:spPr>
                </pic:pic>
              </a:graphicData>
            </a:graphic>
          </wp:inline>
        </w:drawing>
      </w:r>
    </w:p>
    <w:p w14:paraId="5CD3F4B2" w14:textId="77777777" w:rsidR="00847CBD" w:rsidRDefault="00847CBD" w:rsidP="00847CBD">
      <w:pPr>
        <w:pStyle w:val="HChG"/>
        <w:rPr>
          <w:lang w:val="fr-FR"/>
        </w:rPr>
      </w:pPr>
      <w:r>
        <w:rPr>
          <w:lang w:val="fr-FR"/>
        </w:rPr>
        <w:tab/>
        <w:t>VI.</w:t>
      </w:r>
      <w:r>
        <w:rPr>
          <w:lang w:val="fr-FR"/>
        </w:rPr>
        <w:tab/>
        <w:t xml:space="preserve">Mandats </w:t>
      </w:r>
    </w:p>
    <w:p w14:paraId="4A5F4387" w14:textId="77777777" w:rsidR="00847CBD" w:rsidRDefault="00847CBD" w:rsidP="00847CBD">
      <w:pPr>
        <w:pStyle w:val="SingleTxtG"/>
        <w:keepNext/>
        <w:rPr>
          <w:i/>
          <w:iCs/>
          <w:lang w:val="fr-FR"/>
        </w:rPr>
      </w:pPr>
      <w:r>
        <w:rPr>
          <w:lang w:val="fr-FR"/>
        </w:rPr>
        <w:t>14.</w:t>
      </w:r>
      <w:r>
        <w:rPr>
          <w:lang w:val="fr-FR"/>
        </w:rPr>
        <w:tab/>
        <w:t xml:space="preserve">L’ensemble des mandats définis pour le sous-programme continuera de guider les travaux menés dans son cadre. On trouvera ci-après la liste des textes portant autorisation du programme : </w:t>
      </w:r>
    </w:p>
    <w:tbl>
      <w:tblPr>
        <w:tblW w:w="8504" w:type="dxa"/>
        <w:tblInd w:w="1134" w:type="dxa"/>
        <w:tblLayout w:type="fixed"/>
        <w:tblCellMar>
          <w:left w:w="0" w:type="dxa"/>
          <w:right w:w="0" w:type="dxa"/>
        </w:tblCellMar>
        <w:tblLook w:val="04A0" w:firstRow="1" w:lastRow="0" w:firstColumn="1" w:lastColumn="0" w:noHBand="0" w:noVBand="1"/>
      </w:tblPr>
      <w:tblGrid>
        <w:gridCol w:w="3402"/>
        <w:gridCol w:w="5102"/>
      </w:tblGrid>
      <w:tr w:rsidR="00847CBD" w14:paraId="180B50A5" w14:textId="77777777" w:rsidTr="00C4632F">
        <w:tc>
          <w:tcPr>
            <w:tcW w:w="8504" w:type="dxa"/>
            <w:gridSpan w:val="2"/>
            <w:hideMark/>
          </w:tcPr>
          <w:p w14:paraId="43AE7D57" w14:textId="77777777" w:rsidR="00847CBD" w:rsidRDefault="00847CBD" w:rsidP="00C4632F">
            <w:pPr>
              <w:keepNext/>
              <w:tabs>
                <w:tab w:val="left" w:pos="288"/>
                <w:tab w:val="left" w:pos="576"/>
                <w:tab w:val="left" w:pos="864"/>
                <w:tab w:val="left" w:pos="1152"/>
              </w:tabs>
              <w:spacing w:before="40" w:after="120"/>
              <w:ind w:right="40"/>
              <w:jc w:val="both"/>
              <w:rPr>
                <w:lang w:val="fr-FR"/>
              </w:rPr>
            </w:pPr>
            <w:r>
              <w:rPr>
                <w:i/>
                <w:iCs/>
                <w:lang w:val="fr-FR"/>
              </w:rPr>
              <w:t>Résolutions de l’Assemblée générale</w:t>
            </w:r>
          </w:p>
        </w:tc>
      </w:tr>
      <w:tr w:rsidR="00847CBD" w14:paraId="34C6552F" w14:textId="77777777" w:rsidTr="00C06975">
        <w:tc>
          <w:tcPr>
            <w:tcW w:w="3402" w:type="dxa"/>
            <w:hideMark/>
          </w:tcPr>
          <w:p w14:paraId="05217BD9" w14:textId="041E6819"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0" w:history="1">
              <w:r w:rsidR="00847CBD" w:rsidRPr="00A664E6">
                <w:rPr>
                  <w:rStyle w:val="Hyperlink"/>
                  <w:lang w:val="fr-FR"/>
                </w:rPr>
                <w:t>58/9</w:t>
              </w:r>
            </w:hyperlink>
          </w:p>
        </w:tc>
        <w:tc>
          <w:tcPr>
            <w:tcW w:w="5102" w:type="dxa"/>
            <w:hideMark/>
          </w:tcPr>
          <w:p w14:paraId="7098E642"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Crise mondiale de la sécurité routière</w:t>
            </w:r>
          </w:p>
        </w:tc>
      </w:tr>
      <w:tr w:rsidR="00847CBD" w14:paraId="2ECE2808" w14:textId="77777777" w:rsidTr="00C06975">
        <w:tc>
          <w:tcPr>
            <w:tcW w:w="3402" w:type="dxa"/>
            <w:hideMark/>
          </w:tcPr>
          <w:p w14:paraId="37BEB26F" w14:textId="1D8C2EB9"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1" w:history="1">
              <w:r w:rsidR="00847CBD" w:rsidRPr="00A664E6">
                <w:rPr>
                  <w:rStyle w:val="Hyperlink"/>
                  <w:lang w:val="fr-FR"/>
                </w:rPr>
                <w:t>69/269</w:t>
              </w:r>
            </w:hyperlink>
          </w:p>
        </w:tc>
        <w:tc>
          <w:tcPr>
            <w:tcW w:w="5102" w:type="dxa"/>
            <w:hideMark/>
          </w:tcPr>
          <w:p w14:paraId="29D0154E"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Amélioration de la sécurité routière mondiale</w:t>
            </w:r>
          </w:p>
        </w:tc>
      </w:tr>
      <w:tr w:rsidR="00847CBD" w14:paraId="798112F6" w14:textId="77777777" w:rsidTr="00C06975">
        <w:tc>
          <w:tcPr>
            <w:tcW w:w="3402" w:type="dxa"/>
            <w:hideMark/>
          </w:tcPr>
          <w:p w14:paraId="35E27474" w14:textId="25E9260E"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2" w:history="1">
              <w:r w:rsidR="00847CBD" w:rsidRPr="00A664E6">
                <w:rPr>
                  <w:rStyle w:val="Hyperlink"/>
                  <w:lang w:val="fr-FR"/>
                </w:rPr>
                <w:t>69/137</w:t>
              </w:r>
            </w:hyperlink>
          </w:p>
        </w:tc>
        <w:tc>
          <w:tcPr>
            <w:tcW w:w="5102" w:type="dxa"/>
            <w:hideMark/>
          </w:tcPr>
          <w:p w14:paraId="4B9A4CCC" w14:textId="77777777" w:rsidR="00847CBD" w:rsidRDefault="00847CBD" w:rsidP="00C4632F">
            <w:pPr>
              <w:tabs>
                <w:tab w:val="left" w:pos="288"/>
                <w:tab w:val="left" w:pos="576"/>
                <w:tab w:val="left" w:pos="864"/>
                <w:tab w:val="left" w:pos="1152"/>
              </w:tabs>
              <w:spacing w:before="40" w:after="120"/>
              <w:ind w:right="88"/>
              <w:jc w:val="both"/>
              <w:rPr>
                <w:lang w:val="fr-FR"/>
              </w:rPr>
            </w:pPr>
            <w:r w:rsidRPr="00161C37">
              <w:t>Programme</w:t>
            </w:r>
            <w:r>
              <w:rPr>
                <w:lang w:val="fr-FR"/>
              </w:rPr>
              <w:t xml:space="preserve"> d’action en faveur des pays en développement sans littoral pour la décennie 2014-2024</w:t>
            </w:r>
          </w:p>
        </w:tc>
      </w:tr>
      <w:tr w:rsidR="00847CBD" w14:paraId="5A062906" w14:textId="77777777" w:rsidTr="00C06975">
        <w:tc>
          <w:tcPr>
            <w:tcW w:w="3402" w:type="dxa"/>
            <w:hideMark/>
          </w:tcPr>
          <w:p w14:paraId="67C153F0" w14:textId="7C65BF6C"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3" w:history="1">
              <w:r w:rsidR="00847CBD" w:rsidRPr="00A664E6">
                <w:rPr>
                  <w:rStyle w:val="Hyperlink"/>
                  <w:lang w:val="fr-FR"/>
                </w:rPr>
                <w:t>69/213</w:t>
              </w:r>
            </w:hyperlink>
          </w:p>
        </w:tc>
        <w:tc>
          <w:tcPr>
            <w:tcW w:w="5102" w:type="dxa"/>
            <w:hideMark/>
          </w:tcPr>
          <w:p w14:paraId="7EBDFFAA"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 xml:space="preserve">Le rôle des couloirs de transport et de transit en matière de coopération internationale et de développement durable </w:t>
            </w:r>
          </w:p>
        </w:tc>
      </w:tr>
      <w:tr w:rsidR="00847CBD" w14:paraId="58AC6D0D" w14:textId="77777777" w:rsidTr="00C06975">
        <w:tc>
          <w:tcPr>
            <w:tcW w:w="3402" w:type="dxa"/>
            <w:hideMark/>
          </w:tcPr>
          <w:p w14:paraId="3960A638" w14:textId="666D985B"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4" w:history="1">
              <w:r w:rsidR="00847CBD" w:rsidRPr="00A664E6">
                <w:rPr>
                  <w:rStyle w:val="Hyperlink"/>
                  <w:lang w:val="fr-FR"/>
                </w:rPr>
                <w:t>70/197</w:t>
              </w:r>
            </w:hyperlink>
          </w:p>
        </w:tc>
        <w:tc>
          <w:tcPr>
            <w:tcW w:w="5102" w:type="dxa"/>
            <w:hideMark/>
          </w:tcPr>
          <w:p w14:paraId="4BD5806B"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Vers une coopération de tous les acteurs du secteur des transports pour la promotion de couloirs de transit multimodal durables</w:t>
            </w:r>
          </w:p>
        </w:tc>
      </w:tr>
      <w:tr w:rsidR="00847CBD" w14:paraId="69CE9522" w14:textId="77777777" w:rsidTr="00C06975">
        <w:tc>
          <w:tcPr>
            <w:tcW w:w="3402" w:type="dxa"/>
            <w:hideMark/>
          </w:tcPr>
          <w:p w14:paraId="69E05FF1" w14:textId="157ABA4C"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5" w:history="1">
              <w:r w:rsidR="00847CBD" w:rsidRPr="00880785">
                <w:rPr>
                  <w:rStyle w:val="Hyperlink"/>
                  <w:lang w:val="fr-FR"/>
                </w:rPr>
                <w:t>70/217</w:t>
              </w:r>
            </w:hyperlink>
          </w:p>
        </w:tc>
        <w:tc>
          <w:tcPr>
            <w:tcW w:w="5102" w:type="dxa"/>
            <w:hideMark/>
          </w:tcPr>
          <w:p w14:paraId="5FCD80AF"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Suivi de la deuxième Conférence des Nations Unies sur les pays en développement sans littoral</w:t>
            </w:r>
          </w:p>
        </w:tc>
      </w:tr>
      <w:tr w:rsidR="00847CBD" w14:paraId="0E9A2156" w14:textId="77777777" w:rsidTr="00C06975">
        <w:tc>
          <w:tcPr>
            <w:tcW w:w="3402" w:type="dxa"/>
            <w:hideMark/>
          </w:tcPr>
          <w:p w14:paraId="353C3835" w14:textId="2049A3EB"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6" w:history="1">
              <w:r w:rsidR="00847CBD" w:rsidRPr="0044578B">
                <w:rPr>
                  <w:rStyle w:val="Hyperlink"/>
                  <w:lang w:val="fr-FR"/>
                </w:rPr>
                <w:t>72/212</w:t>
              </w:r>
            </w:hyperlink>
          </w:p>
        </w:tc>
        <w:tc>
          <w:tcPr>
            <w:tcW w:w="5102" w:type="dxa"/>
            <w:hideMark/>
          </w:tcPr>
          <w:p w14:paraId="62451095"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 xml:space="preserve">Renforcer les liens entre tous les modes de transport pour atteindre les objectifs de développement durable </w:t>
            </w:r>
          </w:p>
        </w:tc>
      </w:tr>
      <w:tr w:rsidR="00847CBD" w14:paraId="75B4D126" w14:textId="77777777" w:rsidTr="00C06975">
        <w:tc>
          <w:tcPr>
            <w:tcW w:w="3402" w:type="dxa"/>
            <w:hideMark/>
          </w:tcPr>
          <w:p w14:paraId="49FDA7B9" w14:textId="44222B96" w:rsidR="00847CBD" w:rsidRPr="00A664E6" w:rsidRDefault="00465B39" w:rsidP="00C4632F">
            <w:pPr>
              <w:tabs>
                <w:tab w:val="left" w:pos="288"/>
                <w:tab w:val="left" w:pos="576"/>
                <w:tab w:val="left" w:pos="864"/>
                <w:tab w:val="left" w:pos="1152"/>
              </w:tabs>
              <w:spacing w:before="40" w:after="120"/>
              <w:ind w:right="40"/>
              <w:jc w:val="both"/>
              <w:rPr>
                <w:lang w:val="fr-FR"/>
              </w:rPr>
            </w:pPr>
            <w:hyperlink r:id="rId17" w:history="1">
              <w:r w:rsidR="00847CBD" w:rsidRPr="0044578B">
                <w:rPr>
                  <w:rStyle w:val="Hyperlink"/>
                  <w:lang w:val="fr-FR"/>
                </w:rPr>
                <w:t>72/271</w:t>
              </w:r>
            </w:hyperlink>
          </w:p>
        </w:tc>
        <w:tc>
          <w:tcPr>
            <w:tcW w:w="5102" w:type="dxa"/>
            <w:hideMark/>
          </w:tcPr>
          <w:p w14:paraId="231848FD"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Amélioration de la sécurité routière mondiale</w:t>
            </w:r>
          </w:p>
        </w:tc>
      </w:tr>
      <w:tr w:rsidR="00847CBD" w14:paraId="37537E3D" w14:textId="77777777" w:rsidTr="00C06975">
        <w:tc>
          <w:tcPr>
            <w:tcW w:w="3402" w:type="dxa"/>
            <w:hideMark/>
          </w:tcPr>
          <w:p w14:paraId="34C88455" w14:textId="6DEF02B0" w:rsidR="00847CBD" w:rsidRPr="00A664E6" w:rsidRDefault="00465B39" w:rsidP="00C4632F">
            <w:pPr>
              <w:tabs>
                <w:tab w:val="left" w:pos="288"/>
                <w:tab w:val="left" w:pos="576"/>
                <w:tab w:val="left" w:pos="864"/>
                <w:tab w:val="left" w:pos="1152"/>
              </w:tabs>
              <w:spacing w:before="40" w:after="120"/>
              <w:ind w:right="40"/>
              <w:jc w:val="both"/>
              <w:rPr>
                <w:color w:val="0000FF" w:themeColor="hyperlink"/>
                <w:lang w:val="fr-FR"/>
              </w:rPr>
            </w:pPr>
            <w:hyperlink r:id="rId18" w:history="1">
              <w:r w:rsidR="00847CBD" w:rsidRPr="0044578B">
                <w:rPr>
                  <w:rStyle w:val="Hyperlink"/>
                  <w:lang w:val="fr-FR"/>
                </w:rPr>
                <w:t>73/243</w:t>
              </w:r>
            </w:hyperlink>
          </w:p>
        </w:tc>
        <w:tc>
          <w:tcPr>
            <w:tcW w:w="5102" w:type="dxa"/>
            <w:hideMark/>
          </w:tcPr>
          <w:p w14:paraId="0B898F84"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Suivi de la deuxième Conférence des Nations Unies sur les pays en développement sans littoral</w:t>
            </w:r>
          </w:p>
        </w:tc>
      </w:tr>
      <w:tr w:rsidR="00847CBD" w14:paraId="4CF8BE2C" w14:textId="77777777" w:rsidTr="00C4632F">
        <w:tc>
          <w:tcPr>
            <w:tcW w:w="8504" w:type="dxa"/>
            <w:gridSpan w:val="2"/>
            <w:hideMark/>
          </w:tcPr>
          <w:p w14:paraId="191EC859" w14:textId="77777777" w:rsidR="00847CBD" w:rsidRDefault="00847CBD" w:rsidP="00C4632F">
            <w:pPr>
              <w:keepNext/>
              <w:tabs>
                <w:tab w:val="left" w:pos="288"/>
                <w:tab w:val="left" w:pos="576"/>
                <w:tab w:val="left" w:pos="864"/>
                <w:tab w:val="left" w:pos="1152"/>
              </w:tabs>
              <w:spacing w:before="40" w:after="120"/>
              <w:ind w:right="173"/>
              <w:rPr>
                <w:lang w:val="fr-FR"/>
              </w:rPr>
            </w:pPr>
            <w:r>
              <w:rPr>
                <w:i/>
                <w:iCs/>
                <w:lang w:val="fr-FR"/>
              </w:rPr>
              <w:t>Résolutions du Conseil économique et social</w:t>
            </w:r>
          </w:p>
        </w:tc>
      </w:tr>
      <w:tr w:rsidR="00847CBD" w14:paraId="03BF1E41" w14:textId="77777777" w:rsidTr="00C06975">
        <w:tc>
          <w:tcPr>
            <w:tcW w:w="3402" w:type="dxa"/>
            <w:hideMark/>
          </w:tcPr>
          <w:p w14:paraId="7DA46E87" w14:textId="05471B0B" w:rsidR="00847CBD" w:rsidRPr="00A664E6" w:rsidRDefault="00465B39" w:rsidP="00C4632F">
            <w:pPr>
              <w:keepNext/>
              <w:tabs>
                <w:tab w:val="left" w:pos="288"/>
                <w:tab w:val="left" w:pos="576"/>
                <w:tab w:val="left" w:pos="864"/>
                <w:tab w:val="left" w:pos="1152"/>
              </w:tabs>
              <w:spacing w:before="20" w:after="100"/>
              <w:ind w:right="40"/>
              <w:jc w:val="both"/>
              <w:rPr>
                <w:lang w:val="fr-FR"/>
              </w:rPr>
            </w:pPr>
            <w:hyperlink r:id="rId19" w:history="1">
              <w:r w:rsidR="00847CBD" w:rsidRPr="00A664E6">
                <w:rPr>
                  <w:rStyle w:val="Hyperlink"/>
                  <w:lang w:val="fr-FR"/>
                </w:rPr>
                <w:t>1999/65</w:t>
              </w:r>
            </w:hyperlink>
          </w:p>
        </w:tc>
        <w:tc>
          <w:tcPr>
            <w:tcW w:w="5102" w:type="dxa"/>
            <w:hideMark/>
          </w:tcPr>
          <w:p w14:paraId="28313B5D" w14:textId="77777777" w:rsidR="00847CBD" w:rsidRDefault="00847CBD" w:rsidP="00C4632F">
            <w:pPr>
              <w:keepNext/>
              <w:tabs>
                <w:tab w:val="left" w:pos="288"/>
                <w:tab w:val="left" w:pos="576"/>
                <w:tab w:val="left" w:pos="864"/>
                <w:tab w:val="left" w:pos="1152"/>
              </w:tabs>
              <w:spacing w:before="20" w:after="100"/>
              <w:ind w:right="173"/>
              <w:jc w:val="both"/>
              <w:rPr>
                <w:lang w:val="fr-FR"/>
              </w:rPr>
            </w:pPr>
            <w:r>
              <w:rPr>
                <w:lang w:val="fr-FR"/>
              </w:rPr>
              <w:t>Transformation du Comité d’experts en matière de transport des marchandises dangereuses en Comité d’experts du transport des marchandises dangereuses et du Système général harmonisé de classification et d’étiquetage des produits chimiques</w:t>
            </w:r>
          </w:p>
        </w:tc>
      </w:tr>
      <w:tr w:rsidR="00847CBD" w14:paraId="70180F59" w14:textId="77777777" w:rsidTr="00C06975">
        <w:tc>
          <w:tcPr>
            <w:tcW w:w="3402" w:type="dxa"/>
            <w:hideMark/>
          </w:tcPr>
          <w:p w14:paraId="55F85152" w14:textId="13E52747"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0" w:history="1">
              <w:r w:rsidR="00847CBD" w:rsidRPr="00A664E6">
                <w:rPr>
                  <w:rStyle w:val="Hyperlink"/>
                  <w:lang w:val="fr-FR"/>
                </w:rPr>
                <w:t>2013/7</w:t>
              </w:r>
            </w:hyperlink>
          </w:p>
        </w:tc>
        <w:tc>
          <w:tcPr>
            <w:tcW w:w="5102" w:type="dxa"/>
            <w:hideMark/>
          </w:tcPr>
          <w:p w14:paraId="325488FD"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Liaison fixe Europe-Afrique à travers le détroit de Gibraltar</w:t>
            </w:r>
          </w:p>
        </w:tc>
      </w:tr>
      <w:tr w:rsidR="00847CBD" w14:paraId="161C3960" w14:textId="77777777" w:rsidTr="00C06975">
        <w:tc>
          <w:tcPr>
            <w:tcW w:w="3402" w:type="dxa"/>
            <w:hideMark/>
          </w:tcPr>
          <w:p w14:paraId="6611C76F" w14:textId="59207DB2"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1" w:history="1">
              <w:r w:rsidR="00847CBD" w:rsidRPr="00A664E6">
                <w:rPr>
                  <w:rStyle w:val="Hyperlink"/>
                  <w:lang w:val="fr-FR"/>
                </w:rPr>
                <w:t>2019/7</w:t>
              </w:r>
            </w:hyperlink>
          </w:p>
        </w:tc>
        <w:tc>
          <w:tcPr>
            <w:tcW w:w="5102" w:type="dxa"/>
            <w:hideMark/>
          </w:tcPr>
          <w:p w14:paraId="531CE223"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Travaux du Comité d’experts du transport des marchandises dangereuses et du Système général harmonisé de classification et d’étiquetage des produits chimique</w:t>
            </w:r>
          </w:p>
        </w:tc>
      </w:tr>
      <w:tr w:rsidR="00847CBD" w14:paraId="3444B86B" w14:textId="77777777" w:rsidTr="00C4632F">
        <w:tc>
          <w:tcPr>
            <w:tcW w:w="8504" w:type="dxa"/>
            <w:gridSpan w:val="2"/>
            <w:hideMark/>
          </w:tcPr>
          <w:p w14:paraId="53D1D77D" w14:textId="77777777" w:rsidR="00847CBD" w:rsidRPr="000C6EFD" w:rsidRDefault="00847CBD" w:rsidP="00C4632F">
            <w:pPr>
              <w:keepNext/>
              <w:tabs>
                <w:tab w:val="left" w:pos="288"/>
                <w:tab w:val="left" w:pos="576"/>
                <w:tab w:val="left" w:pos="864"/>
                <w:tab w:val="left" w:pos="1152"/>
              </w:tabs>
              <w:spacing w:before="20" w:after="100"/>
              <w:ind w:right="173"/>
              <w:rPr>
                <w:i/>
                <w:iCs/>
                <w:lang w:val="fr-FR"/>
              </w:rPr>
            </w:pPr>
            <w:r w:rsidRPr="000C6EFD">
              <w:rPr>
                <w:i/>
                <w:iCs/>
                <w:lang w:val="fr-FR"/>
              </w:rPr>
              <w:t>Décisions de la Commission économique pour l’Europe</w:t>
            </w:r>
          </w:p>
        </w:tc>
      </w:tr>
      <w:tr w:rsidR="00847CBD" w14:paraId="3174D2F4" w14:textId="77777777" w:rsidTr="00C06975">
        <w:tc>
          <w:tcPr>
            <w:tcW w:w="3402" w:type="dxa"/>
            <w:hideMark/>
          </w:tcPr>
          <w:p w14:paraId="4B63AAD3" w14:textId="4E830AA0"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2" w:history="1">
              <w:r w:rsidR="00847CBD" w:rsidRPr="00F91603">
                <w:rPr>
                  <w:rStyle w:val="Hyperlink"/>
                  <w:lang w:val="fr-FR"/>
                </w:rPr>
                <w:t>ECE/AC.21/2014/2</w:t>
              </w:r>
            </w:hyperlink>
          </w:p>
        </w:tc>
        <w:tc>
          <w:tcPr>
            <w:tcW w:w="5102" w:type="dxa"/>
            <w:hideMark/>
          </w:tcPr>
          <w:p w14:paraId="499D4535"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Rapport de la Réunion de haut niveau sur les transports, la santé et l’environnement sur sa quatrième session</w:t>
            </w:r>
          </w:p>
        </w:tc>
      </w:tr>
      <w:tr w:rsidR="00847CBD" w14:paraId="0ED20F56" w14:textId="77777777" w:rsidTr="00C06975">
        <w:tc>
          <w:tcPr>
            <w:tcW w:w="3402" w:type="dxa"/>
            <w:hideMark/>
          </w:tcPr>
          <w:p w14:paraId="69CDA62B" w14:textId="143B8AB9"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3" w:history="1">
              <w:r w:rsidR="00847CBD" w:rsidRPr="00F91603">
                <w:rPr>
                  <w:rStyle w:val="Hyperlink"/>
                  <w:lang w:val="fr-FR"/>
                </w:rPr>
                <w:t>ECE/TRANS/224</w:t>
              </w:r>
            </w:hyperlink>
          </w:p>
        </w:tc>
        <w:tc>
          <w:tcPr>
            <w:tcW w:w="5102" w:type="dxa"/>
            <w:hideMark/>
          </w:tcPr>
          <w:p w14:paraId="116C9D0F"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Pr>
                <w:lang w:val="fr-FR"/>
              </w:rPr>
              <w:noBreakHyphen/>
              <w:t>quatorzième session (« Feuille de route de la CEE pour la promotion des systèmes de transport intelligents (STI) − 20 mesures à prendre au niveau mondial sur la période 2012-2020 »)</w:t>
            </w:r>
          </w:p>
        </w:tc>
      </w:tr>
      <w:tr w:rsidR="00847CBD" w14:paraId="43A473BF" w14:textId="77777777" w:rsidTr="00C06975">
        <w:tc>
          <w:tcPr>
            <w:tcW w:w="3402" w:type="dxa"/>
            <w:hideMark/>
          </w:tcPr>
          <w:p w14:paraId="2BA30347" w14:textId="4B459294"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4" w:history="1">
              <w:r w:rsidR="00847CBD" w:rsidRPr="00F91603">
                <w:rPr>
                  <w:rStyle w:val="Hyperlink"/>
                  <w:lang w:val="fr-FR"/>
                </w:rPr>
                <w:t>ECE/TRANS/236</w:t>
              </w:r>
            </w:hyperlink>
          </w:p>
        </w:tc>
        <w:tc>
          <w:tcPr>
            <w:tcW w:w="5102" w:type="dxa"/>
            <w:hideMark/>
          </w:tcPr>
          <w:p w14:paraId="27C174A4"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Pr>
                <w:lang w:val="fr-FR"/>
              </w:rPr>
              <w:noBreakHyphen/>
              <w:t xml:space="preserve">quinzième session (Déclaration commune sur la promotion du transport ferroviaire entre l’Europe et l’Asie et des activités menées à cette fin ; Déclaration commune sur le développement futur des liaisons de transport Europe-Asie) </w:t>
            </w:r>
          </w:p>
        </w:tc>
      </w:tr>
      <w:tr w:rsidR="00847CBD" w14:paraId="7F249A64" w14:textId="77777777" w:rsidTr="00C06975">
        <w:tc>
          <w:tcPr>
            <w:tcW w:w="3402" w:type="dxa"/>
            <w:hideMark/>
          </w:tcPr>
          <w:p w14:paraId="16F93AC2" w14:textId="47151A85"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5" w:history="1">
              <w:r w:rsidR="00847CBD" w:rsidRPr="004A6993">
                <w:rPr>
                  <w:rStyle w:val="Hyperlink"/>
                  <w:lang w:val="fr-FR"/>
                </w:rPr>
                <w:t>ECE/TRANS/248</w:t>
              </w:r>
            </w:hyperlink>
          </w:p>
        </w:tc>
        <w:tc>
          <w:tcPr>
            <w:tcW w:w="5102" w:type="dxa"/>
            <w:hideMark/>
          </w:tcPr>
          <w:p w14:paraId="724FEC2E"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Pr>
                <w:lang w:val="fr-FR"/>
              </w:rPr>
              <w:noBreakHyphen/>
              <w:t>dix-septième session</w:t>
            </w:r>
          </w:p>
        </w:tc>
      </w:tr>
      <w:tr w:rsidR="00847CBD" w14:paraId="698CCE66" w14:textId="77777777" w:rsidTr="00C06975">
        <w:tc>
          <w:tcPr>
            <w:tcW w:w="3402" w:type="dxa"/>
            <w:hideMark/>
          </w:tcPr>
          <w:p w14:paraId="3A43EDEF" w14:textId="0FA74998"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6" w:history="1">
              <w:r w:rsidR="00847CBD" w:rsidRPr="004A6993">
                <w:rPr>
                  <w:rStyle w:val="Hyperlink"/>
                  <w:lang w:val="fr-FR"/>
                </w:rPr>
                <w:t>ECE/TRANS/254</w:t>
              </w:r>
            </w:hyperlink>
          </w:p>
        </w:tc>
        <w:tc>
          <w:tcPr>
            <w:tcW w:w="5102" w:type="dxa"/>
            <w:hideMark/>
          </w:tcPr>
          <w:p w14:paraId="5B0BAA30"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Pr>
                <w:lang w:val="fr-FR"/>
              </w:rPr>
              <w:noBreakHyphen/>
              <w:t>dix-huitième session</w:t>
            </w:r>
          </w:p>
        </w:tc>
      </w:tr>
      <w:tr w:rsidR="00847CBD" w14:paraId="1D4A6908" w14:textId="77777777" w:rsidTr="00C06975">
        <w:tc>
          <w:tcPr>
            <w:tcW w:w="3402" w:type="dxa"/>
            <w:hideMark/>
          </w:tcPr>
          <w:p w14:paraId="59D70C86" w14:textId="1FBF0790"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7" w:history="1">
              <w:r w:rsidR="00847CBD" w:rsidRPr="004A6993">
                <w:rPr>
                  <w:rStyle w:val="Hyperlink"/>
                  <w:lang w:val="fr-FR"/>
                </w:rPr>
                <w:t>ECE/TRANS/270</w:t>
              </w:r>
            </w:hyperlink>
          </w:p>
        </w:tc>
        <w:tc>
          <w:tcPr>
            <w:tcW w:w="5102" w:type="dxa"/>
            <w:hideMark/>
          </w:tcPr>
          <w:p w14:paraId="2A0858FB" w14:textId="77777777" w:rsidR="00847CBD" w:rsidRPr="00024199" w:rsidRDefault="00847CBD" w:rsidP="00C4632F">
            <w:pPr>
              <w:tabs>
                <w:tab w:val="left" w:pos="288"/>
                <w:tab w:val="left" w:pos="576"/>
                <w:tab w:val="left" w:pos="864"/>
                <w:tab w:val="left" w:pos="1152"/>
              </w:tabs>
              <w:spacing w:before="20" w:after="100"/>
              <w:ind w:right="173"/>
              <w:jc w:val="both"/>
              <w:rPr>
                <w:spacing w:val="-2"/>
                <w:lang w:val="fr-FR"/>
              </w:rPr>
            </w:pPr>
            <w:r w:rsidRPr="00024199">
              <w:rPr>
                <w:spacing w:val="-2"/>
                <w:lang w:val="fr-FR"/>
              </w:rPr>
              <w:t>Rapport du Comité des transports intérieurs sur sa soixante</w:t>
            </w:r>
            <w:r>
              <w:rPr>
                <w:spacing w:val="-2"/>
                <w:lang w:val="fr-FR"/>
              </w:rPr>
              <w:noBreakHyphen/>
            </w:r>
            <w:r w:rsidRPr="00024199">
              <w:rPr>
                <w:spacing w:val="-2"/>
                <w:lang w:val="fr-FR"/>
              </w:rPr>
              <w:t>dix</w:t>
            </w:r>
            <w:r>
              <w:rPr>
                <w:spacing w:val="-2"/>
                <w:lang w:val="fr-FR"/>
              </w:rPr>
              <w:noBreakHyphen/>
            </w:r>
            <w:r w:rsidRPr="00024199">
              <w:rPr>
                <w:spacing w:val="-2"/>
                <w:lang w:val="fr-FR"/>
              </w:rPr>
              <w:t>neuvième session (résolution ministérielle intitulée « Embrasser l’ère nouvelle de la viabilité des transports intérieurs et de la mobilité »)</w:t>
            </w:r>
          </w:p>
        </w:tc>
      </w:tr>
      <w:tr w:rsidR="00847CBD" w14:paraId="5177067F" w14:textId="77777777" w:rsidTr="00C06975">
        <w:tc>
          <w:tcPr>
            <w:tcW w:w="3402" w:type="dxa"/>
            <w:hideMark/>
          </w:tcPr>
          <w:p w14:paraId="4AAC1533" w14:textId="7E91F3C1"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8" w:history="1">
              <w:r w:rsidR="00847CBD" w:rsidRPr="004A6993">
                <w:rPr>
                  <w:rStyle w:val="Hyperlink"/>
                  <w:lang w:val="fr-FR"/>
                </w:rPr>
                <w:t>ECE/TRANS/274</w:t>
              </w:r>
            </w:hyperlink>
          </w:p>
        </w:tc>
        <w:tc>
          <w:tcPr>
            <w:tcW w:w="5102" w:type="dxa"/>
            <w:hideMark/>
          </w:tcPr>
          <w:p w14:paraId="46B60F55"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Rapport du Comité des transports intérieurs sur sa quatre</w:t>
            </w:r>
            <w:r>
              <w:rPr>
                <w:lang w:val="fr-FR"/>
              </w:rPr>
              <w:noBreakHyphen/>
              <w:t xml:space="preserve">vingtième session </w:t>
            </w:r>
          </w:p>
        </w:tc>
      </w:tr>
      <w:tr w:rsidR="00847CBD" w14:paraId="01EEB37B" w14:textId="77777777" w:rsidTr="00C06975">
        <w:tc>
          <w:tcPr>
            <w:tcW w:w="3402" w:type="dxa"/>
            <w:hideMark/>
          </w:tcPr>
          <w:p w14:paraId="5E410F13" w14:textId="40412827" w:rsidR="00847CBD" w:rsidRPr="00A664E6" w:rsidRDefault="00465B39" w:rsidP="00C4632F">
            <w:pPr>
              <w:tabs>
                <w:tab w:val="left" w:pos="288"/>
                <w:tab w:val="left" w:pos="576"/>
                <w:tab w:val="left" w:pos="864"/>
                <w:tab w:val="left" w:pos="1152"/>
              </w:tabs>
              <w:spacing w:before="20" w:after="100"/>
              <w:ind w:right="40"/>
              <w:jc w:val="both"/>
              <w:rPr>
                <w:lang w:val="fr-FR"/>
              </w:rPr>
            </w:pPr>
            <w:hyperlink r:id="rId29" w:history="1">
              <w:r w:rsidR="00847CBD" w:rsidRPr="008154B9">
                <w:rPr>
                  <w:rStyle w:val="Hyperlink"/>
                  <w:lang w:val="fr-FR"/>
                </w:rPr>
                <w:t>ECE/TRANS/288</w:t>
              </w:r>
            </w:hyperlink>
          </w:p>
        </w:tc>
        <w:tc>
          <w:tcPr>
            <w:tcW w:w="5102" w:type="dxa"/>
            <w:hideMark/>
          </w:tcPr>
          <w:p w14:paraId="00EC3D0C"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Rapport du Comité des transports intérieurs sur sa quatre</w:t>
            </w:r>
            <w:r>
              <w:rPr>
                <w:lang w:val="fr-FR"/>
              </w:rPr>
              <w:noBreakHyphen/>
              <w:t>vingt-unième session (résolution ministérielle sur le renforcement de la coopération, de l’harmonisation et de l’intégration à l’ère de la numérisation et de l’automatisation des transports ; Résolution n</w:t>
            </w:r>
            <w:r>
              <w:rPr>
                <w:vertAlign w:val="superscript"/>
                <w:lang w:val="fr-FR"/>
              </w:rPr>
              <w:t>o</w:t>
            </w:r>
            <w:r>
              <w:rPr>
                <w:lang w:val="fr-FR"/>
              </w:rPr>
              <w:t> 265 du CTI intitulée « Faciliter le développement des transports par voie navigable »)</w:t>
            </w:r>
          </w:p>
        </w:tc>
      </w:tr>
      <w:tr w:rsidR="00847CBD" w14:paraId="5A2D59C1" w14:textId="77777777" w:rsidTr="00C06975">
        <w:tc>
          <w:tcPr>
            <w:tcW w:w="3402" w:type="dxa"/>
            <w:hideMark/>
          </w:tcPr>
          <w:p w14:paraId="3D68190D" w14:textId="1EAE2F85" w:rsidR="00847CBD" w:rsidRPr="00A664E6" w:rsidRDefault="00465B39" w:rsidP="00C4632F">
            <w:pPr>
              <w:tabs>
                <w:tab w:val="left" w:pos="288"/>
                <w:tab w:val="left" w:pos="576"/>
                <w:tab w:val="left" w:pos="864"/>
                <w:tab w:val="left" w:pos="1152"/>
              </w:tabs>
              <w:spacing w:before="20" w:after="100"/>
              <w:ind w:right="40"/>
              <w:jc w:val="both"/>
              <w:rPr>
                <w:lang w:val="fr-FR"/>
              </w:rPr>
            </w:pPr>
            <w:hyperlink r:id="rId30" w:history="1">
              <w:r w:rsidR="00847CBD" w:rsidRPr="008154B9">
                <w:rPr>
                  <w:rStyle w:val="Hyperlink"/>
                  <w:lang w:val="fr-FR"/>
                </w:rPr>
                <w:t>ECE/TRANS/288/Add.22</w:t>
              </w:r>
            </w:hyperlink>
          </w:p>
        </w:tc>
        <w:tc>
          <w:tcPr>
            <w:tcW w:w="5102" w:type="dxa"/>
            <w:hideMark/>
          </w:tcPr>
          <w:p w14:paraId="5D95E2DE"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Stratégie du Comité des transports intérieurs à l’horizon 2030</w:t>
            </w:r>
          </w:p>
        </w:tc>
      </w:tr>
      <w:tr w:rsidR="00847CBD" w14:paraId="10931813" w14:textId="77777777" w:rsidTr="00C06975">
        <w:tc>
          <w:tcPr>
            <w:tcW w:w="3402" w:type="dxa"/>
            <w:hideMark/>
          </w:tcPr>
          <w:p w14:paraId="18D92BAA" w14:textId="1B61C282" w:rsidR="00847CBD" w:rsidRPr="00A664E6" w:rsidRDefault="00465B39" w:rsidP="00C4632F">
            <w:pPr>
              <w:tabs>
                <w:tab w:val="left" w:pos="288"/>
                <w:tab w:val="left" w:pos="576"/>
                <w:tab w:val="left" w:pos="864"/>
                <w:tab w:val="left" w:pos="1152"/>
              </w:tabs>
              <w:spacing w:before="20" w:after="100"/>
              <w:ind w:right="40"/>
              <w:jc w:val="both"/>
              <w:rPr>
                <w:lang w:val="fr-FR"/>
              </w:rPr>
            </w:pPr>
            <w:hyperlink r:id="rId31" w:history="1">
              <w:r w:rsidR="00847CBD" w:rsidRPr="003C3205">
                <w:rPr>
                  <w:rStyle w:val="Hyperlink"/>
                  <w:lang w:val="fr-FR"/>
                </w:rPr>
                <w:t>ECE/TRANS/SC.3/WP.3/2018/8/Rev.1</w:t>
              </w:r>
            </w:hyperlink>
          </w:p>
        </w:tc>
        <w:tc>
          <w:tcPr>
            <w:tcW w:w="5102" w:type="dxa"/>
            <w:hideMark/>
          </w:tcPr>
          <w:p w14:paraId="5E6CD779"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Déclaration ministérielle intitulée « La navigation intérieure dans le contexte international »</w:t>
            </w:r>
          </w:p>
        </w:tc>
      </w:tr>
      <w:tr w:rsidR="00847CBD" w14:paraId="2511612F" w14:textId="77777777" w:rsidTr="00C06975">
        <w:tc>
          <w:tcPr>
            <w:tcW w:w="3402" w:type="dxa"/>
            <w:hideMark/>
          </w:tcPr>
          <w:p w14:paraId="760F3F94" w14:textId="106FA9C1" w:rsidR="00847CBD" w:rsidRPr="00A664E6" w:rsidRDefault="00465B39" w:rsidP="00C4632F">
            <w:pPr>
              <w:tabs>
                <w:tab w:val="left" w:pos="288"/>
                <w:tab w:val="left" w:pos="576"/>
                <w:tab w:val="left" w:pos="864"/>
                <w:tab w:val="left" w:pos="1152"/>
              </w:tabs>
              <w:spacing w:before="20" w:after="100"/>
              <w:ind w:right="40"/>
              <w:jc w:val="both"/>
              <w:rPr>
                <w:lang w:val="fr-FR"/>
              </w:rPr>
            </w:pPr>
            <w:hyperlink r:id="rId32" w:history="1">
              <w:r w:rsidR="00847CBD" w:rsidRPr="00A664E6">
                <w:rPr>
                  <w:rStyle w:val="Hyperlink"/>
                  <w:lang w:val="fr-FR"/>
                </w:rPr>
                <w:t>B (66)</w:t>
              </w:r>
            </w:hyperlink>
          </w:p>
        </w:tc>
        <w:tc>
          <w:tcPr>
            <w:tcW w:w="5102" w:type="dxa"/>
            <w:hideMark/>
          </w:tcPr>
          <w:p w14:paraId="42071730"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Approbation de la Charte de Genève sur le logement durable</w:t>
            </w:r>
          </w:p>
        </w:tc>
      </w:tr>
      <w:tr w:rsidR="00847CBD" w14:paraId="3045250E" w14:textId="77777777" w:rsidTr="00C4632F">
        <w:tc>
          <w:tcPr>
            <w:tcW w:w="8504" w:type="dxa"/>
            <w:gridSpan w:val="2"/>
            <w:hideMark/>
          </w:tcPr>
          <w:p w14:paraId="26CA0C43" w14:textId="77777777" w:rsidR="00847CBD" w:rsidRDefault="00847CBD" w:rsidP="00C4632F">
            <w:pPr>
              <w:tabs>
                <w:tab w:val="left" w:pos="288"/>
                <w:tab w:val="left" w:pos="576"/>
                <w:tab w:val="left" w:pos="864"/>
                <w:tab w:val="left" w:pos="1152"/>
              </w:tabs>
              <w:spacing w:before="20" w:after="100"/>
              <w:ind w:right="173"/>
              <w:rPr>
                <w:lang w:val="fr-FR"/>
              </w:rPr>
            </w:pPr>
            <w:r>
              <w:rPr>
                <w:i/>
                <w:iCs/>
                <w:lang w:val="fr-FR"/>
              </w:rPr>
              <w:t>Décisions des organes créés en vertu d’accords des Nations Unies relatifs aux transports</w:t>
            </w:r>
          </w:p>
        </w:tc>
      </w:tr>
      <w:tr w:rsidR="00847CBD" w14:paraId="45AC0319" w14:textId="77777777" w:rsidTr="00C06975">
        <w:tc>
          <w:tcPr>
            <w:tcW w:w="3402" w:type="dxa"/>
            <w:hideMark/>
          </w:tcPr>
          <w:p w14:paraId="67AB6532" w14:textId="26D01141" w:rsidR="00847CBD" w:rsidRPr="00A664E6" w:rsidRDefault="00465B39" w:rsidP="00C4632F">
            <w:pPr>
              <w:tabs>
                <w:tab w:val="left" w:pos="288"/>
                <w:tab w:val="left" w:pos="576"/>
                <w:tab w:val="left" w:pos="864"/>
                <w:tab w:val="left" w:pos="1152"/>
              </w:tabs>
              <w:spacing w:before="20" w:after="100"/>
              <w:ind w:right="40"/>
              <w:jc w:val="both"/>
              <w:rPr>
                <w:lang w:val="fr-FR"/>
              </w:rPr>
            </w:pPr>
            <w:hyperlink r:id="rId33" w:history="1">
              <w:r w:rsidR="00847CBD" w:rsidRPr="00683454">
                <w:rPr>
                  <w:rStyle w:val="Hyperlink"/>
                  <w:lang w:val="fr-FR"/>
                </w:rPr>
                <w:t>E/ECE/TRANS/505/Rev.3</w:t>
              </w:r>
            </w:hyperlink>
          </w:p>
        </w:tc>
        <w:tc>
          <w:tcPr>
            <w:tcW w:w="5102" w:type="dxa"/>
            <w:hideMark/>
          </w:tcPr>
          <w:p w14:paraId="35562A92" w14:textId="77777777" w:rsidR="00847CBD" w:rsidRDefault="00847CBD" w:rsidP="00C4632F">
            <w:pPr>
              <w:tabs>
                <w:tab w:val="left" w:pos="288"/>
                <w:tab w:val="left" w:pos="576"/>
                <w:tab w:val="left" w:pos="864"/>
                <w:tab w:val="left" w:pos="1152"/>
              </w:tabs>
              <w:spacing w:before="20" w:after="100"/>
              <w:ind w:right="173"/>
              <w:jc w:val="both"/>
              <w:rPr>
                <w:lang w:val="fr-FR"/>
              </w:rPr>
            </w:pPr>
            <w:r>
              <w:rPr>
                <w:lang w:val="fr-FR"/>
              </w:rPr>
              <w:t>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ONU (Accord de 1958)</w:t>
            </w:r>
          </w:p>
        </w:tc>
      </w:tr>
      <w:tr w:rsidR="00847CBD" w14:paraId="1B49F4D4" w14:textId="77777777" w:rsidTr="00C06975">
        <w:tc>
          <w:tcPr>
            <w:tcW w:w="3402" w:type="dxa"/>
            <w:hideMark/>
          </w:tcPr>
          <w:p w14:paraId="72FFAAAC" w14:textId="1732B0AD" w:rsidR="00847CBD" w:rsidRPr="00A664E6" w:rsidRDefault="00465B39" w:rsidP="00C4632F">
            <w:pPr>
              <w:tabs>
                <w:tab w:val="left" w:pos="288"/>
                <w:tab w:val="left" w:pos="576"/>
                <w:tab w:val="left" w:pos="864"/>
                <w:tab w:val="left" w:pos="1152"/>
              </w:tabs>
              <w:spacing w:before="40" w:after="120"/>
              <w:ind w:right="40"/>
              <w:jc w:val="both"/>
              <w:rPr>
                <w:lang w:val="fr-FR"/>
              </w:rPr>
            </w:pPr>
            <w:hyperlink r:id="rId34" w:history="1">
              <w:r w:rsidR="00847CBD" w:rsidRPr="00683454">
                <w:rPr>
                  <w:rStyle w:val="Hyperlink"/>
                  <w:lang w:val="fr-FR"/>
                </w:rPr>
                <w:t>ECE/RCTE/CONF/4</w:t>
              </w:r>
            </w:hyperlink>
          </w:p>
        </w:tc>
        <w:tc>
          <w:tcPr>
            <w:tcW w:w="5102" w:type="dxa"/>
            <w:hideMark/>
          </w:tcPr>
          <w:p w14:paraId="55438B75"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 xml:space="preserve">Accord concernant l’adoption de conditions uniformes applicables au contrôle technique périodique des véhicules à roues et la reconnaissance réciproque des contrôles (Accord de 1997) </w:t>
            </w:r>
          </w:p>
        </w:tc>
      </w:tr>
      <w:tr w:rsidR="00847CBD" w14:paraId="4BB4D71D" w14:textId="77777777" w:rsidTr="00C06975">
        <w:tc>
          <w:tcPr>
            <w:tcW w:w="3402" w:type="dxa"/>
            <w:hideMark/>
          </w:tcPr>
          <w:p w14:paraId="7F421D03" w14:textId="0EB089F5" w:rsidR="00847CBD" w:rsidRPr="00A664E6" w:rsidRDefault="00465B39" w:rsidP="00C4632F">
            <w:pPr>
              <w:tabs>
                <w:tab w:val="left" w:pos="288"/>
                <w:tab w:val="left" w:pos="576"/>
                <w:tab w:val="left" w:pos="864"/>
                <w:tab w:val="left" w:pos="1152"/>
              </w:tabs>
              <w:spacing w:before="40" w:after="120"/>
              <w:ind w:right="40"/>
              <w:jc w:val="both"/>
              <w:rPr>
                <w:lang w:val="fr-FR"/>
              </w:rPr>
            </w:pPr>
            <w:hyperlink r:id="rId35" w:history="1">
              <w:r w:rsidR="00847CBD" w:rsidRPr="00D37A01">
                <w:rPr>
                  <w:rStyle w:val="Hyperlink"/>
                  <w:lang w:val="fr-FR"/>
                </w:rPr>
                <w:t>ECE/TRANS/132</w:t>
              </w:r>
            </w:hyperlink>
          </w:p>
        </w:tc>
        <w:tc>
          <w:tcPr>
            <w:tcW w:w="5102" w:type="dxa"/>
            <w:hideMark/>
          </w:tcPr>
          <w:p w14:paraId="265FFE8B"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Accord concernant l’établissement de Règlements techniques mondiaux applicables aux véhicules à roues, ainsi qu’aux équipements et pièces qui peuvent être montés et/ou utilisés sur les véhicules à roues (Accord de 1998)</w:t>
            </w:r>
          </w:p>
        </w:tc>
      </w:tr>
      <w:tr w:rsidR="00847CBD" w14:paraId="14390247" w14:textId="77777777" w:rsidTr="00C06975">
        <w:tc>
          <w:tcPr>
            <w:tcW w:w="3402" w:type="dxa"/>
            <w:hideMark/>
          </w:tcPr>
          <w:p w14:paraId="73AD4B59" w14:textId="688EFC55" w:rsidR="00847CBD" w:rsidRPr="00A664E6" w:rsidRDefault="00465B39" w:rsidP="00C4632F">
            <w:pPr>
              <w:tabs>
                <w:tab w:val="left" w:pos="288"/>
                <w:tab w:val="left" w:pos="576"/>
                <w:tab w:val="left" w:pos="864"/>
                <w:tab w:val="left" w:pos="1152"/>
              </w:tabs>
              <w:spacing w:before="40" w:after="120"/>
              <w:ind w:right="40"/>
              <w:rPr>
                <w:lang w:val="fr-FR"/>
              </w:rPr>
            </w:pPr>
            <w:hyperlink r:id="rId36" w:history="1">
              <w:r w:rsidR="00847CBD" w:rsidRPr="00582A7E">
                <w:rPr>
                  <w:rStyle w:val="Hyperlink"/>
                  <w:lang w:val="fr-FR"/>
                </w:rPr>
                <w:t>ECE/TRANS/ADN/CONF/10/Add.1</w:t>
              </w:r>
            </w:hyperlink>
            <w:r w:rsidR="00847CBD" w:rsidRPr="00582A7E">
              <w:rPr>
                <w:lang w:val="fr-FR"/>
              </w:rPr>
              <w:t xml:space="preserve"> </w:t>
            </w:r>
            <w:r w:rsidR="00847CBD" w:rsidRPr="00582A7E">
              <w:rPr>
                <w:lang w:val="fr-FR"/>
              </w:rPr>
              <w:br/>
              <w:t xml:space="preserve">et </w:t>
            </w:r>
            <w:hyperlink r:id="rId37" w:history="1">
              <w:r w:rsidR="00847CBD" w:rsidRPr="00F31EEC">
                <w:rPr>
                  <w:rStyle w:val="Hyperlink"/>
                  <w:lang w:val="fr-FR"/>
                </w:rPr>
                <w:t>Corr.1</w:t>
              </w:r>
            </w:hyperlink>
          </w:p>
        </w:tc>
        <w:tc>
          <w:tcPr>
            <w:tcW w:w="5102" w:type="dxa"/>
            <w:hideMark/>
          </w:tcPr>
          <w:p w14:paraId="5A30910A"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 xml:space="preserve">Accord européen relatif au transport international des marchandises dangereuses par voies de navigation intérieures </w:t>
            </w:r>
          </w:p>
        </w:tc>
      </w:tr>
      <w:tr w:rsidR="00847CBD" w14:paraId="1162589D" w14:textId="77777777" w:rsidTr="00C06975">
        <w:tc>
          <w:tcPr>
            <w:tcW w:w="3402" w:type="dxa"/>
            <w:hideMark/>
          </w:tcPr>
          <w:p w14:paraId="6A1928DE" w14:textId="507343FC" w:rsidR="00847CBD" w:rsidRPr="00A664E6" w:rsidRDefault="00465B39" w:rsidP="00C4632F">
            <w:pPr>
              <w:tabs>
                <w:tab w:val="left" w:pos="288"/>
                <w:tab w:val="left" w:pos="576"/>
                <w:tab w:val="left" w:pos="864"/>
                <w:tab w:val="left" w:pos="1152"/>
              </w:tabs>
              <w:spacing w:before="40" w:after="120"/>
              <w:ind w:right="40"/>
              <w:jc w:val="both"/>
              <w:rPr>
                <w:lang w:val="fr-FR"/>
              </w:rPr>
            </w:pPr>
            <w:hyperlink r:id="rId38" w:history="1">
              <w:r w:rsidR="00847CBD" w:rsidRPr="008369D4">
                <w:rPr>
                  <w:rStyle w:val="Hyperlink"/>
                  <w:lang w:val="fr-FR"/>
                </w:rPr>
                <w:t>ECE/TRANS/WP.30/AC.2/125</w:t>
              </w:r>
            </w:hyperlink>
          </w:p>
        </w:tc>
        <w:tc>
          <w:tcPr>
            <w:tcW w:w="5102" w:type="dxa"/>
            <w:hideMark/>
          </w:tcPr>
          <w:p w14:paraId="6241CD00" w14:textId="77777777" w:rsidR="00847CBD" w:rsidRDefault="00847CBD" w:rsidP="00C4632F">
            <w:pPr>
              <w:tabs>
                <w:tab w:val="left" w:pos="288"/>
                <w:tab w:val="left" w:pos="576"/>
                <w:tab w:val="left" w:pos="864"/>
                <w:tab w:val="left" w:pos="1152"/>
              </w:tabs>
              <w:spacing w:before="40" w:after="120"/>
              <w:ind w:right="173"/>
              <w:jc w:val="both"/>
              <w:rPr>
                <w:lang w:val="fr-FR"/>
              </w:rPr>
            </w:pPr>
            <w:r>
              <w:rPr>
                <w:lang w:val="fr-FR"/>
              </w:rPr>
              <w:t>Rapport du Comité de gestion de la Convention TIR de 1975 sur sa soixante et unième session (annexe II, « Déclaration commune sur l’informatisation du régime TIR »)</w:t>
            </w:r>
          </w:p>
        </w:tc>
      </w:tr>
    </w:tbl>
    <w:p w14:paraId="04EE29D3" w14:textId="77777777" w:rsidR="00847CBD" w:rsidRDefault="00847CBD" w:rsidP="00847CBD">
      <w:pPr>
        <w:pStyle w:val="HChG"/>
        <w:rPr>
          <w:lang w:val="fr-FR"/>
        </w:rPr>
      </w:pPr>
      <w:r>
        <w:rPr>
          <w:lang w:val="fr-FR"/>
        </w:rPr>
        <w:tab/>
        <w:t>VII.</w:t>
      </w:r>
      <w:r>
        <w:rPr>
          <w:lang w:val="fr-FR"/>
        </w:rPr>
        <w:tab/>
        <w:t xml:space="preserve">Produits </w:t>
      </w:r>
    </w:p>
    <w:p w14:paraId="3FC72C44" w14:textId="77777777" w:rsidR="00847CBD" w:rsidRDefault="00847CBD" w:rsidP="00847CBD">
      <w:pPr>
        <w:pStyle w:val="SingleTxtG"/>
        <w:rPr>
          <w:rFonts w:ascii="Segoe UI" w:hAnsi="Segoe UI" w:cs="Segoe UI"/>
          <w:sz w:val="18"/>
          <w:szCs w:val="18"/>
          <w:lang w:val="fr-FR"/>
        </w:rPr>
      </w:pPr>
      <w:r>
        <w:rPr>
          <w:lang w:val="fr-FR"/>
        </w:rPr>
        <w:t>15.</w:t>
      </w:r>
      <w:r>
        <w:rPr>
          <w:lang w:val="fr-FR"/>
        </w:rPr>
        <w:tab/>
        <w:t xml:space="preserve">Les mandats constituent le cadre législatif pour les produits du sous-programme. Le tableau 20.1 énumère tous les éléments à livrer pour la période 2019-2021, par catégorie et sous-catégorie, qui ont contribué à la réalisation de l’objectif énoncé ci-dessus et devraient continuer à le faire. </w:t>
      </w:r>
    </w:p>
    <w:p w14:paraId="56F9F169" w14:textId="77777777" w:rsidR="00847CBD" w:rsidRPr="00787900" w:rsidRDefault="00847CBD" w:rsidP="00787900">
      <w:pPr>
        <w:pStyle w:val="Heading1"/>
        <w:spacing w:after="120"/>
        <w:ind w:left="0"/>
        <w:rPr>
          <w:b/>
          <w:bCs/>
          <w:lang w:val="fr-FR"/>
        </w:rPr>
      </w:pPr>
      <w:r>
        <w:rPr>
          <w:lang w:val="fr-FR"/>
        </w:rPr>
        <w:t>Tableau 20.1</w:t>
      </w:r>
      <w:r>
        <w:rPr>
          <w:lang w:val="fr-FR"/>
        </w:rPr>
        <w:br/>
      </w:r>
      <w:r>
        <w:rPr>
          <w:b/>
          <w:bCs/>
          <w:lang w:val="fr-FR"/>
        </w:rPr>
        <w:t>Sous-programme 2 : résultats obtenus pour la période 2019-2021, par catégorie et sous-catégorie</w:t>
      </w:r>
    </w:p>
    <w:tbl>
      <w:tblPr>
        <w:tblW w:w="9638" w:type="dxa"/>
        <w:tblLayout w:type="fixed"/>
        <w:tblCellMar>
          <w:left w:w="0" w:type="dxa"/>
          <w:right w:w="0" w:type="dxa"/>
        </w:tblCellMar>
        <w:tblLook w:val="04A0" w:firstRow="1" w:lastRow="0" w:firstColumn="1" w:lastColumn="0" w:noHBand="0" w:noVBand="1"/>
      </w:tblPr>
      <w:tblGrid>
        <w:gridCol w:w="6327"/>
        <w:gridCol w:w="826"/>
        <w:gridCol w:w="853"/>
        <w:gridCol w:w="815"/>
        <w:gridCol w:w="817"/>
      </w:tblGrid>
      <w:tr w:rsidR="00847CBD" w:rsidRPr="00597E1E" w14:paraId="64E9F043" w14:textId="77777777" w:rsidTr="00C4632F">
        <w:trPr>
          <w:tblHeader/>
        </w:trPr>
        <w:tc>
          <w:tcPr>
            <w:tcW w:w="6327" w:type="dxa"/>
            <w:tcBorders>
              <w:top w:val="single" w:sz="4" w:space="0" w:color="auto"/>
              <w:bottom w:val="single" w:sz="12" w:space="0" w:color="auto"/>
            </w:tcBorders>
            <w:shd w:val="clear" w:color="auto" w:fill="auto"/>
            <w:vAlign w:val="bottom"/>
            <w:hideMark/>
          </w:tcPr>
          <w:p w14:paraId="4DAF38A3" w14:textId="77777777" w:rsidR="00847CBD" w:rsidRPr="00597E1E" w:rsidRDefault="00847CBD" w:rsidP="00C4632F">
            <w:pPr>
              <w:suppressAutoHyphens w:val="0"/>
              <w:spacing w:before="80" w:after="80" w:line="200" w:lineRule="exact"/>
              <w:rPr>
                <w:rFonts w:eastAsia="Calibri"/>
                <w:i/>
                <w:sz w:val="16"/>
                <w:szCs w:val="22"/>
                <w:lang w:val="fr-FR"/>
              </w:rPr>
            </w:pPr>
            <w:r w:rsidRPr="00597E1E">
              <w:rPr>
                <w:i/>
                <w:sz w:val="16"/>
                <w:lang w:val="fr-FR"/>
              </w:rPr>
              <w:t>Produits</w:t>
            </w:r>
          </w:p>
        </w:tc>
        <w:tc>
          <w:tcPr>
            <w:tcW w:w="826" w:type="dxa"/>
            <w:tcBorders>
              <w:top w:val="single" w:sz="4" w:space="0" w:color="auto"/>
              <w:bottom w:val="single" w:sz="12" w:space="0" w:color="auto"/>
            </w:tcBorders>
            <w:shd w:val="clear" w:color="auto" w:fill="auto"/>
            <w:vAlign w:val="bottom"/>
            <w:hideMark/>
          </w:tcPr>
          <w:p w14:paraId="561CA9D8" w14:textId="77777777" w:rsidR="00847CBD" w:rsidRPr="00597E1E" w:rsidRDefault="00847CBD" w:rsidP="00C4632F">
            <w:pPr>
              <w:suppressAutoHyphens w:val="0"/>
              <w:spacing w:before="80" w:after="80" w:line="200" w:lineRule="exact"/>
              <w:jc w:val="right"/>
              <w:rPr>
                <w:rFonts w:eastAsia="Calibri"/>
                <w:i/>
                <w:sz w:val="16"/>
                <w:szCs w:val="22"/>
                <w:lang w:val="fr-FR"/>
              </w:rPr>
            </w:pPr>
            <w:r w:rsidRPr="00597E1E">
              <w:rPr>
                <w:i/>
                <w:sz w:val="16"/>
                <w:lang w:val="fr-FR"/>
              </w:rPr>
              <w:t>2019 (prévisions)</w:t>
            </w:r>
          </w:p>
        </w:tc>
        <w:tc>
          <w:tcPr>
            <w:tcW w:w="853" w:type="dxa"/>
            <w:tcBorders>
              <w:top w:val="single" w:sz="4" w:space="0" w:color="auto"/>
              <w:bottom w:val="single" w:sz="12" w:space="0" w:color="auto"/>
            </w:tcBorders>
            <w:shd w:val="clear" w:color="auto" w:fill="auto"/>
            <w:vAlign w:val="bottom"/>
            <w:hideMark/>
          </w:tcPr>
          <w:p w14:paraId="24AC9B23" w14:textId="77777777" w:rsidR="00847CBD" w:rsidRPr="00597E1E" w:rsidRDefault="00847CBD" w:rsidP="00C4632F">
            <w:pPr>
              <w:suppressAutoHyphens w:val="0"/>
              <w:spacing w:before="80" w:after="80" w:line="200" w:lineRule="exact"/>
              <w:jc w:val="right"/>
              <w:rPr>
                <w:rFonts w:eastAsia="Calibri"/>
                <w:i/>
                <w:sz w:val="16"/>
                <w:szCs w:val="22"/>
                <w:lang w:val="fr-FR"/>
              </w:rPr>
            </w:pPr>
            <w:r w:rsidRPr="00597E1E">
              <w:rPr>
                <w:i/>
                <w:sz w:val="16"/>
                <w:lang w:val="fr-FR"/>
              </w:rPr>
              <w:t>2019 (montants effectifs)</w:t>
            </w:r>
          </w:p>
        </w:tc>
        <w:tc>
          <w:tcPr>
            <w:tcW w:w="815" w:type="dxa"/>
            <w:tcBorders>
              <w:top w:val="single" w:sz="4" w:space="0" w:color="auto"/>
              <w:bottom w:val="single" w:sz="12" w:space="0" w:color="auto"/>
            </w:tcBorders>
            <w:shd w:val="clear" w:color="auto" w:fill="auto"/>
            <w:vAlign w:val="bottom"/>
            <w:hideMark/>
          </w:tcPr>
          <w:p w14:paraId="0CC85520" w14:textId="77777777" w:rsidR="00847CBD" w:rsidRPr="00597E1E" w:rsidRDefault="00847CBD" w:rsidP="00C4632F">
            <w:pPr>
              <w:suppressAutoHyphens w:val="0"/>
              <w:spacing w:before="80" w:after="80" w:line="200" w:lineRule="exact"/>
              <w:jc w:val="right"/>
              <w:rPr>
                <w:rFonts w:eastAsia="Calibri"/>
                <w:i/>
                <w:sz w:val="16"/>
                <w:szCs w:val="22"/>
                <w:lang w:val="fr-FR"/>
              </w:rPr>
            </w:pPr>
            <w:r w:rsidRPr="00597E1E">
              <w:rPr>
                <w:i/>
                <w:sz w:val="16"/>
                <w:lang w:val="fr-FR"/>
              </w:rPr>
              <w:t>2020 (prévisions)</w:t>
            </w:r>
          </w:p>
        </w:tc>
        <w:tc>
          <w:tcPr>
            <w:tcW w:w="817" w:type="dxa"/>
            <w:tcBorders>
              <w:top w:val="single" w:sz="4" w:space="0" w:color="auto"/>
              <w:bottom w:val="single" w:sz="12" w:space="0" w:color="auto"/>
            </w:tcBorders>
            <w:shd w:val="clear" w:color="auto" w:fill="auto"/>
            <w:vAlign w:val="bottom"/>
            <w:hideMark/>
          </w:tcPr>
          <w:p w14:paraId="7C766412" w14:textId="77777777" w:rsidR="00847CBD" w:rsidRPr="00597E1E" w:rsidRDefault="00847CBD" w:rsidP="00C4632F">
            <w:pPr>
              <w:suppressAutoHyphens w:val="0"/>
              <w:spacing w:before="80" w:after="80" w:line="200" w:lineRule="exact"/>
              <w:jc w:val="right"/>
              <w:rPr>
                <w:rFonts w:eastAsia="Calibri"/>
                <w:i/>
                <w:sz w:val="16"/>
                <w:szCs w:val="22"/>
                <w:lang w:val="fr-FR"/>
              </w:rPr>
            </w:pPr>
            <w:r w:rsidRPr="00597E1E">
              <w:rPr>
                <w:i/>
                <w:sz w:val="16"/>
                <w:lang w:val="fr-FR"/>
              </w:rPr>
              <w:t>2021 (prévisions)</w:t>
            </w:r>
          </w:p>
        </w:tc>
      </w:tr>
      <w:tr w:rsidR="00847CBD" w:rsidRPr="00597E1E" w14:paraId="5BCEE6B9" w14:textId="77777777" w:rsidTr="00C4632F">
        <w:tc>
          <w:tcPr>
            <w:tcW w:w="9637" w:type="dxa"/>
            <w:gridSpan w:val="5"/>
            <w:tcBorders>
              <w:top w:val="single" w:sz="12" w:space="0" w:color="auto"/>
            </w:tcBorders>
            <w:shd w:val="clear" w:color="auto" w:fill="auto"/>
            <w:hideMark/>
          </w:tcPr>
          <w:p w14:paraId="7DB31F91" w14:textId="77777777" w:rsidR="00847CBD" w:rsidRPr="00597E1E" w:rsidRDefault="00847CBD" w:rsidP="00C4632F">
            <w:pPr>
              <w:suppressAutoHyphens w:val="0"/>
              <w:spacing w:before="40" w:after="40" w:line="220" w:lineRule="exact"/>
              <w:rPr>
                <w:rFonts w:eastAsia="Calibri"/>
                <w:b/>
                <w:sz w:val="18"/>
                <w:szCs w:val="22"/>
                <w:lang w:val="fr-FR" w:eastAsia="zh-CN"/>
              </w:rPr>
            </w:pPr>
            <w:r w:rsidRPr="00597E1E">
              <w:rPr>
                <w:b/>
                <w:bCs/>
                <w:sz w:val="18"/>
                <w:lang w:val="fr-FR"/>
              </w:rPr>
              <w:t>Éléments à livrer quantifiés</w:t>
            </w:r>
          </w:p>
        </w:tc>
      </w:tr>
      <w:tr w:rsidR="00847CBD" w:rsidRPr="00597E1E" w14:paraId="723CA331" w14:textId="77777777" w:rsidTr="00C4632F">
        <w:tc>
          <w:tcPr>
            <w:tcW w:w="6327" w:type="dxa"/>
            <w:shd w:val="clear" w:color="auto" w:fill="auto"/>
          </w:tcPr>
          <w:p w14:paraId="2B763A86" w14:textId="77777777" w:rsidR="00847CBD" w:rsidRPr="00597E1E" w:rsidRDefault="00847CBD" w:rsidP="00C4632F">
            <w:pPr>
              <w:suppressAutoHyphens w:val="0"/>
              <w:spacing w:before="40" w:after="40" w:line="220" w:lineRule="exact"/>
              <w:ind w:left="567" w:hanging="567"/>
              <w:rPr>
                <w:b/>
                <w:bCs/>
                <w:sz w:val="18"/>
                <w:lang w:val="fr-FR"/>
              </w:rPr>
            </w:pPr>
            <w:r w:rsidRPr="00597E1E">
              <w:rPr>
                <w:b/>
                <w:bCs/>
                <w:sz w:val="18"/>
                <w:lang w:val="fr-FR"/>
              </w:rPr>
              <w:t>A.</w:t>
            </w:r>
            <w:r w:rsidRPr="00597E1E">
              <w:rPr>
                <w:sz w:val="18"/>
                <w:lang w:val="fr-FR"/>
              </w:rPr>
              <w:tab/>
            </w:r>
            <w:r w:rsidRPr="00597E1E">
              <w:rPr>
                <w:b/>
                <w:bCs/>
                <w:sz w:val="18"/>
                <w:lang w:val="fr-FR"/>
              </w:rPr>
              <w:t>Facilitation du processus intergouvernemental et des travaux d’organes d’experts</w:t>
            </w:r>
            <w:r>
              <w:rPr>
                <w:b/>
                <w:bCs/>
                <w:sz w:val="18"/>
                <w:lang w:val="fr-FR"/>
              </w:rPr>
              <w:t> :</w:t>
            </w:r>
          </w:p>
        </w:tc>
        <w:tc>
          <w:tcPr>
            <w:tcW w:w="826" w:type="dxa"/>
            <w:shd w:val="clear" w:color="auto" w:fill="auto"/>
            <w:vAlign w:val="bottom"/>
          </w:tcPr>
          <w:p w14:paraId="71AFEF0F" w14:textId="77777777" w:rsidR="00847CBD" w:rsidRPr="00597E1E" w:rsidRDefault="00847CBD" w:rsidP="00C4632F">
            <w:pPr>
              <w:suppressAutoHyphens w:val="0"/>
              <w:spacing w:before="40" w:after="40" w:line="220" w:lineRule="exact"/>
              <w:jc w:val="right"/>
              <w:rPr>
                <w:rFonts w:eastAsia="Calibri"/>
                <w:b/>
                <w:sz w:val="18"/>
                <w:szCs w:val="22"/>
                <w:lang w:val="fr-FR" w:eastAsia="zh-CN"/>
              </w:rPr>
            </w:pPr>
          </w:p>
        </w:tc>
        <w:tc>
          <w:tcPr>
            <w:tcW w:w="853" w:type="dxa"/>
            <w:shd w:val="clear" w:color="auto" w:fill="auto"/>
            <w:vAlign w:val="bottom"/>
          </w:tcPr>
          <w:p w14:paraId="0572FE20" w14:textId="77777777" w:rsidR="00847CBD" w:rsidRPr="00597E1E" w:rsidRDefault="00847CBD" w:rsidP="00C4632F">
            <w:pPr>
              <w:suppressAutoHyphens w:val="0"/>
              <w:spacing w:before="40" w:after="40" w:line="220" w:lineRule="exact"/>
              <w:jc w:val="right"/>
              <w:rPr>
                <w:rFonts w:eastAsia="Calibri"/>
                <w:b/>
                <w:sz w:val="18"/>
                <w:szCs w:val="22"/>
                <w:lang w:val="fr-FR" w:eastAsia="zh-CN"/>
              </w:rPr>
            </w:pPr>
          </w:p>
        </w:tc>
        <w:tc>
          <w:tcPr>
            <w:tcW w:w="815" w:type="dxa"/>
            <w:shd w:val="clear" w:color="auto" w:fill="auto"/>
            <w:vAlign w:val="bottom"/>
          </w:tcPr>
          <w:p w14:paraId="278BC5DA" w14:textId="77777777" w:rsidR="00847CBD" w:rsidRPr="00597E1E" w:rsidRDefault="00847CBD" w:rsidP="00C4632F">
            <w:pPr>
              <w:suppressAutoHyphens w:val="0"/>
              <w:spacing w:before="40" w:after="40" w:line="220" w:lineRule="exact"/>
              <w:jc w:val="right"/>
              <w:rPr>
                <w:rFonts w:eastAsia="Calibri"/>
                <w:b/>
                <w:sz w:val="18"/>
                <w:szCs w:val="22"/>
                <w:lang w:val="fr-FR" w:eastAsia="zh-CN"/>
              </w:rPr>
            </w:pPr>
          </w:p>
        </w:tc>
        <w:tc>
          <w:tcPr>
            <w:tcW w:w="817" w:type="dxa"/>
            <w:shd w:val="clear" w:color="auto" w:fill="auto"/>
            <w:vAlign w:val="bottom"/>
          </w:tcPr>
          <w:p w14:paraId="383206D3" w14:textId="77777777" w:rsidR="00847CBD" w:rsidRPr="00597E1E" w:rsidRDefault="00847CBD" w:rsidP="00C4632F">
            <w:pPr>
              <w:suppressAutoHyphens w:val="0"/>
              <w:spacing w:before="40" w:after="40" w:line="220" w:lineRule="exact"/>
              <w:jc w:val="right"/>
              <w:rPr>
                <w:rFonts w:eastAsia="Calibri"/>
                <w:b/>
                <w:sz w:val="18"/>
                <w:szCs w:val="22"/>
                <w:lang w:val="fr-FR" w:eastAsia="zh-CN"/>
              </w:rPr>
            </w:pPr>
          </w:p>
        </w:tc>
      </w:tr>
      <w:tr w:rsidR="00847CBD" w:rsidRPr="00597E1E" w14:paraId="682C527D" w14:textId="77777777" w:rsidTr="00C4632F">
        <w:tc>
          <w:tcPr>
            <w:tcW w:w="6327" w:type="dxa"/>
            <w:shd w:val="clear" w:color="auto" w:fill="auto"/>
            <w:hideMark/>
          </w:tcPr>
          <w:p w14:paraId="1B4D8723" w14:textId="77777777" w:rsidR="00847CBD" w:rsidRPr="00597E1E" w:rsidRDefault="00847CBD" w:rsidP="00C4632F">
            <w:pPr>
              <w:suppressAutoHyphens w:val="0"/>
              <w:spacing w:before="40" w:after="40" w:line="220" w:lineRule="exact"/>
              <w:ind w:left="567"/>
              <w:rPr>
                <w:rFonts w:eastAsia="Calibri"/>
                <w:strike/>
                <w:sz w:val="18"/>
                <w:szCs w:val="22"/>
                <w:lang w:val="fr-FR"/>
              </w:rPr>
            </w:pPr>
            <w:r w:rsidRPr="00597E1E">
              <w:rPr>
                <w:b/>
                <w:bCs/>
                <w:sz w:val="18"/>
                <w:lang w:val="fr-FR"/>
              </w:rPr>
              <w:t>Documentation destinée aux organes délibérants</w:t>
            </w:r>
          </w:p>
        </w:tc>
        <w:tc>
          <w:tcPr>
            <w:tcW w:w="826" w:type="dxa"/>
            <w:shd w:val="clear" w:color="auto" w:fill="auto"/>
            <w:vAlign w:val="bottom"/>
            <w:hideMark/>
          </w:tcPr>
          <w:p w14:paraId="084618C5"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1</w:t>
            </w:r>
            <w:r>
              <w:rPr>
                <w:b/>
                <w:bCs/>
                <w:sz w:val="18"/>
                <w:lang w:val="fr-FR"/>
              </w:rPr>
              <w:t xml:space="preserve"> </w:t>
            </w:r>
            <w:r w:rsidRPr="00597E1E">
              <w:rPr>
                <w:b/>
                <w:bCs/>
                <w:sz w:val="18"/>
                <w:lang w:val="fr-FR"/>
              </w:rPr>
              <w:t>515</w:t>
            </w:r>
          </w:p>
        </w:tc>
        <w:tc>
          <w:tcPr>
            <w:tcW w:w="853" w:type="dxa"/>
            <w:shd w:val="clear" w:color="auto" w:fill="auto"/>
            <w:vAlign w:val="bottom"/>
            <w:hideMark/>
          </w:tcPr>
          <w:p w14:paraId="0430E2E2"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1</w:t>
            </w:r>
            <w:r>
              <w:rPr>
                <w:b/>
                <w:bCs/>
                <w:sz w:val="18"/>
                <w:lang w:val="fr-FR"/>
              </w:rPr>
              <w:t xml:space="preserve"> </w:t>
            </w:r>
            <w:r w:rsidRPr="00597E1E">
              <w:rPr>
                <w:b/>
                <w:bCs/>
                <w:sz w:val="18"/>
                <w:lang w:val="fr-FR"/>
              </w:rPr>
              <w:t>507</w:t>
            </w:r>
          </w:p>
        </w:tc>
        <w:tc>
          <w:tcPr>
            <w:tcW w:w="815" w:type="dxa"/>
            <w:shd w:val="clear" w:color="auto" w:fill="auto"/>
            <w:vAlign w:val="bottom"/>
            <w:hideMark/>
          </w:tcPr>
          <w:p w14:paraId="627CBD1C"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1</w:t>
            </w:r>
            <w:r>
              <w:rPr>
                <w:b/>
                <w:bCs/>
                <w:sz w:val="18"/>
                <w:lang w:val="fr-FR"/>
              </w:rPr>
              <w:t xml:space="preserve"> </w:t>
            </w:r>
            <w:r w:rsidRPr="00597E1E">
              <w:rPr>
                <w:b/>
                <w:bCs/>
                <w:sz w:val="18"/>
                <w:lang w:val="fr-FR"/>
              </w:rPr>
              <w:t>660</w:t>
            </w:r>
          </w:p>
        </w:tc>
        <w:tc>
          <w:tcPr>
            <w:tcW w:w="817" w:type="dxa"/>
            <w:shd w:val="clear" w:color="auto" w:fill="auto"/>
            <w:vAlign w:val="bottom"/>
            <w:hideMark/>
          </w:tcPr>
          <w:p w14:paraId="666FC02C"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1</w:t>
            </w:r>
            <w:r>
              <w:rPr>
                <w:b/>
                <w:bCs/>
                <w:sz w:val="18"/>
                <w:lang w:val="fr-FR"/>
              </w:rPr>
              <w:t xml:space="preserve"> </w:t>
            </w:r>
            <w:r w:rsidR="00787900">
              <w:rPr>
                <w:b/>
                <w:bCs/>
                <w:sz w:val="18"/>
                <w:lang w:val="fr-FR"/>
              </w:rPr>
              <w:t>24</w:t>
            </w:r>
            <w:r w:rsidRPr="00597E1E">
              <w:rPr>
                <w:b/>
                <w:bCs/>
                <w:sz w:val="18"/>
                <w:lang w:val="fr-FR"/>
              </w:rPr>
              <w:t>4</w:t>
            </w:r>
          </w:p>
        </w:tc>
      </w:tr>
      <w:tr w:rsidR="00847CBD" w:rsidRPr="00597E1E" w14:paraId="66987910" w14:textId="77777777" w:rsidTr="00C4632F">
        <w:tc>
          <w:tcPr>
            <w:tcW w:w="6327" w:type="dxa"/>
            <w:shd w:val="clear" w:color="auto" w:fill="auto"/>
            <w:hideMark/>
          </w:tcPr>
          <w:p w14:paraId="076584F1" w14:textId="77777777" w:rsidR="00847CBD" w:rsidRPr="00597E1E" w:rsidRDefault="00847CBD" w:rsidP="00C4632F">
            <w:pPr>
              <w:suppressAutoHyphens w:val="0"/>
              <w:spacing w:before="40" w:after="40" w:line="220" w:lineRule="exact"/>
              <w:rPr>
                <w:rFonts w:eastAsia="Calibri"/>
                <w:b/>
                <w:bCs/>
                <w:sz w:val="18"/>
                <w:szCs w:val="22"/>
                <w:lang w:val="fr-FR"/>
              </w:rPr>
            </w:pPr>
            <w:r w:rsidRPr="00597E1E">
              <w:rPr>
                <w:sz w:val="18"/>
                <w:lang w:val="fr-FR"/>
              </w:rPr>
              <w:t>1.</w:t>
            </w:r>
            <w:r w:rsidRPr="00597E1E">
              <w:rPr>
                <w:sz w:val="18"/>
                <w:lang w:val="fr-FR"/>
              </w:rPr>
              <w:tab/>
            </w:r>
            <w:r w:rsidRPr="00597E1E">
              <w:rPr>
                <w:b/>
                <w:bCs/>
                <w:sz w:val="18"/>
                <w:lang w:val="fr-FR"/>
              </w:rPr>
              <w:t>Documentation destinée au Comité des transports intérieurs</w:t>
            </w:r>
            <w:r w:rsidRPr="00597E1E">
              <w:rPr>
                <w:sz w:val="18"/>
                <w:lang w:val="fr-FR"/>
              </w:rPr>
              <w:t xml:space="preserve"> </w:t>
            </w:r>
          </w:p>
        </w:tc>
        <w:tc>
          <w:tcPr>
            <w:tcW w:w="826" w:type="dxa"/>
            <w:shd w:val="clear" w:color="auto" w:fill="auto"/>
            <w:vAlign w:val="bottom"/>
            <w:hideMark/>
          </w:tcPr>
          <w:p w14:paraId="5CA9CADF"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w:t>
            </w:r>
            <w:r>
              <w:rPr>
                <w:b/>
                <w:bCs/>
                <w:sz w:val="18"/>
                <w:lang w:val="fr-FR"/>
              </w:rPr>
              <w:t xml:space="preserve"> </w:t>
            </w:r>
            <w:r w:rsidRPr="00597E1E">
              <w:rPr>
                <w:b/>
                <w:bCs/>
                <w:sz w:val="18"/>
                <w:lang w:val="fr-FR"/>
              </w:rPr>
              <w:t>320</w:t>
            </w:r>
          </w:p>
        </w:tc>
        <w:tc>
          <w:tcPr>
            <w:tcW w:w="853" w:type="dxa"/>
            <w:shd w:val="clear" w:color="auto" w:fill="auto"/>
            <w:vAlign w:val="bottom"/>
            <w:hideMark/>
          </w:tcPr>
          <w:p w14:paraId="78D8A520"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w:t>
            </w:r>
            <w:r>
              <w:rPr>
                <w:b/>
                <w:bCs/>
                <w:sz w:val="18"/>
                <w:lang w:val="fr-FR"/>
              </w:rPr>
              <w:t xml:space="preserve"> </w:t>
            </w:r>
            <w:r w:rsidRPr="00597E1E">
              <w:rPr>
                <w:b/>
                <w:bCs/>
                <w:sz w:val="18"/>
                <w:lang w:val="fr-FR"/>
              </w:rPr>
              <w:t>312</w:t>
            </w:r>
          </w:p>
        </w:tc>
        <w:tc>
          <w:tcPr>
            <w:tcW w:w="815" w:type="dxa"/>
            <w:shd w:val="clear" w:color="auto" w:fill="auto"/>
            <w:vAlign w:val="bottom"/>
            <w:hideMark/>
          </w:tcPr>
          <w:p w14:paraId="2A43ADD8"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w:t>
            </w:r>
            <w:r>
              <w:rPr>
                <w:b/>
                <w:bCs/>
                <w:sz w:val="18"/>
                <w:lang w:val="fr-FR"/>
              </w:rPr>
              <w:t xml:space="preserve"> </w:t>
            </w:r>
            <w:r w:rsidRPr="00597E1E">
              <w:rPr>
                <w:b/>
                <w:bCs/>
                <w:sz w:val="18"/>
                <w:lang w:val="fr-FR"/>
              </w:rPr>
              <w:t>331</w:t>
            </w:r>
          </w:p>
        </w:tc>
        <w:tc>
          <w:tcPr>
            <w:tcW w:w="817" w:type="dxa"/>
            <w:shd w:val="clear" w:color="auto" w:fill="auto"/>
            <w:vAlign w:val="bottom"/>
            <w:hideMark/>
          </w:tcPr>
          <w:p w14:paraId="0170FCA2"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w:t>
            </w:r>
            <w:r>
              <w:rPr>
                <w:b/>
                <w:bCs/>
                <w:sz w:val="18"/>
                <w:lang w:val="fr-FR"/>
              </w:rPr>
              <w:t xml:space="preserve"> </w:t>
            </w:r>
            <w:r w:rsidR="00787900">
              <w:rPr>
                <w:b/>
                <w:bCs/>
                <w:sz w:val="18"/>
                <w:lang w:val="fr-FR"/>
              </w:rPr>
              <w:t>071</w:t>
            </w:r>
          </w:p>
        </w:tc>
      </w:tr>
      <w:tr w:rsidR="00847CBD" w:rsidRPr="00597E1E" w14:paraId="72B93EFF" w14:textId="77777777" w:rsidTr="00C4632F">
        <w:tc>
          <w:tcPr>
            <w:tcW w:w="6327" w:type="dxa"/>
            <w:shd w:val="clear" w:color="auto" w:fill="auto"/>
            <w:hideMark/>
          </w:tcPr>
          <w:p w14:paraId="02694D15" w14:textId="77777777" w:rsidR="00847CBD" w:rsidRPr="003E675C" w:rsidRDefault="00847CBD" w:rsidP="00C4632F">
            <w:pPr>
              <w:suppressAutoHyphens w:val="0"/>
              <w:spacing w:before="40" w:after="40" w:line="220" w:lineRule="exact"/>
              <w:ind w:left="567" w:hanging="567"/>
              <w:rPr>
                <w:sz w:val="18"/>
                <w:lang w:val="fr-FR"/>
              </w:rPr>
            </w:pPr>
            <w:bookmarkStart w:id="2" w:name="_Hlk514851110"/>
            <w:r w:rsidRPr="003E675C">
              <w:rPr>
                <w:sz w:val="18"/>
                <w:lang w:val="fr-FR"/>
              </w:rPr>
              <w:t>a.</w:t>
            </w:r>
            <w:r w:rsidRPr="003E675C">
              <w:rPr>
                <w:sz w:val="18"/>
                <w:lang w:val="fr-FR"/>
              </w:rPr>
              <w:tab/>
              <w:t>Comité des transports intérieurs</w:t>
            </w:r>
          </w:p>
        </w:tc>
        <w:tc>
          <w:tcPr>
            <w:tcW w:w="826" w:type="dxa"/>
            <w:shd w:val="clear" w:color="auto" w:fill="auto"/>
            <w:vAlign w:val="bottom"/>
            <w:hideMark/>
          </w:tcPr>
          <w:p w14:paraId="1CBEDDA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31</w:t>
            </w:r>
          </w:p>
        </w:tc>
        <w:tc>
          <w:tcPr>
            <w:tcW w:w="853" w:type="dxa"/>
            <w:shd w:val="clear" w:color="auto" w:fill="auto"/>
            <w:vAlign w:val="bottom"/>
            <w:hideMark/>
          </w:tcPr>
          <w:p w14:paraId="6149D39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31</w:t>
            </w:r>
          </w:p>
        </w:tc>
        <w:tc>
          <w:tcPr>
            <w:tcW w:w="815" w:type="dxa"/>
            <w:shd w:val="clear" w:color="auto" w:fill="auto"/>
            <w:vAlign w:val="bottom"/>
            <w:hideMark/>
          </w:tcPr>
          <w:p w14:paraId="68463D3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31</w:t>
            </w:r>
          </w:p>
        </w:tc>
        <w:tc>
          <w:tcPr>
            <w:tcW w:w="817" w:type="dxa"/>
            <w:shd w:val="clear" w:color="auto" w:fill="auto"/>
            <w:vAlign w:val="bottom"/>
            <w:hideMark/>
          </w:tcPr>
          <w:p w14:paraId="69A825A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31</w:t>
            </w:r>
          </w:p>
        </w:tc>
        <w:bookmarkEnd w:id="2"/>
      </w:tr>
      <w:tr w:rsidR="00847CBD" w:rsidRPr="00597E1E" w14:paraId="284DEF08" w14:textId="77777777" w:rsidTr="00C4632F">
        <w:tc>
          <w:tcPr>
            <w:tcW w:w="6327" w:type="dxa"/>
            <w:shd w:val="clear" w:color="auto" w:fill="auto"/>
            <w:hideMark/>
          </w:tcPr>
          <w:p w14:paraId="47B2B9D7"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b.</w:t>
            </w:r>
            <w:r w:rsidRPr="003E675C">
              <w:rPr>
                <w:sz w:val="18"/>
                <w:lang w:val="fr-FR"/>
              </w:rPr>
              <w:tab/>
              <w:t>Forum mondial de l’harmonisation des Règlements concernant les véhicules</w:t>
            </w:r>
          </w:p>
        </w:tc>
        <w:tc>
          <w:tcPr>
            <w:tcW w:w="826" w:type="dxa"/>
            <w:shd w:val="clear" w:color="auto" w:fill="auto"/>
            <w:vAlign w:val="bottom"/>
            <w:hideMark/>
          </w:tcPr>
          <w:p w14:paraId="2E905B07"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837</w:t>
            </w:r>
          </w:p>
        </w:tc>
        <w:tc>
          <w:tcPr>
            <w:tcW w:w="853" w:type="dxa"/>
            <w:shd w:val="clear" w:color="auto" w:fill="auto"/>
            <w:vAlign w:val="bottom"/>
            <w:hideMark/>
          </w:tcPr>
          <w:p w14:paraId="7300E0E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837</w:t>
            </w:r>
          </w:p>
        </w:tc>
        <w:tc>
          <w:tcPr>
            <w:tcW w:w="815" w:type="dxa"/>
            <w:shd w:val="clear" w:color="auto" w:fill="auto"/>
            <w:vAlign w:val="bottom"/>
            <w:hideMark/>
          </w:tcPr>
          <w:p w14:paraId="03C1C59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840</w:t>
            </w:r>
          </w:p>
        </w:tc>
        <w:tc>
          <w:tcPr>
            <w:tcW w:w="817" w:type="dxa"/>
            <w:shd w:val="clear" w:color="auto" w:fill="auto"/>
            <w:vAlign w:val="bottom"/>
            <w:hideMark/>
          </w:tcPr>
          <w:p w14:paraId="3BC5A4BE" w14:textId="77777777" w:rsidR="00847CBD" w:rsidRPr="00597E1E" w:rsidRDefault="00787900" w:rsidP="00C4632F">
            <w:pPr>
              <w:suppressAutoHyphens w:val="0"/>
              <w:spacing w:before="40" w:after="40" w:line="220" w:lineRule="exact"/>
              <w:jc w:val="right"/>
              <w:rPr>
                <w:rFonts w:eastAsia="Calibri"/>
                <w:sz w:val="18"/>
                <w:szCs w:val="17"/>
                <w:lang w:val="fr-FR"/>
              </w:rPr>
            </w:pPr>
            <w:r>
              <w:rPr>
                <w:sz w:val="18"/>
                <w:lang w:val="fr-FR"/>
              </w:rPr>
              <w:t>58</w:t>
            </w:r>
            <w:r w:rsidR="00847CBD" w:rsidRPr="00597E1E">
              <w:rPr>
                <w:sz w:val="18"/>
                <w:lang w:val="fr-FR"/>
              </w:rPr>
              <w:t>0</w:t>
            </w:r>
          </w:p>
        </w:tc>
      </w:tr>
      <w:tr w:rsidR="00847CBD" w:rsidRPr="00597E1E" w14:paraId="5F1B10FC" w14:textId="77777777" w:rsidTr="00C4632F">
        <w:tc>
          <w:tcPr>
            <w:tcW w:w="6327" w:type="dxa"/>
            <w:shd w:val="clear" w:color="auto" w:fill="auto"/>
            <w:hideMark/>
          </w:tcPr>
          <w:p w14:paraId="50D7CFDC"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c.</w:t>
            </w:r>
            <w:r w:rsidRPr="003E675C">
              <w:rPr>
                <w:sz w:val="18"/>
                <w:lang w:val="fr-FR"/>
              </w:rPr>
              <w:tab/>
              <w:t>Groupe de travail du transport des denrées périssables</w:t>
            </w:r>
          </w:p>
        </w:tc>
        <w:tc>
          <w:tcPr>
            <w:tcW w:w="826" w:type="dxa"/>
            <w:shd w:val="clear" w:color="auto" w:fill="auto"/>
            <w:vAlign w:val="bottom"/>
            <w:hideMark/>
          </w:tcPr>
          <w:p w14:paraId="024E0F7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33</w:t>
            </w:r>
          </w:p>
        </w:tc>
        <w:tc>
          <w:tcPr>
            <w:tcW w:w="853" w:type="dxa"/>
            <w:shd w:val="clear" w:color="auto" w:fill="auto"/>
            <w:vAlign w:val="bottom"/>
            <w:hideMark/>
          </w:tcPr>
          <w:p w14:paraId="07B48C0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33</w:t>
            </w:r>
          </w:p>
        </w:tc>
        <w:tc>
          <w:tcPr>
            <w:tcW w:w="815" w:type="dxa"/>
            <w:shd w:val="clear" w:color="auto" w:fill="auto"/>
            <w:vAlign w:val="bottom"/>
            <w:hideMark/>
          </w:tcPr>
          <w:p w14:paraId="346C675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33</w:t>
            </w:r>
          </w:p>
        </w:tc>
        <w:tc>
          <w:tcPr>
            <w:tcW w:w="817" w:type="dxa"/>
            <w:shd w:val="clear" w:color="auto" w:fill="auto"/>
            <w:vAlign w:val="bottom"/>
            <w:hideMark/>
          </w:tcPr>
          <w:p w14:paraId="3DC58F6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33</w:t>
            </w:r>
          </w:p>
        </w:tc>
      </w:tr>
      <w:tr w:rsidR="00847CBD" w:rsidRPr="00597E1E" w14:paraId="3138F00A" w14:textId="77777777" w:rsidTr="00C4632F">
        <w:tc>
          <w:tcPr>
            <w:tcW w:w="6327" w:type="dxa"/>
            <w:shd w:val="clear" w:color="auto" w:fill="auto"/>
            <w:hideMark/>
          </w:tcPr>
          <w:p w14:paraId="2C677C4C"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lastRenderedPageBreak/>
              <w:t>d.</w:t>
            </w:r>
            <w:r w:rsidRPr="003E675C">
              <w:rPr>
                <w:sz w:val="18"/>
                <w:lang w:val="fr-FR"/>
              </w:rPr>
              <w:tab/>
              <w:t>Groupe de travail des transports de marchandises dangereuses</w:t>
            </w:r>
          </w:p>
        </w:tc>
        <w:tc>
          <w:tcPr>
            <w:tcW w:w="826" w:type="dxa"/>
            <w:shd w:val="clear" w:color="auto" w:fill="auto"/>
            <w:vAlign w:val="bottom"/>
            <w:hideMark/>
          </w:tcPr>
          <w:p w14:paraId="191846E7"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214</w:t>
            </w:r>
          </w:p>
        </w:tc>
        <w:tc>
          <w:tcPr>
            <w:tcW w:w="853" w:type="dxa"/>
            <w:shd w:val="clear" w:color="auto" w:fill="auto"/>
            <w:vAlign w:val="bottom"/>
            <w:hideMark/>
          </w:tcPr>
          <w:p w14:paraId="5364D6D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214</w:t>
            </w:r>
          </w:p>
        </w:tc>
        <w:tc>
          <w:tcPr>
            <w:tcW w:w="815" w:type="dxa"/>
            <w:shd w:val="clear" w:color="auto" w:fill="auto"/>
            <w:vAlign w:val="bottom"/>
            <w:hideMark/>
          </w:tcPr>
          <w:p w14:paraId="5E930EE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214</w:t>
            </w:r>
          </w:p>
        </w:tc>
        <w:tc>
          <w:tcPr>
            <w:tcW w:w="817" w:type="dxa"/>
            <w:shd w:val="clear" w:color="auto" w:fill="auto"/>
            <w:vAlign w:val="bottom"/>
            <w:hideMark/>
          </w:tcPr>
          <w:p w14:paraId="4AAEDBF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214</w:t>
            </w:r>
          </w:p>
        </w:tc>
      </w:tr>
      <w:tr w:rsidR="00847CBD" w:rsidRPr="00597E1E" w14:paraId="55141213" w14:textId="77777777" w:rsidTr="00C4632F">
        <w:tc>
          <w:tcPr>
            <w:tcW w:w="6327" w:type="dxa"/>
            <w:shd w:val="clear" w:color="auto" w:fill="auto"/>
            <w:hideMark/>
          </w:tcPr>
          <w:p w14:paraId="705D85A6"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e.</w:t>
            </w:r>
            <w:r w:rsidRPr="003E675C">
              <w:rPr>
                <w:sz w:val="18"/>
                <w:lang w:val="fr-FR"/>
              </w:rPr>
              <w:tab/>
              <w:t>Groupe de travail chargé d’examiner les tendances et l’économie des transports</w:t>
            </w:r>
          </w:p>
        </w:tc>
        <w:tc>
          <w:tcPr>
            <w:tcW w:w="826" w:type="dxa"/>
            <w:shd w:val="clear" w:color="auto" w:fill="auto"/>
            <w:vAlign w:val="bottom"/>
            <w:hideMark/>
          </w:tcPr>
          <w:p w14:paraId="4EDD1F3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25</w:t>
            </w:r>
          </w:p>
        </w:tc>
        <w:tc>
          <w:tcPr>
            <w:tcW w:w="853" w:type="dxa"/>
            <w:shd w:val="clear" w:color="auto" w:fill="auto"/>
            <w:vAlign w:val="bottom"/>
            <w:hideMark/>
          </w:tcPr>
          <w:p w14:paraId="1403B98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17</w:t>
            </w:r>
          </w:p>
        </w:tc>
        <w:tc>
          <w:tcPr>
            <w:tcW w:w="815" w:type="dxa"/>
            <w:shd w:val="clear" w:color="auto" w:fill="auto"/>
            <w:vAlign w:val="bottom"/>
            <w:hideMark/>
          </w:tcPr>
          <w:p w14:paraId="6DF1587E"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32</w:t>
            </w:r>
          </w:p>
        </w:tc>
        <w:tc>
          <w:tcPr>
            <w:tcW w:w="817" w:type="dxa"/>
            <w:shd w:val="clear" w:color="auto" w:fill="auto"/>
            <w:vAlign w:val="bottom"/>
            <w:hideMark/>
          </w:tcPr>
          <w:p w14:paraId="5EDCBB8E"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20</w:t>
            </w:r>
          </w:p>
        </w:tc>
      </w:tr>
      <w:tr w:rsidR="00847CBD" w:rsidRPr="00597E1E" w14:paraId="43D7067E" w14:textId="77777777" w:rsidTr="00C4632F">
        <w:tc>
          <w:tcPr>
            <w:tcW w:w="6327" w:type="dxa"/>
            <w:shd w:val="clear" w:color="auto" w:fill="auto"/>
            <w:hideMark/>
          </w:tcPr>
          <w:p w14:paraId="7E06346C"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f.</w:t>
            </w:r>
            <w:r w:rsidRPr="003E675C">
              <w:rPr>
                <w:sz w:val="18"/>
                <w:lang w:val="fr-FR"/>
              </w:rPr>
              <w:tab/>
              <w:t>Groupe de travail des statistiques des transports</w:t>
            </w:r>
          </w:p>
        </w:tc>
        <w:tc>
          <w:tcPr>
            <w:tcW w:w="826" w:type="dxa"/>
            <w:shd w:val="clear" w:color="auto" w:fill="auto"/>
            <w:vAlign w:val="bottom"/>
            <w:hideMark/>
          </w:tcPr>
          <w:p w14:paraId="4F16050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c>
          <w:tcPr>
            <w:tcW w:w="853" w:type="dxa"/>
            <w:shd w:val="clear" w:color="auto" w:fill="auto"/>
            <w:vAlign w:val="bottom"/>
            <w:hideMark/>
          </w:tcPr>
          <w:p w14:paraId="1ACC9A4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c>
          <w:tcPr>
            <w:tcW w:w="815" w:type="dxa"/>
            <w:shd w:val="clear" w:color="auto" w:fill="auto"/>
            <w:vAlign w:val="bottom"/>
            <w:hideMark/>
          </w:tcPr>
          <w:p w14:paraId="3646F4A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c>
          <w:tcPr>
            <w:tcW w:w="817" w:type="dxa"/>
            <w:shd w:val="clear" w:color="auto" w:fill="auto"/>
            <w:vAlign w:val="bottom"/>
            <w:hideMark/>
          </w:tcPr>
          <w:p w14:paraId="5B255FB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r>
      <w:tr w:rsidR="00847CBD" w:rsidRPr="00597E1E" w14:paraId="18FD9F13" w14:textId="77777777" w:rsidTr="00C4632F">
        <w:tc>
          <w:tcPr>
            <w:tcW w:w="6327" w:type="dxa"/>
            <w:shd w:val="clear" w:color="auto" w:fill="auto"/>
            <w:hideMark/>
          </w:tcPr>
          <w:p w14:paraId="2B20DD07"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g.</w:t>
            </w:r>
            <w:r w:rsidRPr="003E675C">
              <w:rPr>
                <w:sz w:val="18"/>
                <w:lang w:val="fr-FR"/>
              </w:rPr>
              <w:tab/>
              <w:t>Groupe de travail des transports routiers</w:t>
            </w:r>
          </w:p>
        </w:tc>
        <w:tc>
          <w:tcPr>
            <w:tcW w:w="826" w:type="dxa"/>
            <w:shd w:val="clear" w:color="auto" w:fill="auto"/>
            <w:vAlign w:val="bottom"/>
            <w:hideMark/>
          </w:tcPr>
          <w:p w14:paraId="26CC137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9</w:t>
            </w:r>
          </w:p>
        </w:tc>
        <w:tc>
          <w:tcPr>
            <w:tcW w:w="853" w:type="dxa"/>
            <w:shd w:val="clear" w:color="auto" w:fill="auto"/>
            <w:vAlign w:val="bottom"/>
            <w:hideMark/>
          </w:tcPr>
          <w:p w14:paraId="7E12648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9</w:t>
            </w:r>
          </w:p>
        </w:tc>
        <w:tc>
          <w:tcPr>
            <w:tcW w:w="815" w:type="dxa"/>
            <w:shd w:val="clear" w:color="auto" w:fill="auto"/>
            <w:vAlign w:val="bottom"/>
            <w:hideMark/>
          </w:tcPr>
          <w:p w14:paraId="22A6D19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10</w:t>
            </w:r>
          </w:p>
        </w:tc>
        <w:tc>
          <w:tcPr>
            <w:tcW w:w="817" w:type="dxa"/>
            <w:shd w:val="clear" w:color="auto" w:fill="auto"/>
            <w:vAlign w:val="bottom"/>
            <w:hideMark/>
          </w:tcPr>
          <w:p w14:paraId="74C3DCE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10</w:t>
            </w:r>
          </w:p>
        </w:tc>
      </w:tr>
      <w:tr w:rsidR="00847CBD" w:rsidRPr="00597E1E" w14:paraId="3A8896A1" w14:textId="77777777" w:rsidTr="00C4632F">
        <w:tc>
          <w:tcPr>
            <w:tcW w:w="6327" w:type="dxa"/>
            <w:shd w:val="clear" w:color="auto" w:fill="auto"/>
            <w:hideMark/>
          </w:tcPr>
          <w:p w14:paraId="54CC4EC7"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h.</w:t>
            </w:r>
            <w:r w:rsidRPr="003E675C">
              <w:rPr>
                <w:sz w:val="18"/>
                <w:lang w:val="fr-FR"/>
              </w:rPr>
              <w:tab/>
              <w:t>Forum mondial de la sécurité routière</w:t>
            </w:r>
          </w:p>
        </w:tc>
        <w:tc>
          <w:tcPr>
            <w:tcW w:w="826" w:type="dxa"/>
            <w:shd w:val="clear" w:color="auto" w:fill="auto"/>
            <w:vAlign w:val="bottom"/>
            <w:hideMark/>
          </w:tcPr>
          <w:p w14:paraId="3CF70EF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c>
          <w:tcPr>
            <w:tcW w:w="853" w:type="dxa"/>
            <w:shd w:val="clear" w:color="auto" w:fill="auto"/>
            <w:vAlign w:val="bottom"/>
            <w:hideMark/>
          </w:tcPr>
          <w:p w14:paraId="6D052DE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c>
          <w:tcPr>
            <w:tcW w:w="815" w:type="dxa"/>
            <w:shd w:val="clear" w:color="auto" w:fill="auto"/>
            <w:vAlign w:val="bottom"/>
            <w:hideMark/>
          </w:tcPr>
          <w:p w14:paraId="7ABF0ED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c>
          <w:tcPr>
            <w:tcW w:w="817" w:type="dxa"/>
            <w:shd w:val="clear" w:color="auto" w:fill="auto"/>
            <w:vAlign w:val="bottom"/>
            <w:hideMark/>
          </w:tcPr>
          <w:p w14:paraId="0EAA68F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r>
      <w:tr w:rsidR="00847CBD" w:rsidRPr="00597E1E" w14:paraId="118AA4FD" w14:textId="77777777" w:rsidTr="00C4632F">
        <w:tc>
          <w:tcPr>
            <w:tcW w:w="6327" w:type="dxa"/>
            <w:shd w:val="clear" w:color="auto" w:fill="auto"/>
            <w:hideMark/>
          </w:tcPr>
          <w:p w14:paraId="2507775B"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i.</w:t>
            </w:r>
            <w:r w:rsidRPr="003E675C">
              <w:rPr>
                <w:sz w:val="18"/>
                <w:lang w:val="fr-FR"/>
              </w:rPr>
              <w:tab/>
              <w:t>Groupe de travail des transports par chemin de fer</w:t>
            </w:r>
          </w:p>
        </w:tc>
        <w:tc>
          <w:tcPr>
            <w:tcW w:w="826" w:type="dxa"/>
            <w:shd w:val="clear" w:color="auto" w:fill="auto"/>
            <w:vAlign w:val="bottom"/>
            <w:hideMark/>
          </w:tcPr>
          <w:p w14:paraId="2A7AA1D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12</w:t>
            </w:r>
          </w:p>
        </w:tc>
        <w:tc>
          <w:tcPr>
            <w:tcW w:w="853" w:type="dxa"/>
            <w:shd w:val="clear" w:color="auto" w:fill="auto"/>
            <w:vAlign w:val="bottom"/>
            <w:hideMark/>
          </w:tcPr>
          <w:p w14:paraId="3DA0AA4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12</w:t>
            </w:r>
          </w:p>
        </w:tc>
        <w:tc>
          <w:tcPr>
            <w:tcW w:w="815" w:type="dxa"/>
            <w:shd w:val="clear" w:color="auto" w:fill="auto"/>
            <w:vAlign w:val="bottom"/>
            <w:hideMark/>
          </w:tcPr>
          <w:p w14:paraId="57B0229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12</w:t>
            </w:r>
          </w:p>
        </w:tc>
        <w:tc>
          <w:tcPr>
            <w:tcW w:w="817" w:type="dxa"/>
            <w:shd w:val="clear" w:color="auto" w:fill="auto"/>
            <w:vAlign w:val="bottom"/>
            <w:hideMark/>
          </w:tcPr>
          <w:p w14:paraId="1B2C677B" w14:textId="77777777" w:rsidR="00847CBD" w:rsidRPr="00597E1E" w:rsidRDefault="00847CBD" w:rsidP="00C4632F">
            <w:pPr>
              <w:suppressAutoHyphens w:val="0"/>
              <w:spacing w:before="40" w:after="40" w:line="220" w:lineRule="exact"/>
              <w:jc w:val="right"/>
              <w:rPr>
                <w:rFonts w:eastAsia="Calibri"/>
                <w:sz w:val="18"/>
                <w:szCs w:val="17"/>
                <w:lang w:val="fr-FR"/>
              </w:rPr>
            </w:pPr>
          </w:p>
        </w:tc>
      </w:tr>
      <w:tr w:rsidR="00847CBD" w:rsidRPr="00597E1E" w14:paraId="37ACA64D" w14:textId="77777777" w:rsidTr="00C4632F">
        <w:tc>
          <w:tcPr>
            <w:tcW w:w="6327" w:type="dxa"/>
            <w:shd w:val="clear" w:color="auto" w:fill="auto"/>
            <w:hideMark/>
          </w:tcPr>
          <w:p w14:paraId="0EE84672"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j.</w:t>
            </w:r>
            <w:r w:rsidRPr="003E675C">
              <w:rPr>
                <w:sz w:val="18"/>
                <w:lang w:val="fr-FR"/>
              </w:rPr>
              <w:tab/>
              <w:t>Groupe de travail du transport intermodal et de la logistique</w:t>
            </w:r>
          </w:p>
        </w:tc>
        <w:tc>
          <w:tcPr>
            <w:tcW w:w="826" w:type="dxa"/>
            <w:shd w:val="clear" w:color="auto" w:fill="auto"/>
            <w:vAlign w:val="bottom"/>
            <w:hideMark/>
          </w:tcPr>
          <w:p w14:paraId="7FE3304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11</w:t>
            </w:r>
          </w:p>
        </w:tc>
        <w:tc>
          <w:tcPr>
            <w:tcW w:w="853" w:type="dxa"/>
            <w:shd w:val="clear" w:color="auto" w:fill="auto"/>
            <w:vAlign w:val="bottom"/>
            <w:hideMark/>
          </w:tcPr>
          <w:p w14:paraId="49C0A5E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11</w:t>
            </w:r>
          </w:p>
        </w:tc>
        <w:tc>
          <w:tcPr>
            <w:tcW w:w="815" w:type="dxa"/>
            <w:shd w:val="clear" w:color="auto" w:fill="auto"/>
            <w:vAlign w:val="bottom"/>
            <w:hideMark/>
          </w:tcPr>
          <w:p w14:paraId="7EA893A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11</w:t>
            </w:r>
          </w:p>
        </w:tc>
        <w:tc>
          <w:tcPr>
            <w:tcW w:w="817" w:type="dxa"/>
            <w:shd w:val="clear" w:color="auto" w:fill="auto"/>
            <w:vAlign w:val="bottom"/>
            <w:hideMark/>
          </w:tcPr>
          <w:p w14:paraId="24359BF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r w:rsidR="00787900">
              <w:rPr>
                <w:sz w:val="18"/>
                <w:lang w:val="fr-FR"/>
              </w:rPr>
              <w:t>5</w:t>
            </w:r>
          </w:p>
        </w:tc>
      </w:tr>
      <w:tr w:rsidR="00847CBD" w:rsidRPr="00597E1E" w14:paraId="41D83DEB" w14:textId="77777777" w:rsidTr="00C4632F">
        <w:tc>
          <w:tcPr>
            <w:tcW w:w="6327" w:type="dxa"/>
            <w:shd w:val="clear" w:color="auto" w:fill="auto"/>
            <w:hideMark/>
          </w:tcPr>
          <w:p w14:paraId="75749676"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k.</w:t>
            </w:r>
            <w:r w:rsidRPr="003E675C">
              <w:rPr>
                <w:sz w:val="18"/>
                <w:lang w:val="fr-FR"/>
              </w:rPr>
              <w:tab/>
              <w:t>Groupe de travail des transports par voie navigable</w:t>
            </w:r>
          </w:p>
        </w:tc>
        <w:tc>
          <w:tcPr>
            <w:tcW w:w="826" w:type="dxa"/>
            <w:shd w:val="clear" w:color="auto" w:fill="auto"/>
            <w:vAlign w:val="bottom"/>
            <w:hideMark/>
          </w:tcPr>
          <w:p w14:paraId="14BD197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47</w:t>
            </w:r>
          </w:p>
        </w:tc>
        <w:tc>
          <w:tcPr>
            <w:tcW w:w="853" w:type="dxa"/>
            <w:shd w:val="clear" w:color="auto" w:fill="auto"/>
            <w:vAlign w:val="bottom"/>
            <w:hideMark/>
          </w:tcPr>
          <w:p w14:paraId="3585BF2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47</w:t>
            </w:r>
          </w:p>
        </w:tc>
        <w:tc>
          <w:tcPr>
            <w:tcW w:w="815" w:type="dxa"/>
            <w:shd w:val="clear" w:color="auto" w:fill="auto"/>
            <w:vAlign w:val="bottom"/>
            <w:hideMark/>
          </w:tcPr>
          <w:p w14:paraId="6703BA8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47</w:t>
            </w:r>
          </w:p>
        </w:tc>
        <w:tc>
          <w:tcPr>
            <w:tcW w:w="817" w:type="dxa"/>
            <w:shd w:val="clear" w:color="auto" w:fill="auto"/>
            <w:vAlign w:val="bottom"/>
            <w:hideMark/>
          </w:tcPr>
          <w:p w14:paraId="151781B8" w14:textId="77777777" w:rsidR="00847CBD" w:rsidRPr="00597E1E" w:rsidRDefault="00787900" w:rsidP="00C4632F">
            <w:pPr>
              <w:suppressAutoHyphens w:val="0"/>
              <w:spacing w:before="40" w:after="40" w:line="220" w:lineRule="exact"/>
              <w:jc w:val="right"/>
              <w:rPr>
                <w:rFonts w:eastAsia="Calibri"/>
                <w:sz w:val="18"/>
                <w:szCs w:val="17"/>
                <w:lang w:val="fr-FR"/>
              </w:rPr>
            </w:pPr>
            <w:r>
              <w:rPr>
                <w:sz w:val="18"/>
                <w:lang w:val="fr-FR"/>
              </w:rPr>
              <w:t>41</w:t>
            </w:r>
          </w:p>
        </w:tc>
      </w:tr>
      <w:tr w:rsidR="00847CBD" w:rsidRPr="00597E1E" w14:paraId="044812FC" w14:textId="77777777" w:rsidTr="00C4632F">
        <w:tc>
          <w:tcPr>
            <w:tcW w:w="6327" w:type="dxa"/>
            <w:shd w:val="clear" w:color="auto" w:fill="auto"/>
            <w:hideMark/>
          </w:tcPr>
          <w:p w14:paraId="1FCC448D" w14:textId="77777777" w:rsidR="00847CBD" w:rsidRPr="003E675C" w:rsidRDefault="00847CBD" w:rsidP="00C4632F">
            <w:pPr>
              <w:suppressAutoHyphens w:val="0"/>
              <w:spacing w:before="40" w:after="40" w:line="220" w:lineRule="exact"/>
              <w:ind w:left="567" w:hanging="567"/>
              <w:rPr>
                <w:sz w:val="18"/>
                <w:lang w:val="fr-FR"/>
              </w:rPr>
            </w:pPr>
            <w:r w:rsidRPr="003E675C">
              <w:rPr>
                <w:sz w:val="18"/>
                <w:lang w:val="fr-FR"/>
              </w:rPr>
              <w:t>l.</w:t>
            </w:r>
            <w:r w:rsidRPr="003E675C">
              <w:rPr>
                <w:sz w:val="18"/>
                <w:lang w:val="fr-FR"/>
              </w:rPr>
              <w:tab/>
              <w:t>Groupe de travail des problèmes douaniers intéressant les transports</w:t>
            </w:r>
          </w:p>
        </w:tc>
        <w:tc>
          <w:tcPr>
            <w:tcW w:w="826" w:type="dxa"/>
            <w:shd w:val="clear" w:color="auto" w:fill="auto"/>
            <w:vAlign w:val="bottom"/>
            <w:hideMark/>
          </w:tcPr>
          <w:p w14:paraId="7A6EA97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71</w:t>
            </w:r>
          </w:p>
        </w:tc>
        <w:tc>
          <w:tcPr>
            <w:tcW w:w="853" w:type="dxa"/>
            <w:shd w:val="clear" w:color="auto" w:fill="auto"/>
            <w:vAlign w:val="bottom"/>
            <w:hideMark/>
          </w:tcPr>
          <w:p w14:paraId="0267343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71</w:t>
            </w:r>
          </w:p>
        </w:tc>
        <w:tc>
          <w:tcPr>
            <w:tcW w:w="815" w:type="dxa"/>
            <w:shd w:val="clear" w:color="auto" w:fill="auto"/>
            <w:vAlign w:val="bottom"/>
            <w:hideMark/>
          </w:tcPr>
          <w:p w14:paraId="4C49CAB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71</w:t>
            </w:r>
          </w:p>
        </w:tc>
        <w:tc>
          <w:tcPr>
            <w:tcW w:w="817" w:type="dxa"/>
            <w:shd w:val="clear" w:color="auto" w:fill="auto"/>
            <w:vAlign w:val="bottom"/>
            <w:hideMark/>
          </w:tcPr>
          <w:p w14:paraId="45F2879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71</w:t>
            </w:r>
          </w:p>
        </w:tc>
      </w:tr>
      <w:tr w:rsidR="00847CBD" w:rsidRPr="00597E1E" w14:paraId="2A2FF40C" w14:textId="77777777" w:rsidTr="00C4632F">
        <w:tc>
          <w:tcPr>
            <w:tcW w:w="6327" w:type="dxa"/>
            <w:shd w:val="clear" w:color="auto" w:fill="auto"/>
            <w:hideMark/>
          </w:tcPr>
          <w:p w14:paraId="5C0CF555" w14:textId="77777777" w:rsidR="00847CBD" w:rsidRPr="00597E1E" w:rsidRDefault="00847CBD" w:rsidP="00C4632F">
            <w:pPr>
              <w:suppressAutoHyphens w:val="0"/>
              <w:spacing w:before="40" w:after="40" w:line="220" w:lineRule="exact"/>
              <w:rPr>
                <w:rFonts w:eastAsia="Calibri"/>
                <w:b/>
                <w:bCs/>
                <w:sz w:val="18"/>
                <w:szCs w:val="22"/>
                <w:lang w:val="fr-FR"/>
              </w:rPr>
            </w:pPr>
            <w:r w:rsidRPr="00597E1E">
              <w:rPr>
                <w:sz w:val="18"/>
                <w:lang w:val="fr-FR"/>
              </w:rPr>
              <w:t>2.</w:t>
            </w:r>
            <w:r w:rsidRPr="00597E1E">
              <w:rPr>
                <w:sz w:val="18"/>
                <w:lang w:val="fr-FR"/>
              </w:rPr>
              <w:tab/>
            </w:r>
            <w:r w:rsidRPr="00597E1E">
              <w:rPr>
                <w:b/>
                <w:bCs/>
                <w:sz w:val="18"/>
                <w:lang w:val="fr-FR"/>
              </w:rPr>
              <w:t>Documentation destinée au Conseil économique et social</w:t>
            </w:r>
          </w:p>
        </w:tc>
        <w:tc>
          <w:tcPr>
            <w:tcW w:w="826" w:type="dxa"/>
            <w:shd w:val="clear" w:color="auto" w:fill="auto"/>
            <w:vAlign w:val="bottom"/>
            <w:hideMark/>
          </w:tcPr>
          <w:p w14:paraId="782CA906"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190</w:t>
            </w:r>
          </w:p>
        </w:tc>
        <w:tc>
          <w:tcPr>
            <w:tcW w:w="853" w:type="dxa"/>
            <w:shd w:val="clear" w:color="auto" w:fill="auto"/>
            <w:vAlign w:val="bottom"/>
            <w:hideMark/>
          </w:tcPr>
          <w:p w14:paraId="645D41A4"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190</w:t>
            </w:r>
          </w:p>
        </w:tc>
        <w:tc>
          <w:tcPr>
            <w:tcW w:w="815" w:type="dxa"/>
            <w:shd w:val="clear" w:color="auto" w:fill="auto"/>
            <w:vAlign w:val="bottom"/>
            <w:hideMark/>
          </w:tcPr>
          <w:p w14:paraId="68AC1129"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324</w:t>
            </w:r>
          </w:p>
        </w:tc>
        <w:tc>
          <w:tcPr>
            <w:tcW w:w="817" w:type="dxa"/>
            <w:shd w:val="clear" w:color="auto" w:fill="auto"/>
            <w:vAlign w:val="bottom"/>
            <w:hideMark/>
          </w:tcPr>
          <w:p w14:paraId="2C1B30E8"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190</w:t>
            </w:r>
          </w:p>
        </w:tc>
      </w:tr>
      <w:tr w:rsidR="00847CBD" w:rsidRPr="00597E1E" w14:paraId="0FE36386" w14:textId="77777777" w:rsidTr="00C4632F">
        <w:tc>
          <w:tcPr>
            <w:tcW w:w="6327" w:type="dxa"/>
            <w:shd w:val="clear" w:color="auto" w:fill="auto"/>
            <w:hideMark/>
          </w:tcPr>
          <w:p w14:paraId="0CB239F1" w14:textId="77777777" w:rsidR="00847CBD" w:rsidRPr="003E675C" w:rsidRDefault="00847CBD" w:rsidP="00C4632F">
            <w:pPr>
              <w:suppressAutoHyphens w:val="0"/>
              <w:spacing w:before="40" w:after="40" w:line="220" w:lineRule="exact"/>
              <w:ind w:left="567" w:hanging="567"/>
              <w:rPr>
                <w:sz w:val="18"/>
                <w:lang w:val="fr-FR"/>
              </w:rPr>
            </w:pPr>
            <w:r w:rsidRPr="00597E1E">
              <w:rPr>
                <w:sz w:val="18"/>
                <w:lang w:val="fr-FR"/>
              </w:rPr>
              <w:t>a.</w:t>
            </w:r>
            <w:r w:rsidRPr="00597E1E">
              <w:rPr>
                <w:sz w:val="18"/>
                <w:lang w:val="fr-FR"/>
              </w:rPr>
              <w:tab/>
              <w:t>Comité d’experts du transport des marchandises dangereuses et du Système général harmonisé de classification et d’étiquetage des produits chimiques</w:t>
            </w:r>
          </w:p>
        </w:tc>
        <w:tc>
          <w:tcPr>
            <w:tcW w:w="826" w:type="dxa"/>
            <w:shd w:val="clear" w:color="auto" w:fill="auto"/>
            <w:vAlign w:val="bottom"/>
            <w:hideMark/>
          </w:tcPr>
          <w:p w14:paraId="2C65944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14:paraId="4FF5B3A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14:paraId="1FF98A9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5</w:t>
            </w:r>
          </w:p>
        </w:tc>
        <w:tc>
          <w:tcPr>
            <w:tcW w:w="817" w:type="dxa"/>
            <w:shd w:val="clear" w:color="auto" w:fill="auto"/>
            <w:vAlign w:val="bottom"/>
            <w:hideMark/>
          </w:tcPr>
          <w:p w14:paraId="4346D84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1DC3F7E1" w14:textId="77777777" w:rsidTr="00C4632F">
        <w:tc>
          <w:tcPr>
            <w:tcW w:w="6327" w:type="dxa"/>
            <w:shd w:val="clear" w:color="auto" w:fill="auto"/>
            <w:hideMark/>
          </w:tcPr>
          <w:p w14:paraId="216DD5B6" w14:textId="77777777" w:rsidR="00847CBD" w:rsidRPr="003E675C" w:rsidRDefault="00847CBD" w:rsidP="00C4632F">
            <w:pPr>
              <w:suppressAutoHyphens w:val="0"/>
              <w:spacing w:before="40" w:after="40" w:line="220" w:lineRule="exact"/>
              <w:ind w:left="567" w:hanging="567"/>
              <w:rPr>
                <w:sz w:val="18"/>
                <w:lang w:val="fr-FR"/>
              </w:rPr>
            </w:pPr>
            <w:r w:rsidRPr="00597E1E">
              <w:rPr>
                <w:sz w:val="18"/>
                <w:lang w:val="fr-FR"/>
              </w:rPr>
              <w:t>b.</w:t>
            </w:r>
            <w:r w:rsidRPr="00597E1E">
              <w:rPr>
                <w:sz w:val="18"/>
                <w:lang w:val="fr-FR"/>
              </w:rPr>
              <w:tab/>
              <w:t>Sous-Comité d’experts du transport de marchandises dangereuses</w:t>
            </w:r>
          </w:p>
        </w:tc>
        <w:tc>
          <w:tcPr>
            <w:tcW w:w="826" w:type="dxa"/>
            <w:shd w:val="clear" w:color="auto" w:fill="auto"/>
            <w:vAlign w:val="bottom"/>
            <w:hideMark/>
          </w:tcPr>
          <w:p w14:paraId="0DAC6C4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157</w:t>
            </w:r>
          </w:p>
        </w:tc>
        <w:tc>
          <w:tcPr>
            <w:tcW w:w="853" w:type="dxa"/>
            <w:shd w:val="clear" w:color="auto" w:fill="auto"/>
            <w:vAlign w:val="bottom"/>
            <w:hideMark/>
          </w:tcPr>
          <w:p w14:paraId="2AC2AC5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157</w:t>
            </w:r>
          </w:p>
        </w:tc>
        <w:tc>
          <w:tcPr>
            <w:tcW w:w="815" w:type="dxa"/>
            <w:shd w:val="clear" w:color="auto" w:fill="auto"/>
            <w:vAlign w:val="bottom"/>
            <w:hideMark/>
          </w:tcPr>
          <w:p w14:paraId="095B846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257</w:t>
            </w:r>
          </w:p>
        </w:tc>
        <w:tc>
          <w:tcPr>
            <w:tcW w:w="817" w:type="dxa"/>
            <w:shd w:val="clear" w:color="auto" w:fill="auto"/>
            <w:vAlign w:val="bottom"/>
            <w:hideMark/>
          </w:tcPr>
          <w:p w14:paraId="16F3B06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157</w:t>
            </w:r>
          </w:p>
        </w:tc>
      </w:tr>
      <w:tr w:rsidR="00847CBD" w:rsidRPr="00597E1E" w14:paraId="665F84CD" w14:textId="77777777" w:rsidTr="00C4632F">
        <w:tc>
          <w:tcPr>
            <w:tcW w:w="6327" w:type="dxa"/>
            <w:shd w:val="clear" w:color="auto" w:fill="auto"/>
            <w:hideMark/>
          </w:tcPr>
          <w:p w14:paraId="020921A6" w14:textId="77777777" w:rsidR="00847CBD" w:rsidRPr="003E675C" w:rsidRDefault="00847CBD" w:rsidP="00C4632F">
            <w:pPr>
              <w:suppressAutoHyphens w:val="0"/>
              <w:spacing w:before="40" w:after="40" w:line="220" w:lineRule="exact"/>
              <w:ind w:left="567" w:hanging="567"/>
              <w:rPr>
                <w:sz w:val="18"/>
                <w:lang w:val="fr-FR"/>
              </w:rPr>
            </w:pPr>
            <w:r w:rsidRPr="00597E1E">
              <w:rPr>
                <w:sz w:val="18"/>
                <w:lang w:val="fr-FR"/>
              </w:rPr>
              <w:t>c.</w:t>
            </w:r>
            <w:r w:rsidRPr="00597E1E">
              <w:rPr>
                <w:sz w:val="18"/>
                <w:lang w:val="fr-FR"/>
              </w:rPr>
              <w:tab/>
              <w:t>Sous-comité d’experts du Système général harmonisé de classification et d’étiquetage des produits chimiques</w:t>
            </w:r>
          </w:p>
        </w:tc>
        <w:tc>
          <w:tcPr>
            <w:tcW w:w="826" w:type="dxa"/>
            <w:shd w:val="clear" w:color="auto" w:fill="auto"/>
            <w:vAlign w:val="bottom"/>
            <w:hideMark/>
          </w:tcPr>
          <w:p w14:paraId="335C858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32</w:t>
            </w:r>
          </w:p>
        </w:tc>
        <w:tc>
          <w:tcPr>
            <w:tcW w:w="853" w:type="dxa"/>
            <w:shd w:val="clear" w:color="auto" w:fill="auto"/>
            <w:vAlign w:val="bottom"/>
            <w:hideMark/>
          </w:tcPr>
          <w:p w14:paraId="7F7BEDBA"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32</w:t>
            </w:r>
          </w:p>
        </w:tc>
        <w:tc>
          <w:tcPr>
            <w:tcW w:w="815" w:type="dxa"/>
            <w:shd w:val="clear" w:color="auto" w:fill="auto"/>
            <w:vAlign w:val="bottom"/>
            <w:hideMark/>
          </w:tcPr>
          <w:p w14:paraId="505BED4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62</w:t>
            </w:r>
          </w:p>
        </w:tc>
        <w:tc>
          <w:tcPr>
            <w:tcW w:w="817" w:type="dxa"/>
            <w:shd w:val="clear" w:color="auto" w:fill="auto"/>
            <w:vAlign w:val="bottom"/>
            <w:hideMark/>
          </w:tcPr>
          <w:p w14:paraId="71ABC98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32</w:t>
            </w:r>
          </w:p>
        </w:tc>
      </w:tr>
      <w:tr w:rsidR="00847CBD" w:rsidRPr="00597E1E" w14:paraId="269E71F2" w14:textId="77777777" w:rsidTr="00C4632F">
        <w:tc>
          <w:tcPr>
            <w:tcW w:w="6327" w:type="dxa"/>
            <w:shd w:val="clear" w:color="auto" w:fill="auto"/>
            <w:hideMark/>
          </w:tcPr>
          <w:p w14:paraId="7976AC5F" w14:textId="77777777" w:rsidR="00847CBD" w:rsidRPr="003E675C" w:rsidRDefault="00847CBD" w:rsidP="00C4632F">
            <w:pPr>
              <w:keepNext/>
              <w:suppressAutoHyphens w:val="0"/>
              <w:spacing w:before="40" w:after="40" w:line="220" w:lineRule="exact"/>
              <w:ind w:left="567" w:hanging="567"/>
              <w:rPr>
                <w:b/>
                <w:bCs/>
                <w:sz w:val="18"/>
                <w:lang w:val="fr-FR"/>
              </w:rPr>
            </w:pPr>
            <w:r w:rsidRPr="003E675C">
              <w:rPr>
                <w:sz w:val="18"/>
                <w:lang w:val="fr-FR"/>
              </w:rPr>
              <w:t>3.</w:t>
            </w:r>
            <w:r w:rsidRPr="003E675C">
              <w:rPr>
                <w:sz w:val="18"/>
                <w:lang w:val="fr-FR"/>
              </w:rPr>
              <w:tab/>
            </w:r>
            <w:r w:rsidRPr="003E675C">
              <w:rPr>
                <w:b/>
                <w:bCs/>
                <w:sz w:val="18"/>
                <w:lang w:val="fr-FR"/>
              </w:rPr>
              <w:t xml:space="preserve">Documentation destinée à la Réunion de haut niveau sur les transports, </w:t>
            </w:r>
            <w:r>
              <w:rPr>
                <w:b/>
                <w:bCs/>
                <w:sz w:val="18"/>
                <w:lang w:val="fr-FR"/>
              </w:rPr>
              <w:br/>
            </w:r>
            <w:r w:rsidRPr="003E675C">
              <w:rPr>
                <w:b/>
                <w:bCs/>
                <w:sz w:val="18"/>
                <w:lang w:val="fr-FR"/>
              </w:rPr>
              <w:t>la santé et l’environnement</w:t>
            </w:r>
          </w:p>
        </w:tc>
        <w:tc>
          <w:tcPr>
            <w:tcW w:w="826" w:type="dxa"/>
            <w:shd w:val="clear" w:color="auto" w:fill="auto"/>
            <w:vAlign w:val="bottom"/>
            <w:hideMark/>
          </w:tcPr>
          <w:p w14:paraId="58BFBB09" w14:textId="77777777" w:rsidR="00847CBD" w:rsidRPr="00597E1E" w:rsidRDefault="00847CBD" w:rsidP="00C4632F">
            <w:pPr>
              <w:keepNext/>
              <w:suppressAutoHyphens w:val="0"/>
              <w:spacing w:before="40" w:after="40" w:line="220" w:lineRule="exact"/>
              <w:jc w:val="right"/>
              <w:rPr>
                <w:rFonts w:eastAsia="Calibri"/>
                <w:b/>
                <w:bCs/>
                <w:sz w:val="18"/>
                <w:szCs w:val="17"/>
                <w:lang w:val="fr-FR"/>
              </w:rPr>
            </w:pPr>
            <w:r w:rsidRPr="00597E1E">
              <w:rPr>
                <w:b/>
                <w:bCs/>
                <w:sz w:val="18"/>
                <w:lang w:val="fr-FR"/>
              </w:rPr>
              <w:t>5</w:t>
            </w:r>
          </w:p>
        </w:tc>
        <w:tc>
          <w:tcPr>
            <w:tcW w:w="853" w:type="dxa"/>
            <w:shd w:val="clear" w:color="auto" w:fill="auto"/>
            <w:vAlign w:val="bottom"/>
            <w:hideMark/>
          </w:tcPr>
          <w:p w14:paraId="4E77324B" w14:textId="77777777" w:rsidR="00847CBD" w:rsidRPr="00597E1E" w:rsidRDefault="00847CBD" w:rsidP="00C4632F">
            <w:pPr>
              <w:keepNext/>
              <w:suppressAutoHyphens w:val="0"/>
              <w:spacing w:before="40" w:after="40" w:line="220" w:lineRule="exact"/>
              <w:jc w:val="right"/>
              <w:rPr>
                <w:rFonts w:eastAsia="Calibri"/>
                <w:b/>
                <w:bCs/>
                <w:sz w:val="18"/>
                <w:szCs w:val="17"/>
                <w:lang w:val="fr-FR"/>
              </w:rPr>
            </w:pPr>
            <w:r w:rsidRPr="00597E1E">
              <w:rPr>
                <w:b/>
                <w:bCs/>
                <w:sz w:val="18"/>
                <w:lang w:val="fr-FR"/>
              </w:rPr>
              <w:t>5</w:t>
            </w:r>
          </w:p>
        </w:tc>
        <w:tc>
          <w:tcPr>
            <w:tcW w:w="815" w:type="dxa"/>
            <w:shd w:val="clear" w:color="auto" w:fill="auto"/>
            <w:vAlign w:val="bottom"/>
            <w:hideMark/>
          </w:tcPr>
          <w:p w14:paraId="4DD141E9" w14:textId="77777777" w:rsidR="00847CBD" w:rsidRPr="00597E1E" w:rsidRDefault="00847CBD" w:rsidP="00C4632F">
            <w:pPr>
              <w:keepNext/>
              <w:suppressAutoHyphens w:val="0"/>
              <w:spacing w:before="40" w:after="40" w:line="220" w:lineRule="exact"/>
              <w:jc w:val="right"/>
              <w:rPr>
                <w:rFonts w:eastAsia="Calibri"/>
                <w:b/>
                <w:bCs/>
                <w:sz w:val="18"/>
                <w:szCs w:val="17"/>
                <w:lang w:val="fr-FR"/>
              </w:rPr>
            </w:pPr>
            <w:r w:rsidRPr="00597E1E">
              <w:rPr>
                <w:b/>
                <w:bCs/>
                <w:sz w:val="18"/>
                <w:lang w:val="fr-FR"/>
              </w:rPr>
              <w:t>5</w:t>
            </w:r>
          </w:p>
        </w:tc>
        <w:tc>
          <w:tcPr>
            <w:tcW w:w="817" w:type="dxa"/>
            <w:shd w:val="clear" w:color="auto" w:fill="auto"/>
            <w:vAlign w:val="bottom"/>
            <w:hideMark/>
          </w:tcPr>
          <w:p w14:paraId="6FDA593D" w14:textId="77777777" w:rsidR="00847CBD" w:rsidRPr="00597E1E" w:rsidRDefault="00787900" w:rsidP="00C4632F">
            <w:pPr>
              <w:keepNext/>
              <w:suppressAutoHyphens w:val="0"/>
              <w:spacing w:before="40" w:after="40" w:line="220" w:lineRule="exact"/>
              <w:jc w:val="right"/>
              <w:rPr>
                <w:rFonts w:eastAsia="Calibri"/>
                <w:b/>
                <w:bCs/>
                <w:sz w:val="18"/>
                <w:szCs w:val="17"/>
                <w:lang w:val="fr-FR"/>
              </w:rPr>
            </w:pPr>
            <w:r>
              <w:rPr>
                <w:b/>
                <w:bCs/>
                <w:sz w:val="18"/>
                <w:lang w:val="fr-FR"/>
              </w:rPr>
              <w:t>3</w:t>
            </w:r>
          </w:p>
        </w:tc>
      </w:tr>
      <w:tr w:rsidR="00847CBD" w:rsidRPr="00597E1E" w14:paraId="44333A0A" w14:textId="77777777" w:rsidTr="00C4632F">
        <w:tc>
          <w:tcPr>
            <w:tcW w:w="6327" w:type="dxa"/>
            <w:shd w:val="clear" w:color="auto" w:fill="auto"/>
            <w:hideMark/>
          </w:tcPr>
          <w:p w14:paraId="27862343" w14:textId="77777777" w:rsidR="00847CBD" w:rsidRPr="00597E1E" w:rsidRDefault="00847CBD" w:rsidP="00C4632F">
            <w:pPr>
              <w:suppressAutoHyphens w:val="0"/>
              <w:spacing w:before="40" w:after="40" w:line="220" w:lineRule="exact"/>
              <w:rPr>
                <w:rFonts w:eastAsia="Calibri"/>
                <w:strike/>
                <w:sz w:val="18"/>
                <w:szCs w:val="22"/>
                <w:lang w:val="fr-FR"/>
              </w:rPr>
            </w:pPr>
            <w:r w:rsidRPr="00597E1E">
              <w:rPr>
                <w:b/>
                <w:bCs/>
                <w:sz w:val="18"/>
                <w:lang w:val="fr-FR"/>
              </w:rPr>
              <w:t>Services fonctionnels pour les réunions</w:t>
            </w:r>
          </w:p>
        </w:tc>
        <w:tc>
          <w:tcPr>
            <w:tcW w:w="826" w:type="dxa"/>
            <w:shd w:val="clear" w:color="auto" w:fill="auto"/>
            <w:vAlign w:val="bottom"/>
            <w:hideMark/>
          </w:tcPr>
          <w:p w14:paraId="60038CB7"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b/>
                <w:bCs/>
                <w:sz w:val="18"/>
                <w:lang w:val="fr-FR"/>
              </w:rPr>
              <w:t>354</w:t>
            </w:r>
          </w:p>
        </w:tc>
        <w:tc>
          <w:tcPr>
            <w:tcW w:w="853" w:type="dxa"/>
            <w:shd w:val="clear" w:color="auto" w:fill="auto"/>
            <w:vAlign w:val="bottom"/>
            <w:hideMark/>
          </w:tcPr>
          <w:p w14:paraId="033A3E5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b/>
                <w:bCs/>
                <w:sz w:val="18"/>
                <w:lang w:val="fr-FR"/>
              </w:rPr>
              <w:t>368</w:t>
            </w:r>
          </w:p>
        </w:tc>
        <w:tc>
          <w:tcPr>
            <w:tcW w:w="815" w:type="dxa"/>
            <w:shd w:val="clear" w:color="auto" w:fill="auto"/>
            <w:vAlign w:val="bottom"/>
            <w:hideMark/>
          </w:tcPr>
          <w:p w14:paraId="6C768517"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b/>
                <w:bCs/>
                <w:sz w:val="18"/>
                <w:lang w:val="fr-FR"/>
              </w:rPr>
              <w:t>373</w:t>
            </w:r>
          </w:p>
        </w:tc>
        <w:tc>
          <w:tcPr>
            <w:tcW w:w="817" w:type="dxa"/>
            <w:shd w:val="clear" w:color="auto" w:fill="auto"/>
            <w:vAlign w:val="bottom"/>
            <w:hideMark/>
          </w:tcPr>
          <w:p w14:paraId="19DCBC5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b/>
                <w:bCs/>
                <w:sz w:val="18"/>
                <w:lang w:val="fr-FR"/>
              </w:rPr>
              <w:t>364</w:t>
            </w:r>
          </w:p>
        </w:tc>
      </w:tr>
      <w:tr w:rsidR="00847CBD" w:rsidRPr="00597E1E" w14:paraId="3F334037" w14:textId="77777777" w:rsidTr="00C4632F">
        <w:tc>
          <w:tcPr>
            <w:tcW w:w="6327" w:type="dxa"/>
            <w:shd w:val="clear" w:color="auto" w:fill="auto"/>
            <w:hideMark/>
          </w:tcPr>
          <w:p w14:paraId="7C466DF1" w14:textId="77777777" w:rsidR="00847CBD" w:rsidRPr="00597E1E" w:rsidRDefault="00847CBD" w:rsidP="00C4632F">
            <w:pPr>
              <w:suppressAutoHyphens w:val="0"/>
              <w:spacing w:before="40" w:after="40" w:line="220" w:lineRule="exact"/>
              <w:rPr>
                <w:rFonts w:eastAsia="Calibri"/>
                <w:b/>
                <w:bCs/>
                <w:sz w:val="18"/>
                <w:szCs w:val="22"/>
                <w:lang w:val="fr-FR"/>
              </w:rPr>
            </w:pPr>
            <w:r w:rsidRPr="00597E1E">
              <w:rPr>
                <w:sz w:val="18"/>
                <w:lang w:val="fr-FR"/>
              </w:rPr>
              <w:t>4.</w:t>
            </w:r>
            <w:r w:rsidRPr="00597E1E">
              <w:rPr>
                <w:sz w:val="18"/>
                <w:lang w:val="fr-FR"/>
              </w:rPr>
              <w:tab/>
            </w:r>
            <w:r w:rsidRPr="00597E1E">
              <w:rPr>
                <w:b/>
                <w:bCs/>
                <w:sz w:val="18"/>
                <w:lang w:val="fr-FR"/>
              </w:rPr>
              <w:t>Séances du Comité des transports intérieurs</w:t>
            </w:r>
          </w:p>
        </w:tc>
        <w:tc>
          <w:tcPr>
            <w:tcW w:w="826" w:type="dxa"/>
            <w:shd w:val="clear" w:color="auto" w:fill="auto"/>
            <w:vAlign w:val="bottom"/>
            <w:hideMark/>
          </w:tcPr>
          <w:p w14:paraId="34F4AE5D"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317</w:t>
            </w:r>
          </w:p>
        </w:tc>
        <w:tc>
          <w:tcPr>
            <w:tcW w:w="853" w:type="dxa"/>
            <w:shd w:val="clear" w:color="auto" w:fill="auto"/>
            <w:vAlign w:val="bottom"/>
            <w:hideMark/>
          </w:tcPr>
          <w:p w14:paraId="29D1EA59"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331</w:t>
            </w:r>
          </w:p>
        </w:tc>
        <w:tc>
          <w:tcPr>
            <w:tcW w:w="815" w:type="dxa"/>
            <w:shd w:val="clear" w:color="auto" w:fill="auto"/>
            <w:vAlign w:val="bottom"/>
            <w:hideMark/>
          </w:tcPr>
          <w:p w14:paraId="75181386"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331</w:t>
            </w:r>
          </w:p>
        </w:tc>
        <w:tc>
          <w:tcPr>
            <w:tcW w:w="817" w:type="dxa"/>
            <w:shd w:val="clear" w:color="auto" w:fill="auto"/>
            <w:vAlign w:val="bottom"/>
            <w:hideMark/>
          </w:tcPr>
          <w:p w14:paraId="37B1E88D"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327</w:t>
            </w:r>
          </w:p>
        </w:tc>
      </w:tr>
      <w:tr w:rsidR="00847CBD" w:rsidRPr="00597E1E" w14:paraId="508D0EF0" w14:textId="77777777" w:rsidTr="00C4632F">
        <w:tc>
          <w:tcPr>
            <w:tcW w:w="6327" w:type="dxa"/>
            <w:shd w:val="clear" w:color="auto" w:fill="auto"/>
            <w:hideMark/>
          </w:tcPr>
          <w:p w14:paraId="2C335366" w14:textId="77777777" w:rsidR="00847CBD" w:rsidRPr="00615CF0" w:rsidRDefault="00847CBD" w:rsidP="00C4632F">
            <w:pPr>
              <w:suppressAutoHyphens w:val="0"/>
              <w:spacing w:before="40" w:after="40" w:line="220" w:lineRule="exact"/>
              <w:ind w:left="567" w:hanging="567"/>
              <w:rPr>
                <w:sz w:val="18"/>
                <w:lang w:val="fr-FR"/>
              </w:rPr>
            </w:pPr>
            <w:r w:rsidRPr="00615CF0">
              <w:rPr>
                <w:sz w:val="18"/>
                <w:lang w:val="fr-FR"/>
              </w:rPr>
              <w:t>a.</w:t>
            </w:r>
            <w:r w:rsidRPr="00615CF0">
              <w:rPr>
                <w:sz w:val="18"/>
                <w:lang w:val="fr-FR"/>
              </w:rPr>
              <w:tab/>
              <w:t>Comité des transports intérieurs</w:t>
            </w:r>
          </w:p>
        </w:tc>
        <w:tc>
          <w:tcPr>
            <w:tcW w:w="826" w:type="dxa"/>
            <w:shd w:val="clear" w:color="auto" w:fill="auto"/>
            <w:vAlign w:val="bottom"/>
            <w:hideMark/>
          </w:tcPr>
          <w:p w14:paraId="48134C97"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c>
          <w:tcPr>
            <w:tcW w:w="853" w:type="dxa"/>
            <w:shd w:val="clear" w:color="auto" w:fill="auto"/>
            <w:vAlign w:val="bottom"/>
            <w:hideMark/>
          </w:tcPr>
          <w:p w14:paraId="276E233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c>
          <w:tcPr>
            <w:tcW w:w="815" w:type="dxa"/>
            <w:shd w:val="clear" w:color="auto" w:fill="auto"/>
            <w:vAlign w:val="bottom"/>
            <w:hideMark/>
          </w:tcPr>
          <w:p w14:paraId="474986B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c>
          <w:tcPr>
            <w:tcW w:w="817" w:type="dxa"/>
            <w:shd w:val="clear" w:color="auto" w:fill="auto"/>
            <w:vAlign w:val="bottom"/>
            <w:hideMark/>
          </w:tcPr>
          <w:p w14:paraId="6AC2DC5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16</w:t>
            </w:r>
          </w:p>
        </w:tc>
      </w:tr>
      <w:tr w:rsidR="00847CBD" w:rsidRPr="00597E1E" w14:paraId="51E17CFC" w14:textId="77777777" w:rsidTr="00C4632F">
        <w:tc>
          <w:tcPr>
            <w:tcW w:w="6327" w:type="dxa"/>
            <w:shd w:val="clear" w:color="auto" w:fill="auto"/>
            <w:hideMark/>
          </w:tcPr>
          <w:p w14:paraId="4E82F2A4" w14:textId="77777777" w:rsidR="00847CBD" w:rsidRPr="00597E1E" w:rsidRDefault="00847CBD" w:rsidP="00C4632F">
            <w:pPr>
              <w:suppressAutoHyphens w:val="0"/>
              <w:spacing w:before="40" w:after="40" w:line="220" w:lineRule="exact"/>
              <w:ind w:left="567" w:hanging="567"/>
              <w:rPr>
                <w:rFonts w:eastAsia="Calibri"/>
                <w:sz w:val="18"/>
                <w:szCs w:val="22"/>
                <w:lang w:val="fr-FR"/>
              </w:rPr>
            </w:pPr>
            <w:r w:rsidRPr="00597E1E">
              <w:rPr>
                <w:sz w:val="18"/>
                <w:lang w:val="fr-FR"/>
              </w:rPr>
              <w:t>b.</w:t>
            </w:r>
            <w:r w:rsidRPr="00597E1E">
              <w:rPr>
                <w:sz w:val="18"/>
                <w:lang w:val="fr-FR"/>
              </w:rPr>
              <w:tab/>
              <w:t>Forum mondial de l’harmonisation des Règlements concernant les véhicules</w:t>
            </w:r>
          </w:p>
        </w:tc>
        <w:tc>
          <w:tcPr>
            <w:tcW w:w="826" w:type="dxa"/>
            <w:shd w:val="clear" w:color="auto" w:fill="auto"/>
            <w:vAlign w:val="bottom"/>
            <w:hideMark/>
          </w:tcPr>
          <w:p w14:paraId="10A3552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111</w:t>
            </w:r>
          </w:p>
        </w:tc>
        <w:tc>
          <w:tcPr>
            <w:tcW w:w="853" w:type="dxa"/>
            <w:shd w:val="clear" w:color="auto" w:fill="auto"/>
            <w:vAlign w:val="bottom"/>
            <w:hideMark/>
          </w:tcPr>
          <w:p w14:paraId="6507396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111</w:t>
            </w:r>
          </w:p>
        </w:tc>
        <w:tc>
          <w:tcPr>
            <w:tcW w:w="815" w:type="dxa"/>
            <w:shd w:val="clear" w:color="auto" w:fill="auto"/>
            <w:vAlign w:val="bottom"/>
            <w:hideMark/>
          </w:tcPr>
          <w:p w14:paraId="6132C62A"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111</w:t>
            </w:r>
          </w:p>
        </w:tc>
        <w:tc>
          <w:tcPr>
            <w:tcW w:w="817" w:type="dxa"/>
            <w:shd w:val="clear" w:color="auto" w:fill="auto"/>
            <w:vAlign w:val="bottom"/>
            <w:hideMark/>
          </w:tcPr>
          <w:p w14:paraId="73E9229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111</w:t>
            </w:r>
          </w:p>
        </w:tc>
      </w:tr>
      <w:tr w:rsidR="00847CBD" w:rsidRPr="00597E1E" w14:paraId="50868B72" w14:textId="77777777" w:rsidTr="00C4632F">
        <w:tc>
          <w:tcPr>
            <w:tcW w:w="6327" w:type="dxa"/>
            <w:shd w:val="clear" w:color="auto" w:fill="auto"/>
            <w:hideMark/>
          </w:tcPr>
          <w:p w14:paraId="52849FF2" w14:textId="77777777" w:rsidR="00847CBD" w:rsidRPr="00597E1E" w:rsidRDefault="00847CBD" w:rsidP="00C4632F">
            <w:pPr>
              <w:suppressAutoHyphens w:val="0"/>
              <w:spacing w:before="40" w:after="40" w:line="220" w:lineRule="exact"/>
              <w:ind w:left="567" w:hanging="567"/>
              <w:rPr>
                <w:rFonts w:eastAsia="Calibri"/>
                <w:sz w:val="18"/>
                <w:szCs w:val="22"/>
                <w:lang w:val="fr-FR"/>
              </w:rPr>
            </w:pPr>
            <w:r w:rsidRPr="00597E1E">
              <w:rPr>
                <w:sz w:val="18"/>
                <w:lang w:val="fr-FR"/>
              </w:rPr>
              <w:t>c.</w:t>
            </w:r>
            <w:r w:rsidRPr="00597E1E">
              <w:rPr>
                <w:sz w:val="18"/>
                <w:lang w:val="fr-FR"/>
              </w:rPr>
              <w:tab/>
              <w:t>Groupe de travail du transport des denrées périssables</w:t>
            </w:r>
          </w:p>
        </w:tc>
        <w:tc>
          <w:tcPr>
            <w:tcW w:w="826" w:type="dxa"/>
            <w:shd w:val="clear" w:color="auto" w:fill="auto"/>
            <w:vAlign w:val="bottom"/>
            <w:hideMark/>
          </w:tcPr>
          <w:p w14:paraId="44F8DCE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8</w:t>
            </w:r>
          </w:p>
        </w:tc>
        <w:tc>
          <w:tcPr>
            <w:tcW w:w="853" w:type="dxa"/>
            <w:shd w:val="clear" w:color="auto" w:fill="auto"/>
            <w:vAlign w:val="bottom"/>
            <w:hideMark/>
          </w:tcPr>
          <w:p w14:paraId="1A40846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8</w:t>
            </w:r>
          </w:p>
        </w:tc>
        <w:tc>
          <w:tcPr>
            <w:tcW w:w="815" w:type="dxa"/>
            <w:shd w:val="clear" w:color="auto" w:fill="auto"/>
            <w:vAlign w:val="bottom"/>
            <w:hideMark/>
          </w:tcPr>
          <w:p w14:paraId="382368F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12</w:t>
            </w:r>
          </w:p>
        </w:tc>
        <w:tc>
          <w:tcPr>
            <w:tcW w:w="817" w:type="dxa"/>
            <w:shd w:val="clear" w:color="auto" w:fill="auto"/>
            <w:vAlign w:val="bottom"/>
            <w:hideMark/>
          </w:tcPr>
          <w:p w14:paraId="417F6D07"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8</w:t>
            </w:r>
          </w:p>
        </w:tc>
      </w:tr>
      <w:tr w:rsidR="00847CBD" w:rsidRPr="00597E1E" w14:paraId="7E6BF1C1" w14:textId="77777777" w:rsidTr="00C4632F">
        <w:tc>
          <w:tcPr>
            <w:tcW w:w="6327" w:type="dxa"/>
            <w:shd w:val="clear" w:color="auto" w:fill="auto"/>
            <w:hideMark/>
          </w:tcPr>
          <w:p w14:paraId="54A06F73" w14:textId="77777777" w:rsidR="00847CBD" w:rsidRPr="00597E1E" w:rsidRDefault="00847CBD" w:rsidP="00C4632F">
            <w:pPr>
              <w:suppressAutoHyphens w:val="0"/>
              <w:spacing w:before="40" w:after="40" w:line="220" w:lineRule="exact"/>
              <w:ind w:left="567" w:hanging="567"/>
              <w:rPr>
                <w:rFonts w:eastAsia="Calibri"/>
                <w:sz w:val="18"/>
                <w:szCs w:val="22"/>
                <w:lang w:val="fr-FR"/>
              </w:rPr>
            </w:pPr>
            <w:r w:rsidRPr="00597E1E">
              <w:rPr>
                <w:sz w:val="18"/>
                <w:lang w:val="fr-FR"/>
              </w:rPr>
              <w:t>d.</w:t>
            </w:r>
            <w:r w:rsidRPr="00597E1E">
              <w:rPr>
                <w:sz w:val="18"/>
                <w:lang w:val="fr-FR"/>
              </w:rPr>
              <w:tab/>
              <w:t>Groupe de travail des transports de marchandises dangereuses</w:t>
            </w:r>
          </w:p>
        </w:tc>
        <w:tc>
          <w:tcPr>
            <w:tcW w:w="826" w:type="dxa"/>
            <w:shd w:val="clear" w:color="auto" w:fill="auto"/>
            <w:vAlign w:val="bottom"/>
            <w:hideMark/>
          </w:tcPr>
          <w:p w14:paraId="29E0833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68</w:t>
            </w:r>
          </w:p>
        </w:tc>
        <w:tc>
          <w:tcPr>
            <w:tcW w:w="853" w:type="dxa"/>
            <w:shd w:val="clear" w:color="auto" w:fill="auto"/>
            <w:vAlign w:val="bottom"/>
            <w:hideMark/>
          </w:tcPr>
          <w:p w14:paraId="2516B92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68</w:t>
            </w:r>
          </w:p>
        </w:tc>
        <w:tc>
          <w:tcPr>
            <w:tcW w:w="815" w:type="dxa"/>
            <w:shd w:val="clear" w:color="auto" w:fill="auto"/>
            <w:vAlign w:val="bottom"/>
            <w:hideMark/>
          </w:tcPr>
          <w:p w14:paraId="73CA2E1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58</w:t>
            </w:r>
          </w:p>
        </w:tc>
        <w:tc>
          <w:tcPr>
            <w:tcW w:w="817" w:type="dxa"/>
            <w:shd w:val="clear" w:color="auto" w:fill="auto"/>
            <w:vAlign w:val="bottom"/>
            <w:hideMark/>
          </w:tcPr>
          <w:p w14:paraId="2E57EEA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68</w:t>
            </w:r>
          </w:p>
        </w:tc>
      </w:tr>
      <w:tr w:rsidR="00847CBD" w:rsidRPr="00597E1E" w14:paraId="5DE3DD7E" w14:textId="77777777" w:rsidTr="00C4632F">
        <w:tc>
          <w:tcPr>
            <w:tcW w:w="6327" w:type="dxa"/>
            <w:shd w:val="clear" w:color="auto" w:fill="auto"/>
            <w:hideMark/>
          </w:tcPr>
          <w:p w14:paraId="0E267EF0"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e.</w:t>
            </w:r>
            <w:r w:rsidRPr="00597E1E">
              <w:rPr>
                <w:sz w:val="18"/>
                <w:lang w:val="fr-FR"/>
              </w:rPr>
              <w:tab/>
              <w:t>Groupe de travail chargé d’examiner les tendances et l’économie des transports</w:t>
            </w:r>
          </w:p>
        </w:tc>
        <w:tc>
          <w:tcPr>
            <w:tcW w:w="826" w:type="dxa"/>
            <w:shd w:val="clear" w:color="auto" w:fill="auto"/>
            <w:vAlign w:val="bottom"/>
            <w:hideMark/>
          </w:tcPr>
          <w:p w14:paraId="75E0808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12</w:t>
            </w:r>
          </w:p>
        </w:tc>
        <w:tc>
          <w:tcPr>
            <w:tcW w:w="853" w:type="dxa"/>
            <w:shd w:val="clear" w:color="auto" w:fill="auto"/>
            <w:vAlign w:val="bottom"/>
            <w:hideMark/>
          </w:tcPr>
          <w:p w14:paraId="40B0600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26</w:t>
            </w:r>
          </w:p>
        </w:tc>
        <w:tc>
          <w:tcPr>
            <w:tcW w:w="815" w:type="dxa"/>
            <w:shd w:val="clear" w:color="auto" w:fill="auto"/>
            <w:vAlign w:val="bottom"/>
            <w:hideMark/>
          </w:tcPr>
          <w:p w14:paraId="4960355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32</w:t>
            </w:r>
          </w:p>
        </w:tc>
        <w:tc>
          <w:tcPr>
            <w:tcW w:w="817" w:type="dxa"/>
            <w:shd w:val="clear" w:color="auto" w:fill="auto"/>
            <w:vAlign w:val="bottom"/>
            <w:hideMark/>
          </w:tcPr>
          <w:p w14:paraId="0AEA69A7"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22</w:t>
            </w:r>
          </w:p>
        </w:tc>
      </w:tr>
      <w:tr w:rsidR="00847CBD" w:rsidRPr="00597E1E" w14:paraId="52D25F76" w14:textId="77777777" w:rsidTr="00C4632F">
        <w:tc>
          <w:tcPr>
            <w:tcW w:w="6327" w:type="dxa"/>
            <w:shd w:val="clear" w:color="auto" w:fill="auto"/>
            <w:hideMark/>
          </w:tcPr>
          <w:p w14:paraId="09B522F6"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f.</w:t>
            </w:r>
            <w:r w:rsidRPr="00597E1E">
              <w:rPr>
                <w:sz w:val="18"/>
                <w:lang w:val="fr-FR"/>
              </w:rPr>
              <w:tab/>
              <w:t>Groupe de travail des statistiques des transports</w:t>
            </w:r>
          </w:p>
        </w:tc>
        <w:tc>
          <w:tcPr>
            <w:tcW w:w="826" w:type="dxa"/>
            <w:shd w:val="clear" w:color="auto" w:fill="auto"/>
            <w:vAlign w:val="bottom"/>
            <w:hideMark/>
          </w:tcPr>
          <w:p w14:paraId="050AF85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14:paraId="10E59AD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14:paraId="5372DCC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14:paraId="788CF65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r>
      <w:tr w:rsidR="00847CBD" w:rsidRPr="00597E1E" w14:paraId="02621DDA" w14:textId="77777777" w:rsidTr="00C4632F">
        <w:tc>
          <w:tcPr>
            <w:tcW w:w="6327" w:type="dxa"/>
            <w:shd w:val="clear" w:color="auto" w:fill="auto"/>
            <w:hideMark/>
          </w:tcPr>
          <w:p w14:paraId="6BA50A35"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g.</w:t>
            </w:r>
            <w:r w:rsidRPr="00597E1E">
              <w:rPr>
                <w:sz w:val="18"/>
                <w:lang w:val="fr-FR"/>
              </w:rPr>
              <w:tab/>
              <w:t>Groupe de travail des transports routiers</w:t>
            </w:r>
          </w:p>
        </w:tc>
        <w:tc>
          <w:tcPr>
            <w:tcW w:w="826" w:type="dxa"/>
            <w:shd w:val="clear" w:color="auto" w:fill="auto"/>
            <w:vAlign w:val="bottom"/>
            <w:hideMark/>
          </w:tcPr>
          <w:p w14:paraId="3585730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14:paraId="5B9A195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14:paraId="41CA59D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14:paraId="0AE4B0D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r>
      <w:tr w:rsidR="00847CBD" w:rsidRPr="00597E1E" w14:paraId="779FC382" w14:textId="77777777" w:rsidTr="00C4632F">
        <w:tc>
          <w:tcPr>
            <w:tcW w:w="6327" w:type="dxa"/>
            <w:shd w:val="clear" w:color="auto" w:fill="auto"/>
            <w:hideMark/>
          </w:tcPr>
          <w:p w14:paraId="091FE893"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h.</w:t>
            </w:r>
            <w:r w:rsidRPr="00597E1E">
              <w:rPr>
                <w:sz w:val="18"/>
                <w:lang w:val="fr-FR"/>
              </w:rPr>
              <w:tab/>
              <w:t>Forum mondial de la sécurité routière</w:t>
            </w:r>
          </w:p>
        </w:tc>
        <w:tc>
          <w:tcPr>
            <w:tcW w:w="826" w:type="dxa"/>
            <w:shd w:val="clear" w:color="auto" w:fill="auto"/>
            <w:vAlign w:val="bottom"/>
            <w:hideMark/>
          </w:tcPr>
          <w:p w14:paraId="282A019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c>
          <w:tcPr>
            <w:tcW w:w="853" w:type="dxa"/>
            <w:shd w:val="clear" w:color="auto" w:fill="auto"/>
            <w:vAlign w:val="bottom"/>
            <w:hideMark/>
          </w:tcPr>
          <w:p w14:paraId="6E8C7C9A"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c>
          <w:tcPr>
            <w:tcW w:w="815" w:type="dxa"/>
            <w:shd w:val="clear" w:color="auto" w:fill="auto"/>
            <w:vAlign w:val="bottom"/>
            <w:hideMark/>
          </w:tcPr>
          <w:p w14:paraId="1E9500B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c>
          <w:tcPr>
            <w:tcW w:w="817" w:type="dxa"/>
            <w:shd w:val="clear" w:color="auto" w:fill="auto"/>
            <w:vAlign w:val="bottom"/>
            <w:hideMark/>
          </w:tcPr>
          <w:p w14:paraId="554949C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14</w:t>
            </w:r>
          </w:p>
        </w:tc>
      </w:tr>
      <w:tr w:rsidR="00847CBD" w:rsidRPr="00597E1E" w14:paraId="441829F7" w14:textId="77777777" w:rsidTr="00C4632F">
        <w:tc>
          <w:tcPr>
            <w:tcW w:w="6327" w:type="dxa"/>
            <w:shd w:val="clear" w:color="auto" w:fill="auto"/>
            <w:hideMark/>
          </w:tcPr>
          <w:p w14:paraId="471C543A"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i.</w:t>
            </w:r>
            <w:r w:rsidRPr="00597E1E">
              <w:rPr>
                <w:sz w:val="18"/>
                <w:lang w:val="fr-FR"/>
              </w:rPr>
              <w:tab/>
              <w:t>Groupe de travail des transports par chemin de fer</w:t>
            </w:r>
          </w:p>
        </w:tc>
        <w:tc>
          <w:tcPr>
            <w:tcW w:w="826" w:type="dxa"/>
            <w:shd w:val="clear" w:color="auto" w:fill="auto"/>
            <w:vAlign w:val="bottom"/>
            <w:hideMark/>
          </w:tcPr>
          <w:p w14:paraId="24D8149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14:paraId="109B487E"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14:paraId="3038B68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14:paraId="0ABE5D9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r>
      <w:tr w:rsidR="00847CBD" w:rsidRPr="00597E1E" w14:paraId="1F4B5013" w14:textId="77777777" w:rsidTr="00C4632F">
        <w:tc>
          <w:tcPr>
            <w:tcW w:w="6327" w:type="dxa"/>
            <w:shd w:val="clear" w:color="auto" w:fill="auto"/>
            <w:hideMark/>
          </w:tcPr>
          <w:p w14:paraId="6E0EBB99"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j.</w:t>
            </w:r>
            <w:r w:rsidRPr="00597E1E">
              <w:rPr>
                <w:sz w:val="18"/>
                <w:lang w:val="fr-FR"/>
              </w:rPr>
              <w:tab/>
              <w:t>Groupe de travail du transport intermodal et de la logistique</w:t>
            </w:r>
          </w:p>
        </w:tc>
        <w:tc>
          <w:tcPr>
            <w:tcW w:w="826" w:type="dxa"/>
            <w:shd w:val="clear" w:color="auto" w:fill="auto"/>
            <w:vAlign w:val="bottom"/>
            <w:hideMark/>
          </w:tcPr>
          <w:p w14:paraId="463FD8B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14:paraId="1A6AA3C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14:paraId="0818D57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14:paraId="3BC2127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6</w:t>
            </w:r>
          </w:p>
        </w:tc>
      </w:tr>
      <w:tr w:rsidR="00847CBD" w:rsidRPr="00597E1E" w14:paraId="70C6AA6B" w14:textId="77777777" w:rsidTr="00C4632F">
        <w:tc>
          <w:tcPr>
            <w:tcW w:w="6327" w:type="dxa"/>
            <w:shd w:val="clear" w:color="auto" w:fill="auto"/>
            <w:hideMark/>
          </w:tcPr>
          <w:p w14:paraId="274BB182"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k.</w:t>
            </w:r>
            <w:r w:rsidRPr="00597E1E">
              <w:rPr>
                <w:sz w:val="18"/>
                <w:lang w:val="fr-FR"/>
              </w:rPr>
              <w:tab/>
              <w:t>Groupe de travail des transports par voie navigable</w:t>
            </w:r>
          </w:p>
        </w:tc>
        <w:tc>
          <w:tcPr>
            <w:tcW w:w="826" w:type="dxa"/>
            <w:shd w:val="clear" w:color="auto" w:fill="auto"/>
            <w:vAlign w:val="bottom"/>
            <w:hideMark/>
          </w:tcPr>
          <w:p w14:paraId="1DE5A27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18</w:t>
            </w:r>
          </w:p>
        </w:tc>
        <w:tc>
          <w:tcPr>
            <w:tcW w:w="853" w:type="dxa"/>
            <w:shd w:val="clear" w:color="auto" w:fill="auto"/>
            <w:vAlign w:val="bottom"/>
            <w:hideMark/>
          </w:tcPr>
          <w:p w14:paraId="0D95973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18</w:t>
            </w:r>
          </w:p>
        </w:tc>
        <w:tc>
          <w:tcPr>
            <w:tcW w:w="815" w:type="dxa"/>
            <w:shd w:val="clear" w:color="auto" w:fill="auto"/>
            <w:vAlign w:val="bottom"/>
            <w:hideMark/>
          </w:tcPr>
          <w:p w14:paraId="3ED66AA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18</w:t>
            </w:r>
          </w:p>
        </w:tc>
        <w:tc>
          <w:tcPr>
            <w:tcW w:w="817" w:type="dxa"/>
            <w:shd w:val="clear" w:color="auto" w:fill="auto"/>
            <w:vAlign w:val="bottom"/>
            <w:hideMark/>
          </w:tcPr>
          <w:p w14:paraId="42C73EF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18</w:t>
            </w:r>
          </w:p>
        </w:tc>
      </w:tr>
      <w:tr w:rsidR="00847CBD" w:rsidRPr="00597E1E" w14:paraId="44627B35" w14:textId="77777777" w:rsidTr="00C4632F">
        <w:tc>
          <w:tcPr>
            <w:tcW w:w="6327" w:type="dxa"/>
            <w:shd w:val="clear" w:color="auto" w:fill="auto"/>
            <w:hideMark/>
          </w:tcPr>
          <w:p w14:paraId="1084C947"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l.</w:t>
            </w:r>
            <w:r w:rsidRPr="00597E1E">
              <w:rPr>
                <w:sz w:val="18"/>
                <w:lang w:val="fr-FR"/>
              </w:rPr>
              <w:tab/>
              <w:t>Groupe de travail des problèmes douaniers intéressant les transports</w:t>
            </w:r>
          </w:p>
        </w:tc>
        <w:tc>
          <w:tcPr>
            <w:tcW w:w="826" w:type="dxa"/>
            <w:shd w:val="clear" w:color="auto" w:fill="auto"/>
            <w:vAlign w:val="bottom"/>
            <w:hideMark/>
          </w:tcPr>
          <w:p w14:paraId="512A6CC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46</w:t>
            </w:r>
          </w:p>
        </w:tc>
        <w:tc>
          <w:tcPr>
            <w:tcW w:w="853" w:type="dxa"/>
            <w:shd w:val="clear" w:color="auto" w:fill="auto"/>
            <w:vAlign w:val="bottom"/>
            <w:hideMark/>
          </w:tcPr>
          <w:p w14:paraId="639AF84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46</w:t>
            </w:r>
          </w:p>
        </w:tc>
        <w:tc>
          <w:tcPr>
            <w:tcW w:w="815" w:type="dxa"/>
            <w:shd w:val="clear" w:color="auto" w:fill="auto"/>
            <w:vAlign w:val="bottom"/>
            <w:hideMark/>
          </w:tcPr>
          <w:p w14:paraId="4B33EFF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46</w:t>
            </w:r>
          </w:p>
        </w:tc>
        <w:tc>
          <w:tcPr>
            <w:tcW w:w="817" w:type="dxa"/>
            <w:shd w:val="clear" w:color="auto" w:fill="auto"/>
            <w:vAlign w:val="bottom"/>
            <w:hideMark/>
          </w:tcPr>
          <w:p w14:paraId="228ADD8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46</w:t>
            </w:r>
          </w:p>
        </w:tc>
      </w:tr>
      <w:tr w:rsidR="00847CBD" w:rsidRPr="00597E1E" w14:paraId="28B11F7D" w14:textId="77777777" w:rsidTr="00C4632F">
        <w:tc>
          <w:tcPr>
            <w:tcW w:w="6327" w:type="dxa"/>
            <w:shd w:val="clear" w:color="auto" w:fill="auto"/>
            <w:hideMark/>
          </w:tcPr>
          <w:p w14:paraId="111D8C4E" w14:textId="77777777" w:rsidR="00847CBD" w:rsidRPr="00597E1E" w:rsidRDefault="00847CBD" w:rsidP="00C4632F">
            <w:pPr>
              <w:suppressAutoHyphens w:val="0"/>
              <w:spacing w:before="40" w:after="40" w:line="220" w:lineRule="exact"/>
              <w:rPr>
                <w:rFonts w:eastAsia="Calibri"/>
                <w:b/>
                <w:bCs/>
                <w:sz w:val="18"/>
                <w:szCs w:val="22"/>
                <w:lang w:val="fr-FR"/>
              </w:rPr>
            </w:pPr>
            <w:r w:rsidRPr="00597E1E">
              <w:rPr>
                <w:sz w:val="18"/>
                <w:lang w:val="fr-FR"/>
              </w:rPr>
              <w:t>5.</w:t>
            </w:r>
            <w:r w:rsidRPr="00597E1E">
              <w:rPr>
                <w:sz w:val="18"/>
                <w:lang w:val="fr-FR"/>
              </w:rPr>
              <w:tab/>
            </w:r>
            <w:r w:rsidRPr="00597E1E">
              <w:rPr>
                <w:b/>
                <w:bCs/>
                <w:sz w:val="18"/>
                <w:lang w:val="fr-FR"/>
              </w:rPr>
              <w:t>Séances du Conseil économique et social</w:t>
            </w:r>
          </w:p>
        </w:tc>
        <w:tc>
          <w:tcPr>
            <w:tcW w:w="826" w:type="dxa"/>
            <w:shd w:val="clear" w:color="auto" w:fill="auto"/>
            <w:vAlign w:val="bottom"/>
            <w:hideMark/>
          </w:tcPr>
          <w:p w14:paraId="359C3CF7"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35</w:t>
            </w:r>
          </w:p>
        </w:tc>
        <w:tc>
          <w:tcPr>
            <w:tcW w:w="853" w:type="dxa"/>
            <w:shd w:val="clear" w:color="auto" w:fill="auto"/>
            <w:vAlign w:val="bottom"/>
            <w:hideMark/>
          </w:tcPr>
          <w:p w14:paraId="45DBA526"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35</w:t>
            </w:r>
          </w:p>
        </w:tc>
        <w:tc>
          <w:tcPr>
            <w:tcW w:w="815" w:type="dxa"/>
            <w:shd w:val="clear" w:color="auto" w:fill="auto"/>
            <w:vAlign w:val="bottom"/>
            <w:hideMark/>
          </w:tcPr>
          <w:p w14:paraId="165B7F58"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40</w:t>
            </w:r>
          </w:p>
        </w:tc>
        <w:tc>
          <w:tcPr>
            <w:tcW w:w="817" w:type="dxa"/>
            <w:shd w:val="clear" w:color="auto" w:fill="auto"/>
            <w:vAlign w:val="bottom"/>
            <w:hideMark/>
          </w:tcPr>
          <w:p w14:paraId="4F3112F5"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35</w:t>
            </w:r>
          </w:p>
        </w:tc>
      </w:tr>
      <w:tr w:rsidR="00847CBD" w:rsidRPr="00597E1E" w14:paraId="48B984B2" w14:textId="77777777" w:rsidTr="00C4632F">
        <w:tc>
          <w:tcPr>
            <w:tcW w:w="6327" w:type="dxa"/>
            <w:shd w:val="clear" w:color="auto" w:fill="auto"/>
            <w:hideMark/>
          </w:tcPr>
          <w:p w14:paraId="2E11DA20"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a.</w:t>
            </w:r>
            <w:r w:rsidRPr="00597E1E">
              <w:rPr>
                <w:sz w:val="18"/>
                <w:lang w:val="fr-FR"/>
              </w:rPr>
              <w:tab/>
              <w:t>Comité d’experts du transport des marchandises dangereuses et du Système général harmonisé de classification et d’étiquetage des produits chimiques</w:t>
            </w:r>
          </w:p>
        </w:tc>
        <w:tc>
          <w:tcPr>
            <w:tcW w:w="826" w:type="dxa"/>
            <w:shd w:val="clear" w:color="auto" w:fill="auto"/>
            <w:vAlign w:val="bottom"/>
            <w:hideMark/>
          </w:tcPr>
          <w:p w14:paraId="7DE9BDA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14:paraId="0B1EEE6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14:paraId="3CAC4A1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14:paraId="38A262EA"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r>
      <w:tr w:rsidR="00847CBD" w:rsidRPr="00597E1E" w14:paraId="7C74D120" w14:textId="77777777" w:rsidTr="00C4632F">
        <w:tc>
          <w:tcPr>
            <w:tcW w:w="6327" w:type="dxa"/>
            <w:shd w:val="clear" w:color="auto" w:fill="auto"/>
            <w:hideMark/>
          </w:tcPr>
          <w:p w14:paraId="10248AC4"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b.</w:t>
            </w:r>
            <w:r w:rsidRPr="00597E1E">
              <w:rPr>
                <w:sz w:val="18"/>
                <w:lang w:val="fr-FR"/>
              </w:rPr>
              <w:tab/>
              <w:t>Sous-Comité d’experts du transport de marchandises dangereuses</w:t>
            </w:r>
          </w:p>
        </w:tc>
        <w:tc>
          <w:tcPr>
            <w:tcW w:w="826" w:type="dxa"/>
            <w:shd w:val="clear" w:color="auto" w:fill="auto"/>
            <w:vAlign w:val="bottom"/>
            <w:hideMark/>
          </w:tcPr>
          <w:p w14:paraId="64EC3C7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25</w:t>
            </w:r>
          </w:p>
        </w:tc>
        <w:tc>
          <w:tcPr>
            <w:tcW w:w="853" w:type="dxa"/>
            <w:shd w:val="clear" w:color="auto" w:fill="auto"/>
            <w:vAlign w:val="bottom"/>
            <w:hideMark/>
          </w:tcPr>
          <w:p w14:paraId="55D8BB6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25</w:t>
            </w:r>
          </w:p>
        </w:tc>
        <w:tc>
          <w:tcPr>
            <w:tcW w:w="815" w:type="dxa"/>
            <w:shd w:val="clear" w:color="auto" w:fill="auto"/>
            <w:vAlign w:val="bottom"/>
            <w:hideMark/>
          </w:tcPr>
          <w:p w14:paraId="769B641E"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29</w:t>
            </w:r>
          </w:p>
        </w:tc>
        <w:tc>
          <w:tcPr>
            <w:tcW w:w="817" w:type="dxa"/>
            <w:shd w:val="clear" w:color="auto" w:fill="auto"/>
            <w:vAlign w:val="bottom"/>
            <w:hideMark/>
          </w:tcPr>
          <w:p w14:paraId="425CC81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25</w:t>
            </w:r>
          </w:p>
        </w:tc>
      </w:tr>
      <w:tr w:rsidR="00847CBD" w:rsidRPr="00597E1E" w14:paraId="7780BB5C" w14:textId="77777777" w:rsidTr="00C4632F">
        <w:tc>
          <w:tcPr>
            <w:tcW w:w="6327" w:type="dxa"/>
            <w:shd w:val="clear" w:color="auto" w:fill="auto"/>
            <w:hideMark/>
          </w:tcPr>
          <w:p w14:paraId="2887B05D"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c.</w:t>
            </w:r>
            <w:r w:rsidRPr="00597E1E">
              <w:rPr>
                <w:sz w:val="18"/>
                <w:lang w:val="fr-FR"/>
              </w:rPr>
              <w:tab/>
              <w:t xml:space="preserve">Sous-comité d’experts du Système général harmonisé de classification </w:t>
            </w:r>
            <w:r>
              <w:rPr>
                <w:sz w:val="18"/>
                <w:lang w:val="fr-FR"/>
              </w:rPr>
              <w:br/>
            </w:r>
            <w:r w:rsidRPr="00597E1E">
              <w:rPr>
                <w:sz w:val="18"/>
                <w:lang w:val="fr-FR"/>
              </w:rPr>
              <w:t>et d’étiquetage des produits chimiques</w:t>
            </w:r>
          </w:p>
        </w:tc>
        <w:tc>
          <w:tcPr>
            <w:tcW w:w="826" w:type="dxa"/>
            <w:shd w:val="clear" w:color="auto" w:fill="auto"/>
            <w:vAlign w:val="bottom"/>
            <w:hideMark/>
          </w:tcPr>
          <w:p w14:paraId="78859D7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10</w:t>
            </w:r>
          </w:p>
        </w:tc>
        <w:tc>
          <w:tcPr>
            <w:tcW w:w="853" w:type="dxa"/>
            <w:shd w:val="clear" w:color="auto" w:fill="auto"/>
            <w:vAlign w:val="bottom"/>
            <w:hideMark/>
          </w:tcPr>
          <w:p w14:paraId="38F6316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10</w:t>
            </w:r>
          </w:p>
        </w:tc>
        <w:tc>
          <w:tcPr>
            <w:tcW w:w="815" w:type="dxa"/>
            <w:shd w:val="clear" w:color="auto" w:fill="auto"/>
            <w:vAlign w:val="bottom"/>
            <w:hideMark/>
          </w:tcPr>
          <w:p w14:paraId="57D2E4C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10</w:t>
            </w:r>
          </w:p>
        </w:tc>
        <w:tc>
          <w:tcPr>
            <w:tcW w:w="817" w:type="dxa"/>
            <w:shd w:val="clear" w:color="auto" w:fill="auto"/>
            <w:vAlign w:val="bottom"/>
            <w:hideMark/>
          </w:tcPr>
          <w:p w14:paraId="509ECF3A"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10</w:t>
            </w:r>
          </w:p>
        </w:tc>
      </w:tr>
      <w:tr w:rsidR="00847CBD" w:rsidRPr="00597E1E" w14:paraId="6EFE5EBF" w14:textId="77777777" w:rsidTr="00C4632F">
        <w:tc>
          <w:tcPr>
            <w:tcW w:w="6327" w:type="dxa"/>
            <w:shd w:val="clear" w:color="auto" w:fill="auto"/>
            <w:hideMark/>
          </w:tcPr>
          <w:p w14:paraId="20A0A9B7" w14:textId="77777777" w:rsidR="00847CBD" w:rsidRPr="00615CF0" w:rsidRDefault="00847CBD" w:rsidP="00C4632F">
            <w:pPr>
              <w:suppressAutoHyphens w:val="0"/>
              <w:spacing w:before="40" w:after="40" w:line="220" w:lineRule="exact"/>
              <w:ind w:left="567" w:hanging="567"/>
              <w:rPr>
                <w:sz w:val="18"/>
                <w:lang w:val="fr-FR"/>
              </w:rPr>
            </w:pPr>
            <w:r w:rsidRPr="00597E1E">
              <w:rPr>
                <w:sz w:val="18"/>
                <w:lang w:val="fr-FR"/>
              </w:rPr>
              <w:t>6.</w:t>
            </w:r>
            <w:r w:rsidRPr="00597E1E">
              <w:rPr>
                <w:sz w:val="18"/>
                <w:lang w:val="fr-FR"/>
              </w:rPr>
              <w:tab/>
            </w:r>
            <w:r w:rsidRPr="00615CF0">
              <w:rPr>
                <w:b/>
                <w:bCs/>
                <w:sz w:val="18"/>
                <w:lang w:val="fr-FR"/>
              </w:rPr>
              <w:t xml:space="preserve">Séances de la Réunion de haut niveau sur les transports, la santé </w:t>
            </w:r>
            <w:r>
              <w:rPr>
                <w:b/>
                <w:bCs/>
                <w:sz w:val="18"/>
                <w:lang w:val="fr-FR"/>
              </w:rPr>
              <w:br/>
            </w:r>
            <w:r w:rsidRPr="00615CF0">
              <w:rPr>
                <w:b/>
                <w:bCs/>
                <w:sz w:val="18"/>
                <w:lang w:val="fr-FR"/>
              </w:rPr>
              <w:t>et l’environnement</w:t>
            </w:r>
          </w:p>
        </w:tc>
        <w:tc>
          <w:tcPr>
            <w:tcW w:w="826" w:type="dxa"/>
            <w:shd w:val="clear" w:color="auto" w:fill="auto"/>
            <w:vAlign w:val="bottom"/>
            <w:hideMark/>
          </w:tcPr>
          <w:p w14:paraId="4E9B9D88"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53" w:type="dxa"/>
            <w:shd w:val="clear" w:color="auto" w:fill="auto"/>
            <w:vAlign w:val="bottom"/>
            <w:hideMark/>
          </w:tcPr>
          <w:p w14:paraId="42F75242"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15" w:type="dxa"/>
            <w:shd w:val="clear" w:color="auto" w:fill="auto"/>
            <w:vAlign w:val="bottom"/>
            <w:hideMark/>
          </w:tcPr>
          <w:p w14:paraId="251B7E60"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17" w:type="dxa"/>
            <w:shd w:val="clear" w:color="auto" w:fill="auto"/>
            <w:vAlign w:val="bottom"/>
            <w:hideMark/>
          </w:tcPr>
          <w:p w14:paraId="2ACBFEE5"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2</w:t>
            </w:r>
          </w:p>
        </w:tc>
      </w:tr>
      <w:tr w:rsidR="00847CBD" w:rsidRPr="00597E1E" w14:paraId="15251B15" w14:textId="77777777" w:rsidTr="00C4632F">
        <w:tc>
          <w:tcPr>
            <w:tcW w:w="6327" w:type="dxa"/>
            <w:shd w:val="clear" w:color="auto" w:fill="auto"/>
            <w:hideMark/>
          </w:tcPr>
          <w:p w14:paraId="2F85B123" w14:textId="77777777" w:rsidR="00847CBD" w:rsidRPr="00597E1E" w:rsidRDefault="00847CBD" w:rsidP="00C4632F">
            <w:pPr>
              <w:suppressAutoHyphens w:val="0"/>
              <w:spacing w:before="40" w:after="40" w:line="220" w:lineRule="exact"/>
              <w:rPr>
                <w:rFonts w:eastAsia="Calibri"/>
                <w:b/>
                <w:sz w:val="18"/>
                <w:szCs w:val="22"/>
                <w:lang w:val="fr-FR"/>
              </w:rPr>
            </w:pPr>
            <w:r w:rsidRPr="008D07F6">
              <w:rPr>
                <w:b/>
                <w:bCs/>
                <w:sz w:val="18"/>
                <w:lang w:val="fr-FR"/>
              </w:rPr>
              <w:t>B.</w:t>
            </w:r>
            <w:r w:rsidRPr="00597E1E">
              <w:rPr>
                <w:sz w:val="18"/>
                <w:lang w:val="fr-FR"/>
              </w:rPr>
              <w:tab/>
            </w:r>
            <w:r w:rsidRPr="00597E1E">
              <w:rPr>
                <w:b/>
                <w:bCs/>
                <w:sz w:val="18"/>
                <w:lang w:val="fr-FR"/>
              </w:rPr>
              <w:t>Production et transfert de connaissances</w:t>
            </w:r>
          </w:p>
        </w:tc>
        <w:tc>
          <w:tcPr>
            <w:tcW w:w="826" w:type="dxa"/>
            <w:shd w:val="clear" w:color="auto" w:fill="auto"/>
            <w:vAlign w:val="bottom"/>
          </w:tcPr>
          <w:p w14:paraId="36E946FC" w14:textId="77777777" w:rsidR="00847CBD" w:rsidRPr="00597E1E" w:rsidRDefault="00847CBD" w:rsidP="00C4632F">
            <w:pPr>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14:paraId="2E54FF06" w14:textId="77777777" w:rsidR="00847CBD" w:rsidRPr="00597E1E" w:rsidRDefault="00847CBD" w:rsidP="00C4632F">
            <w:pPr>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14:paraId="0DC85BFB" w14:textId="77777777" w:rsidR="00847CBD" w:rsidRPr="00597E1E" w:rsidRDefault="00847CBD" w:rsidP="00C4632F">
            <w:pPr>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14:paraId="5A7D54A5" w14:textId="77777777" w:rsidR="00847CBD" w:rsidRPr="00597E1E" w:rsidRDefault="00847CBD" w:rsidP="00C4632F">
            <w:pPr>
              <w:suppressAutoHyphens w:val="0"/>
              <w:spacing w:before="40" w:after="40" w:line="220" w:lineRule="exact"/>
              <w:jc w:val="right"/>
              <w:rPr>
                <w:rFonts w:eastAsia="Calibri"/>
                <w:sz w:val="18"/>
                <w:szCs w:val="17"/>
                <w:lang w:val="fr-FR" w:eastAsia="zh-CN"/>
              </w:rPr>
            </w:pPr>
          </w:p>
        </w:tc>
      </w:tr>
      <w:tr w:rsidR="00847CBD" w:rsidRPr="00597E1E" w14:paraId="423DE193" w14:textId="77777777" w:rsidTr="00C4632F">
        <w:tc>
          <w:tcPr>
            <w:tcW w:w="6327" w:type="dxa"/>
            <w:shd w:val="clear" w:color="auto" w:fill="auto"/>
            <w:hideMark/>
          </w:tcPr>
          <w:p w14:paraId="4B8C9FA3" w14:textId="77777777" w:rsidR="00847CBD" w:rsidRPr="00597E1E" w:rsidRDefault="00847CBD" w:rsidP="00C4632F">
            <w:pPr>
              <w:suppressAutoHyphens w:val="0"/>
              <w:spacing w:before="40" w:after="40" w:line="220" w:lineRule="exact"/>
              <w:rPr>
                <w:rFonts w:eastAsia="Calibri"/>
                <w:b/>
                <w:sz w:val="18"/>
                <w:szCs w:val="22"/>
                <w:lang w:val="fr-FR"/>
              </w:rPr>
            </w:pPr>
            <w:r w:rsidRPr="00597E1E">
              <w:rPr>
                <w:b/>
                <w:bCs/>
                <w:sz w:val="18"/>
                <w:lang w:val="fr-FR"/>
              </w:rPr>
              <w:t>Projets de coopération technique</w:t>
            </w:r>
          </w:p>
        </w:tc>
        <w:tc>
          <w:tcPr>
            <w:tcW w:w="826" w:type="dxa"/>
            <w:shd w:val="clear" w:color="auto" w:fill="auto"/>
            <w:vAlign w:val="bottom"/>
            <w:hideMark/>
          </w:tcPr>
          <w:p w14:paraId="6CD51418"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53" w:type="dxa"/>
            <w:shd w:val="clear" w:color="auto" w:fill="auto"/>
            <w:vAlign w:val="bottom"/>
            <w:hideMark/>
          </w:tcPr>
          <w:p w14:paraId="4570BB6E"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15" w:type="dxa"/>
            <w:shd w:val="clear" w:color="auto" w:fill="auto"/>
            <w:vAlign w:val="bottom"/>
            <w:hideMark/>
          </w:tcPr>
          <w:p w14:paraId="10D33538"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2</w:t>
            </w:r>
          </w:p>
        </w:tc>
        <w:tc>
          <w:tcPr>
            <w:tcW w:w="817" w:type="dxa"/>
            <w:shd w:val="clear" w:color="auto" w:fill="auto"/>
            <w:vAlign w:val="bottom"/>
            <w:hideMark/>
          </w:tcPr>
          <w:p w14:paraId="11AD590C"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2</w:t>
            </w:r>
          </w:p>
        </w:tc>
      </w:tr>
      <w:tr w:rsidR="00847CBD" w:rsidRPr="00597E1E" w14:paraId="37C04B67" w14:textId="77777777" w:rsidTr="00C4632F">
        <w:tc>
          <w:tcPr>
            <w:tcW w:w="6327" w:type="dxa"/>
            <w:shd w:val="clear" w:color="auto" w:fill="auto"/>
            <w:hideMark/>
          </w:tcPr>
          <w:p w14:paraId="5B03916D" w14:textId="77777777" w:rsidR="00847CBD" w:rsidRPr="00597E1E" w:rsidRDefault="00847CBD" w:rsidP="00C4632F">
            <w:pPr>
              <w:suppressAutoHyphens w:val="0"/>
              <w:spacing w:before="40" w:after="40" w:line="220" w:lineRule="exact"/>
              <w:rPr>
                <w:rFonts w:eastAsia="Calibri"/>
                <w:bCs/>
                <w:sz w:val="18"/>
                <w:szCs w:val="22"/>
                <w:lang w:val="fr-FR"/>
              </w:rPr>
            </w:pPr>
            <w:r w:rsidRPr="00597E1E">
              <w:rPr>
                <w:sz w:val="18"/>
                <w:lang w:val="fr-FR"/>
              </w:rPr>
              <w:t>7.</w:t>
            </w:r>
            <w:r w:rsidRPr="00597E1E">
              <w:rPr>
                <w:sz w:val="18"/>
                <w:lang w:val="fr-FR"/>
              </w:rPr>
              <w:tab/>
              <w:t>Projet d’autoroute transeuropéenne (TEM)</w:t>
            </w:r>
          </w:p>
        </w:tc>
        <w:tc>
          <w:tcPr>
            <w:tcW w:w="826" w:type="dxa"/>
            <w:shd w:val="clear" w:color="auto" w:fill="auto"/>
            <w:vAlign w:val="bottom"/>
            <w:hideMark/>
          </w:tcPr>
          <w:p w14:paraId="32EEF85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14:paraId="14B8D64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14:paraId="1200302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14:paraId="2C43953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64FA3AED" w14:textId="77777777" w:rsidTr="00C4632F">
        <w:tc>
          <w:tcPr>
            <w:tcW w:w="6327" w:type="dxa"/>
            <w:shd w:val="clear" w:color="auto" w:fill="auto"/>
            <w:hideMark/>
          </w:tcPr>
          <w:p w14:paraId="671981E3" w14:textId="77777777" w:rsidR="00847CBD" w:rsidRPr="00597E1E" w:rsidRDefault="00847CBD" w:rsidP="00C4632F">
            <w:pPr>
              <w:suppressAutoHyphens w:val="0"/>
              <w:spacing w:before="40" w:after="40" w:line="220" w:lineRule="exact"/>
              <w:rPr>
                <w:rFonts w:eastAsia="Calibri"/>
                <w:bCs/>
                <w:sz w:val="18"/>
                <w:szCs w:val="22"/>
                <w:lang w:val="fr-FR"/>
              </w:rPr>
            </w:pPr>
            <w:r w:rsidRPr="00597E1E">
              <w:rPr>
                <w:sz w:val="18"/>
                <w:lang w:val="fr-FR"/>
              </w:rPr>
              <w:t>8.</w:t>
            </w:r>
            <w:r w:rsidRPr="00597E1E">
              <w:rPr>
                <w:sz w:val="18"/>
                <w:lang w:val="fr-FR"/>
              </w:rPr>
              <w:tab/>
              <w:t>Projet de chemin de fer transeuropéen (TER)</w:t>
            </w:r>
          </w:p>
        </w:tc>
        <w:tc>
          <w:tcPr>
            <w:tcW w:w="826" w:type="dxa"/>
            <w:shd w:val="clear" w:color="auto" w:fill="auto"/>
            <w:vAlign w:val="bottom"/>
            <w:hideMark/>
          </w:tcPr>
          <w:p w14:paraId="5898C8A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14:paraId="785619F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14:paraId="1A2FD3A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14:paraId="37D7984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206D21BD" w14:textId="77777777" w:rsidTr="00C4632F">
        <w:tc>
          <w:tcPr>
            <w:tcW w:w="6327" w:type="dxa"/>
            <w:shd w:val="clear" w:color="auto" w:fill="auto"/>
            <w:hideMark/>
          </w:tcPr>
          <w:p w14:paraId="6EB39373" w14:textId="77777777" w:rsidR="00847CBD" w:rsidRPr="00597E1E" w:rsidRDefault="00847CBD" w:rsidP="00C4632F">
            <w:pPr>
              <w:suppressAutoHyphens w:val="0"/>
              <w:spacing w:before="40" w:after="40" w:line="220" w:lineRule="exact"/>
              <w:rPr>
                <w:rFonts w:eastAsia="Calibri"/>
                <w:b/>
                <w:sz w:val="18"/>
                <w:szCs w:val="22"/>
                <w:lang w:val="fr-FR"/>
              </w:rPr>
            </w:pPr>
            <w:r w:rsidRPr="00597E1E">
              <w:rPr>
                <w:b/>
                <w:bCs/>
                <w:sz w:val="18"/>
                <w:lang w:val="fr-FR"/>
              </w:rPr>
              <w:t>Séminaires, ateliers, bourses et activités de formation</w:t>
            </w:r>
          </w:p>
        </w:tc>
        <w:tc>
          <w:tcPr>
            <w:tcW w:w="826" w:type="dxa"/>
            <w:shd w:val="clear" w:color="auto" w:fill="auto"/>
            <w:vAlign w:val="bottom"/>
            <w:hideMark/>
          </w:tcPr>
          <w:p w14:paraId="7A2C9E8E"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11</w:t>
            </w:r>
          </w:p>
        </w:tc>
        <w:tc>
          <w:tcPr>
            <w:tcW w:w="853" w:type="dxa"/>
            <w:shd w:val="clear" w:color="auto" w:fill="auto"/>
            <w:vAlign w:val="bottom"/>
            <w:hideMark/>
          </w:tcPr>
          <w:p w14:paraId="1CCBB07D" w14:textId="77777777" w:rsidR="00847CBD" w:rsidRPr="00597E1E" w:rsidRDefault="00847CBD" w:rsidP="00C4632F">
            <w:pPr>
              <w:suppressAutoHyphens w:val="0"/>
              <w:spacing w:before="40" w:after="40" w:line="220" w:lineRule="exact"/>
              <w:jc w:val="right"/>
              <w:rPr>
                <w:rFonts w:eastAsia="Calibri"/>
                <w:b/>
                <w:bCs/>
                <w:sz w:val="18"/>
                <w:szCs w:val="17"/>
                <w:lang w:val="fr-FR"/>
              </w:rPr>
            </w:pPr>
            <w:r w:rsidRPr="00597E1E">
              <w:rPr>
                <w:b/>
                <w:bCs/>
                <w:sz w:val="18"/>
                <w:lang w:val="fr-FR"/>
              </w:rPr>
              <w:t>11</w:t>
            </w:r>
          </w:p>
        </w:tc>
        <w:tc>
          <w:tcPr>
            <w:tcW w:w="815" w:type="dxa"/>
            <w:shd w:val="clear" w:color="auto" w:fill="auto"/>
            <w:vAlign w:val="bottom"/>
            <w:hideMark/>
          </w:tcPr>
          <w:p w14:paraId="4D3E6B79"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13</w:t>
            </w:r>
          </w:p>
        </w:tc>
        <w:tc>
          <w:tcPr>
            <w:tcW w:w="817" w:type="dxa"/>
            <w:shd w:val="clear" w:color="auto" w:fill="auto"/>
            <w:vAlign w:val="bottom"/>
            <w:hideMark/>
          </w:tcPr>
          <w:p w14:paraId="6EADE668" w14:textId="77777777" w:rsidR="00847CBD" w:rsidRPr="00597E1E" w:rsidRDefault="00847CBD" w:rsidP="00C4632F">
            <w:pPr>
              <w:suppressAutoHyphens w:val="0"/>
              <w:spacing w:before="40" w:after="40" w:line="220" w:lineRule="exact"/>
              <w:jc w:val="right"/>
              <w:rPr>
                <w:rFonts w:eastAsia="Calibri"/>
                <w:b/>
                <w:bCs/>
                <w:sz w:val="18"/>
                <w:szCs w:val="22"/>
                <w:lang w:val="fr-FR"/>
              </w:rPr>
            </w:pPr>
            <w:r w:rsidRPr="00597E1E">
              <w:rPr>
                <w:b/>
                <w:bCs/>
                <w:sz w:val="18"/>
                <w:lang w:val="fr-FR"/>
              </w:rPr>
              <w:t>13</w:t>
            </w:r>
          </w:p>
        </w:tc>
      </w:tr>
      <w:tr w:rsidR="00847CBD" w:rsidRPr="00597E1E" w14:paraId="619C0A20" w14:textId="77777777" w:rsidTr="00C4632F">
        <w:tc>
          <w:tcPr>
            <w:tcW w:w="6327" w:type="dxa"/>
            <w:shd w:val="clear" w:color="auto" w:fill="auto"/>
            <w:hideMark/>
          </w:tcPr>
          <w:p w14:paraId="15B4102D"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9.</w:t>
            </w:r>
            <w:r w:rsidRPr="00597E1E">
              <w:rPr>
                <w:sz w:val="18"/>
                <w:lang w:val="fr-FR"/>
              </w:rPr>
              <w:tab/>
              <w:t xml:space="preserve">Ateliers organisés à l’intention de responsables gouvernementaux et d’autres parties prenantes dans la région de la CEE et dans les Parties contractantes aux instruments juridiques relevant du Comité des transports intérieurs, sur : les </w:t>
            </w:r>
            <w:r w:rsidRPr="00597E1E">
              <w:rPr>
                <w:sz w:val="18"/>
                <w:lang w:val="fr-FR"/>
              </w:rPr>
              <w:lastRenderedPageBreak/>
              <w:t>systèmes de transport intelligents ; les statistiques des transports et les tendances en la matière ; les questions de transport routier, ferroviaire, fluvial, intermodal et intersectoriel ; les accords et Règlements sur les véhicules</w:t>
            </w:r>
          </w:p>
        </w:tc>
        <w:tc>
          <w:tcPr>
            <w:tcW w:w="826" w:type="dxa"/>
            <w:shd w:val="clear" w:color="auto" w:fill="auto"/>
            <w:vAlign w:val="bottom"/>
            <w:hideMark/>
          </w:tcPr>
          <w:p w14:paraId="37DD50E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lastRenderedPageBreak/>
              <w:t>7</w:t>
            </w:r>
          </w:p>
        </w:tc>
        <w:tc>
          <w:tcPr>
            <w:tcW w:w="853" w:type="dxa"/>
            <w:shd w:val="clear" w:color="auto" w:fill="auto"/>
            <w:vAlign w:val="bottom"/>
            <w:hideMark/>
          </w:tcPr>
          <w:p w14:paraId="4074D35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7</w:t>
            </w:r>
          </w:p>
        </w:tc>
        <w:tc>
          <w:tcPr>
            <w:tcW w:w="815" w:type="dxa"/>
            <w:shd w:val="clear" w:color="auto" w:fill="auto"/>
            <w:vAlign w:val="bottom"/>
            <w:hideMark/>
          </w:tcPr>
          <w:p w14:paraId="5CDC269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9</w:t>
            </w:r>
          </w:p>
        </w:tc>
        <w:tc>
          <w:tcPr>
            <w:tcW w:w="817" w:type="dxa"/>
            <w:shd w:val="clear" w:color="auto" w:fill="auto"/>
            <w:vAlign w:val="bottom"/>
            <w:hideMark/>
          </w:tcPr>
          <w:p w14:paraId="04C0557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9</w:t>
            </w:r>
          </w:p>
        </w:tc>
      </w:tr>
      <w:tr w:rsidR="00847CBD" w:rsidRPr="00597E1E" w14:paraId="7D77759C" w14:textId="77777777" w:rsidTr="00C4632F">
        <w:tc>
          <w:tcPr>
            <w:tcW w:w="6327" w:type="dxa"/>
            <w:shd w:val="clear" w:color="auto" w:fill="auto"/>
            <w:hideMark/>
          </w:tcPr>
          <w:p w14:paraId="3A3D618A"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10.</w:t>
            </w:r>
            <w:r w:rsidRPr="00597E1E">
              <w:rPr>
                <w:sz w:val="18"/>
                <w:lang w:val="fr-FR"/>
              </w:rPr>
              <w:tab/>
              <w:t>Séminaires à l’intention des coordonnateurs nationaux, des experts, des fonctionnaires des douanes et du secteur des transports sur la Convention TIR et les projets d’autoroute transeuropéenne et de chemin de fer transeuropéen</w:t>
            </w:r>
          </w:p>
        </w:tc>
        <w:tc>
          <w:tcPr>
            <w:tcW w:w="826" w:type="dxa"/>
            <w:shd w:val="clear" w:color="auto" w:fill="auto"/>
            <w:vAlign w:val="bottom"/>
            <w:hideMark/>
          </w:tcPr>
          <w:p w14:paraId="5FD3C4E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w:t>
            </w:r>
          </w:p>
        </w:tc>
        <w:tc>
          <w:tcPr>
            <w:tcW w:w="853" w:type="dxa"/>
            <w:shd w:val="clear" w:color="auto" w:fill="auto"/>
            <w:vAlign w:val="bottom"/>
            <w:hideMark/>
          </w:tcPr>
          <w:p w14:paraId="5A35764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w:t>
            </w:r>
          </w:p>
        </w:tc>
        <w:tc>
          <w:tcPr>
            <w:tcW w:w="815" w:type="dxa"/>
            <w:shd w:val="clear" w:color="auto" w:fill="auto"/>
            <w:vAlign w:val="bottom"/>
            <w:hideMark/>
          </w:tcPr>
          <w:p w14:paraId="50069F7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w:t>
            </w:r>
          </w:p>
        </w:tc>
        <w:tc>
          <w:tcPr>
            <w:tcW w:w="817" w:type="dxa"/>
            <w:shd w:val="clear" w:color="auto" w:fill="auto"/>
            <w:vAlign w:val="bottom"/>
            <w:hideMark/>
          </w:tcPr>
          <w:p w14:paraId="29214C4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w:t>
            </w:r>
          </w:p>
        </w:tc>
      </w:tr>
      <w:tr w:rsidR="00847CBD" w:rsidRPr="00597E1E" w14:paraId="04093E89" w14:textId="77777777" w:rsidTr="00C4632F">
        <w:tc>
          <w:tcPr>
            <w:tcW w:w="6327" w:type="dxa"/>
            <w:shd w:val="clear" w:color="auto" w:fill="auto"/>
            <w:hideMark/>
          </w:tcPr>
          <w:p w14:paraId="6AE7E89E" w14:textId="77777777" w:rsidR="00847CBD" w:rsidRPr="00597E1E" w:rsidRDefault="00847CBD" w:rsidP="00787900">
            <w:pPr>
              <w:keepNext/>
              <w:suppressAutoHyphens w:val="0"/>
              <w:spacing w:before="40" w:after="40" w:line="220" w:lineRule="exact"/>
              <w:rPr>
                <w:rFonts w:eastAsia="Calibri"/>
                <w:b/>
                <w:sz w:val="18"/>
                <w:szCs w:val="22"/>
                <w:lang w:val="fr-FR"/>
              </w:rPr>
            </w:pPr>
            <w:r w:rsidRPr="00597E1E">
              <w:rPr>
                <w:b/>
                <w:bCs/>
                <w:sz w:val="18"/>
                <w:lang w:val="fr-FR"/>
              </w:rPr>
              <w:t>Publications</w:t>
            </w:r>
          </w:p>
        </w:tc>
        <w:tc>
          <w:tcPr>
            <w:tcW w:w="826" w:type="dxa"/>
            <w:shd w:val="clear" w:color="auto" w:fill="auto"/>
            <w:vAlign w:val="bottom"/>
            <w:hideMark/>
          </w:tcPr>
          <w:p w14:paraId="5DD3D47B" w14:textId="77777777" w:rsidR="00847CBD" w:rsidRPr="00597E1E" w:rsidRDefault="00847CBD" w:rsidP="00787900">
            <w:pPr>
              <w:keepNext/>
              <w:suppressAutoHyphens w:val="0"/>
              <w:spacing w:before="40" w:after="40" w:line="220" w:lineRule="exact"/>
              <w:jc w:val="right"/>
              <w:rPr>
                <w:rFonts w:eastAsia="Calibri"/>
                <w:b/>
                <w:sz w:val="18"/>
                <w:szCs w:val="17"/>
                <w:lang w:val="fr-FR"/>
              </w:rPr>
            </w:pPr>
            <w:r w:rsidRPr="00597E1E">
              <w:rPr>
                <w:b/>
                <w:bCs/>
                <w:sz w:val="18"/>
                <w:lang w:val="fr-FR"/>
              </w:rPr>
              <w:t>14</w:t>
            </w:r>
          </w:p>
        </w:tc>
        <w:tc>
          <w:tcPr>
            <w:tcW w:w="853" w:type="dxa"/>
            <w:shd w:val="clear" w:color="auto" w:fill="auto"/>
            <w:vAlign w:val="bottom"/>
            <w:hideMark/>
          </w:tcPr>
          <w:p w14:paraId="228B5FDB" w14:textId="77777777" w:rsidR="00847CBD" w:rsidRPr="00597E1E" w:rsidRDefault="00847CBD" w:rsidP="00787900">
            <w:pPr>
              <w:keepNext/>
              <w:suppressAutoHyphens w:val="0"/>
              <w:spacing w:before="40" w:after="40" w:line="220" w:lineRule="exact"/>
              <w:jc w:val="right"/>
              <w:rPr>
                <w:rFonts w:eastAsia="Calibri"/>
                <w:b/>
                <w:sz w:val="18"/>
                <w:szCs w:val="17"/>
                <w:lang w:val="fr-FR"/>
              </w:rPr>
            </w:pPr>
            <w:r w:rsidRPr="00597E1E">
              <w:rPr>
                <w:b/>
                <w:bCs/>
                <w:sz w:val="18"/>
                <w:lang w:val="fr-FR"/>
              </w:rPr>
              <w:t>14</w:t>
            </w:r>
          </w:p>
        </w:tc>
        <w:tc>
          <w:tcPr>
            <w:tcW w:w="815" w:type="dxa"/>
            <w:shd w:val="clear" w:color="auto" w:fill="auto"/>
            <w:vAlign w:val="bottom"/>
            <w:hideMark/>
          </w:tcPr>
          <w:p w14:paraId="57E920FC" w14:textId="77777777" w:rsidR="00847CBD" w:rsidRPr="00597E1E" w:rsidRDefault="00847CBD" w:rsidP="00787900">
            <w:pPr>
              <w:keepNext/>
              <w:suppressAutoHyphens w:val="0"/>
              <w:spacing w:before="40" w:after="40" w:line="220" w:lineRule="exact"/>
              <w:jc w:val="right"/>
              <w:rPr>
                <w:rFonts w:eastAsia="Calibri"/>
                <w:b/>
                <w:sz w:val="18"/>
                <w:szCs w:val="22"/>
                <w:lang w:val="fr-FR"/>
              </w:rPr>
            </w:pPr>
            <w:r w:rsidRPr="00597E1E">
              <w:rPr>
                <w:b/>
                <w:bCs/>
                <w:sz w:val="18"/>
                <w:lang w:val="fr-FR"/>
              </w:rPr>
              <w:t>13</w:t>
            </w:r>
          </w:p>
        </w:tc>
        <w:tc>
          <w:tcPr>
            <w:tcW w:w="817" w:type="dxa"/>
            <w:shd w:val="clear" w:color="auto" w:fill="auto"/>
            <w:vAlign w:val="bottom"/>
            <w:hideMark/>
          </w:tcPr>
          <w:p w14:paraId="25A347E1" w14:textId="77777777" w:rsidR="00847CBD" w:rsidRPr="00597E1E" w:rsidRDefault="00847CBD" w:rsidP="00787900">
            <w:pPr>
              <w:keepNext/>
              <w:suppressAutoHyphens w:val="0"/>
              <w:spacing w:before="40" w:after="40" w:line="220" w:lineRule="exact"/>
              <w:jc w:val="right"/>
              <w:rPr>
                <w:rFonts w:eastAsia="Calibri"/>
                <w:b/>
                <w:sz w:val="18"/>
                <w:szCs w:val="22"/>
                <w:lang w:val="fr-FR"/>
              </w:rPr>
            </w:pPr>
            <w:r w:rsidRPr="00597E1E">
              <w:rPr>
                <w:b/>
                <w:bCs/>
                <w:sz w:val="18"/>
                <w:lang w:val="fr-FR"/>
              </w:rPr>
              <w:t>12</w:t>
            </w:r>
          </w:p>
        </w:tc>
      </w:tr>
      <w:tr w:rsidR="00847CBD" w:rsidRPr="00597E1E" w14:paraId="695854C2" w14:textId="77777777" w:rsidTr="00C4632F">
        <w:tc>
          <w:tcPr>
            <w:tcW w:w="6327" w:type="dxa"/>
            <w:shd w:val="clear" w:color="auto" w:fill="auto"/>
            <w:hideMark/>
          </w:tcPr>
          <w:p w14:paraId="71B0BF4B" w14:textId="77777777" w:rsidR="00847CBD" w:rsidRPr="00D7286C" w:rsidRDefault="00847CBD" w:rsidP="00787900">
            <w:pPr>
              <w:keepNext/>
              <w:suppressAutoHyphens w:val="0"/>
              <w:spacing w:before="40" w:after="40" w:line="220" w:lineRule="exact"/>
              <w:ind w:left="567" w:hanging="567"/>
              <w:rPr>
                <w:sz w:val="18"/>
                <w:lang w:val="fr-FR"/>
              </w:rPr>
            </w:pPr>
            <w:r w:rsidRPr="00597E1E">
              <w:rPr>
                <w:sz w:val="18"/>
                <w:lang w:val="fr-FR"/>
              </w:rPr>
              <w:t>11.</w:t>
            </w:r>
            <w:r w:rsidRPr="00597E1E">
              <w:rPr>
                <w:sz w:val="18"/>
                <w:lang w:val="fr-FR"/>
              </w:rPr>
              <w:tab/>
              <w:t>Publications sur le transport des marchandises dangereuses et d’autres cargaisons spéciales</w:t>
            </w:r>
          </w:p>
        </w:tc>
        <w:tc>
          <w:tcPr>
            <w:tcW w:w="826" w:type="dxa"/>
            <w:shd w:val="clear" w:color="auto" w:fill="auto"/>
            <w:vAlign w:val="bottom"/>
            <w:hideMark/>
          </w:tcPr>
          <w:p w14:paraId="24A7A2EC" w14:textId="77777777" w:rsidR="00847CBD" w:rsidRPr="00597E1E" w:rsidRDefault="00847CBD" w:rsidP="00787900">
            <w:pPr>
              <w:keepNext/>
              <w:suppressAutoHyphens w:val="0"/>
              <w:spacing w:before="40" w:after="40" w:line="220" w:lineRule="exact"/>
              <w:jc w:val="right"/>
              <w:rPr>
                <w:rFonts w:eastAsia="Calibri"/>
                <w:sz w:val="18"/>
                <w:szCs w:val="17"/>
                <w:lang w:val="fr-FR"/>
              </w:rPr>
            </w:pPr>
            <w:r w:rsidRPr="00597E1E">
              <w:rPr>
                <w:sz w:val="18"/>
                <w:lang w:val="fr-FR"/>
              </w:rPr>
              <w:t>4</w:t>
            </w:r>
          </w:p>
        </w:tc>
        <w:tc>
          <w:tcPr>
            <w:tcW w:w="853" w:type="dxa"/>
            <w:shd w:val="clear" w:color="auto" w:fill="auto"/>
            <w:vAlign w:val="bottom"/>
            <w:hideMark/>
          </w:tcPr>
          <w:p w14:paraId="4E22092E" w14:textId="77777777" w:rsidR="00847CBD" w:rsidRPr="00597E1E" w:rsidRDefault="00847CBD" w:rsidP="00787900">
            <w:pPr>
              <w:keepNext/>
              <w:suppressAutoHyphens w:val="0"/>
              <w:spacing w:before="40" w:after="40" w:line="220" w:lineRule="exact"/>
              <w:jc w:val="right"/>
              <w:rPr>
                <w:rFonts w:eastAsia="Calibri"/>
                <w:sz w:val="18"/>
                <w:szCs w:val="17"/>
                <w:lang w:val="fr-FR"/>
              </w:rPr>
            </w:pPr>
            <w:r w:rsidRPr="00597E1E">
              <w:rPr>
                <w:sz w:val="18"/>
                <w:lang w:val="fr-FR"/>
              </w:rPr>
              <w:t>4</w:t>
            </w:r>
          </w:p>
        </w:tc>
        <w:tc>
          <w:tcPr>
            <w:tcW w:w="815" w:type="dxa"/>
            <w:shd w:val="clear" w:color="auto" w:fill="auto"/>
            <w:vAlign w:val="bottom"/>
            <w:hideMark/>
          </w:tcPr>
          <w:p w14:paraId="0AC71490" w14:textId="77777777" w:rsidR="00847CBD" w:rsidRPr="00597E1E" w:rsidRDefault="00847CBD" w:rsidP="00787900">
            <w:pPr>
              <w:keepNext/>
              <w:suppressAutoHyphens w:val="0"/>
              <w:spacing w:before="40" w:after="40" w:line="220" w:lineRule="exact"/>
              <w:jc w:val="right"/>
              <w:rPr>
                <w:rFonts w:eastAsia="Calibri"/>
                <w:sz w:val="18"/>
                <w:szCs w:val="17"/>
                <w:lang w:val="fr-FR"/>
              </w:rPr>
            </w:pPr>
            <w:r w:rsidRPr="00597E1E">
              <w:rPr>
                <w:sz w:val="18"/>
                <w:lang w:val="fr-FR"/>
              </w:rPr>
              <w:t>3</w:t>
            </w:r>
          </w:p>
        </w:tc>
        <w:tc>
          <w:tcPr>
            <w:tcW w:w="817" w:type="dxa"/>
            <w:shd w:val="clear" w:color="auto" w:fill="auto"/>
            <w:vAlign w:val="bottom"/>
            <w:hideMark/>
          </w:tcPr>
          <w:p w14:paraId="126C8C8A" w14:textId="77777777" w:rsidR="00847CBD" w:rsidRPr="00597E1E" w:rsidRDefault="00847CBD" w:rsidP="00787900">
            <w:pPr>
              <w:keepNext/>
              <w:suppressAutoHyphens w:val="0"/>
              <w:spacing w:before="40" w:after="40" w:line="220" w:lineRule="exact"/>
              <w:jc w:val="right"/>
              <w:rPr>
                <w:rFonts w:eastAsia="Calibri"/>
                <w:sz w:val="18"/>
                <w:szCs w:val="17"/>
                <w:lang w:val="fr-FR"/>
              </w:rPr>
            </w:pPr>
            <w:r w:rsidRPr="00597E1E">
              <w:rPr>
                <w:sz w:val="18"/>
                <w:lang w:val="fr-FR"/>
              </w:rPr>
              <w:t>3</w:t>
            </w:r>
          </w:p>
        </w:tc>
      </w:tr>
      <w:tr w:rsidR="00847CBD" w:rsidRPr="00597E1E" w14:paraId="10305C9E" w14:textId="77777777" w:rsidTr="00C4632F">
        <w:tc>
          <w:tcPr>
            <w:tcW w:w="6327" w:type="dxa"/>
            <w:shd w:val="clear" w:color="auto" w:fill="auto"/>
            <w:hideMark/>
          </w:tcPr>
          <w:p w14:paraId="7CB89361"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12.</w:t>
            </w:r>
            <w:r w:rsidRPr="00597E1E">
              <w:rPr>
                <w:sz w:val="18"/>
                <w:lang w:val="fr-FR"/>
              </w:rPr>
              <w:tab/>
              <w:t>Publications sur le transport des denrées périssables</w:t>
            </w:r>
          </w:p>
        </w:tc>
        <w:tc>
          <w:tcPr>
            <w:tcW w:w="826" w:type="dxa"/>
            <w:shd w:val="clear" w:color="auto" w:fill="auto"/>
            <w:vAlign w:val="bottom"/>
            <w:hideMark/>
          </w:tcPr>
          <w:p w14:paraId="4FFAE89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14:paraId="67B91E73"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14:paraId="43D213D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14:paraId="6D4F244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1A8B437E" w14:textId="77777777" w:rsidTr="00C4632F">
        <w:tc>
          <w:tcPr>
            <w:tcW w:w="6327" w:type="dxa"/>
            <w:shd w:val="clear" w:color="auto" w:fill="auto"/>
            <w:hideMark/>
          </w:tcPr>
          <w:p w14:paraId="2A5DC72E"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13.</w:t>
            </w:r>
            <w:r w:rsidRPr="00597E1E">
              <w:rPr>
                <w:sz w:val="18"/>
                <w:lang w:val="fr-FR"/>
              </w:rPr>
              <w:tab/>
              <w:t>Publications sur la facilitation des transports</w:t>
            </w:r>
          </w:p>
        </w:tc>
        <w:tc>
          <w:tcPr>
            <w:tcW w:w="826" w:type="dxa"/>
            <w:shd w:val="clear" w:color="auto" w:fill="auto"/>
            <w:vAlign w:val="bottom"/>
            <w:hideMark/>
          </w:tcPr>
          <w:p w14:paraId="6AAF08E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w:t>
            </w:r>
          </w:p>
        </w:tc>
        <w:tc>
          <w:tcPr>
            <w:tcW w:w="853" w:type="dxa"/>
            <w:shd w:val="clear" w:color="auto" w:fill="auto"/>
            <w:vAlign w:val="bottom"/>
            <w:hideMark/>
          </w:tcPr>
          <w:p w14:paraId="57F4590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3</w:t>
            </w:r>
          </w:p>
        </w:tc>
        <w:tc>
          <w:tcPr>
            <w:tcW w:w="815" w:type="dxa"/>
            <w:shd w:val="clear" w:color="auto" w:fill="auto"/>
            <w:vAlign w:val="bottom"/>
            <w:hideMark/>
          </w:tcPr>
          <w:p w14:paraId="54096C9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14:paraId="0896C18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5A68EB9D" w14:textId="77777777" w:rsidTr="00C4632F">
        <w:tc>
          <w:tcPr>
            <w:tcW w:w="6327" w:type="dxa"/>
            <w:shd w:val="clear" w:color="auto" w:fill="auto"/>
            <w:hideMark/>
          </w:tcPr>
          <w:p w14:paraId="6BA8FE61" w14:textId="77777777" w:rsidR="00847CBD" w:rsidRPr="00597E1E" w:rsidRDefault="00847CBD" w:rsidP="00C4632F">
            <w:pPr>
              <w:suppressAutoHyphens w:val="0"/>
              <w:spacing w:before="40" w:after="40" w:line="220" w:lineRule="exact"/>
              <w:ind w:left="567" w:hanging="567"/>
              <w:rPr>
                <w:rFonts w:eastAsia="Calibri"/>
                <w:sz w:val="18"/>
                <w:szCs w:val="22"/>
                <w:lang w:val="fr-FR"/>
              </w:rPr>
            </w:pPr>
            <w:r w:rsidRPr="00597E1E">
              <w:rPr>
                <w:sz w:val="18"/>
                <w:lang w:val="fr-FR"/>
              </w:rPr>
              <w:t>14.</w:t>
            </w:r>
            <w:r w:rsidRPr="00597E1E">
              <w:rPr>
                <w:sz w:val="18"/>
                <w:lang w:val="fr-FR"/>
              </w:rPr>
              <w:tab/>
              <w:t>Publications sur les transports verts et sûrs et les questions transversales</w:t>
            </w:r>
          </w:p>
        </w:tc>
        <w:tc>
          <w:tcPr>
            <w:tcW w:w="826" w:type="dxa"/>
            <w:shd w:val="clear" w:color="auto" w:fill="auto"/>
            <w:vAlign w:val="bottom"/>
            <w:hideMark/>
          </w:tcPr>
          <w:p w14:paraId="4D33C5A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w:t>
            </w:r>
          </w:p>
        </w:tc>
        <w:tc>
          <w:tcPr>
            <w:tcW w:w="853" w:type="dxa"/>
            <w:shd w:val="clear" w:color="auto" w:fill="auto"/>
            <w:vAlign w:val="bottom"/>
            <w:hideMark/>
          </w:tcPr>
          <w:p w14:paraId="563164AA"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4</w:t>
            </w:r>
          </w:p>
        </w:tc>
        <w:tc>
          <w:tcPr>
            <w:tcW w:w="815" w:type="dxa"/>
            <w:shd w:val="clear" w:color="auto" w:fill="auto"/>
            <w:vAlign w:val="bottom"/>
            <w:hideMark/>
          </w:tcPr>
          <w:p w14:paraId="3FEFA9E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8</w:t>
            </w:r>
          </w:p>
        </w:tc>
        <w:tc>
          <w:tcPr>
            <w:tcW w:w="817" w:type="dxa"/>
            <w:shd w:val="clear" w:color="auto" w:fill="auto"/>
            <w:vAlign w:val="bottom"/>
            <w:hideMark/>
          </w:tcPr>
          <w:p w14:paraId="6856863E"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5</w:t>
            </w:r>
          </w:p>
        </w:tc>
      </w:tr>
      <w:tr w:rsidR="00847CBD" w:rsidRPr="00597E1E" w14:paraId="179D1762" w14:textId="77777777" w:rsidTr="00C4632F">
        <w:tc>
          <w:tcPr>
            <w:tcW w:w="6327" w:type="dxa"/>
            <w:shd w:val="clear" w:color="auto" w:fill="auto"/>
            <w:hideMark/>
          </w:tcPr>
          <w:p w14:paraId="0623BFE1"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15.</w:t>
            </w:r>
            <w:r w:rsidRPr="00597E1E">
              <w:rPr>
                <w:sz w:val="18"/>
                <w:lang w:val="fr-FR"/>
              </w:rPr>
              <w:tab/>
              <w:t>Publications sur les Règlements relatifs aux véhicules</w:t>
            </w:r>
          </w:p>
        </w:tc>
        <w:tc>
          <w:tcPr>
            <w:tcW w:w="826" w:type="dxa"/>
            <w:shd w:val="clear" w:color="auto" w:fill="auto"/>
            <w:vAlign w:val="bottom"/>
            <w:hideMark/>
          </w:tcPr>
          <w:p w14:paraId="2484C60D"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14:paraId="14AE93C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14:paraId="0866FAF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14:paraId="71B7149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27AA32DF" w14:textId="77777777" w:rsidTr="00C4632F">
        <w:tc>
          <w:tcPr>
            <w:tcW w:w="6327" w:type="dxa"/>
            <w:shd w:val="clear" w:color="auto" w:fill="auto"/>
            <w:hideMark/>
          </w:tcPr>
          <w:p w14:paraId="0096C546"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16.</w:t>
            </w:r>
            <w:r w:rsidRPr="00597E1E">
              <w:rPr>
                <w:sz w:val="18"/>
                <w:lang w:val="fr-FR"/>
              </w:rPr>
              <w:tab/>
              <w:t>Publications sur les statistiques</w:t>
            </w:r>
          </w:p>
        </w:tc>
        <w:tc>
          <w:tcPr>
            <w:tcW w:w="826" w:type="dxa"/>
            <w:shd w:val="clear" w:color="auto" w:fill="auto"/>
            <w:vAlign w:val="bottom"/>
            <w:hideMark/>
          </w:tcPr>
          <w:p w14:paraId="331ACA86"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w:t>
            </w:r>
          </w:p>
        </w:tc>
        <w:tc>
          <w:tcPr>
            <w:tcW w:w="853" w:type="dxa"/>
            <w:shd w:val="clear" w:color="auto" w:fill="auto"/>
            <w:vAlign w:val="bottom"/>
            <w:hideMark/>
          </w:tcPr>
          <w:p w14:paraId="25D8441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2</w:t>
            </w:r>
          </w:p>
        </w:tc>
        <w:tc>
          <w:tcPr>
            <w:tcW w:w="815" w:type="dxa"/>
            <w:shd w:val="clear" w:color="auto" w:fill="auto"/>
            <w:vAlign w:val="bottom"/>
            <w:hideMark/>
          </w:tcPr>
          <w:p w14:paraId="74B8B0F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14:paraId="6C698898"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597C9DD8" w14:textId="77777777" w:rsidTr="00C4632F">
        <w:tc>
          <w:tcPr>
            <w:tcW w:w="6327" w:type="dxa"/>
            <w:shd w:val="clear" w:color="auto" w:fill="auto"/>
            <w:hideMark/>
          </w:tcPr>
          <w:p w14:paraId="476E4E08" w14:textId="77777777" w:rsidR="00847CBD" w:rsidRPr="00597E1E" w:rsidRDefault="00847CBD" w:rsidP="00C4632F">
            <w:pPr>
              <w:keepNext/>
              <w:suppressAutoHyphens w:val="0"/>
              <w:spacing w:before="40" w:after="40" w:line="220" w:lineRule="exact"/>
              <w:rPr>
                <w:rFonts w:eastAsia="Calibri"/>
                <w:b/>
                <w:sz w:val="18"/>
                <w:szCs w:val="22"/>
                <w:lang w:val="fr-FR"/>
              </w:rPr>
            </w:pPr>
            <w:r w:rsidRPr="00597E1E">
              <w:rPr>
                <w:b/>
                <w:bCs/>
                <w:sz w:val="18"/>
                <w:lang w:val="fr-FR"/>
              </w:rPr>
              <w:t>Activités ou documentation techniques</w:t>
            </w:r>
          </w:p>
        </w:tc>
        <w:tc>
          <w:tcPr>
            <w:tcW w:w="826" w:type="dxa"/>
            <w:shd w:val="clear" w:color="auto" w:fill="auto"/>
            <w:vAlign w:val="bottom"/>
            <w:hideMark/>
          </w:tcPr>
          <w:p w14:paraId="6DB46B82" w14:textId="77777777" w:rsidR="00847CBD" w:rsidRPr="00597E1E" w:rsidRDefault="00847CBD" w:rsidP="00C4632F">
            <w:pPr>
              <w:keepNext/>
              <w:suppressAutoHyphens w:val="0"/>
              <w:spacing w:before="40" w:after="40" w:line="220" w:lineRule="exact"/>
              <w:jc w:val="right"/>
              <w:rPr>
                <w:rFonts w:eastAsia="Calibri"/>
                <w:b/>
                <w:sz w:val="18"/>
                <w:szCs w:val="17"/>
                <w:lang w:val="fr-FR"/>
              </w:rPr>
            </w:pPr>
            <w:r w:rsidRPr="00597E1E">
              <w:rPr>
                <w:b/>
                <w:bCs/>
                <w:sz w:val="18"/>
                <w:lang w:val="fr-FR"/>
              </w:rPr>
              <w:t>2</w:t>
            </w:r>
          </w:p>
        </w:tc>
        <w:tc>
          <w:tcPr>
            <w:tcW w:w="853" w:type="dxa"/>
            <w:shd w:val="clear" w:color="auto" w:fill="auto"/>
            <w:vAlign w:val="bottom"/>
            <w:hideMark/>
          </w:tcPr>
          <w:p w14:paraId="3D8D5BEE" w14:textId="77777777" w:rsidR="00847CBD" w:rsidRPr="00597E1E" w:rsidRDefault="00847CBD" w:rsidP="00C4632F">
            <w:pPr>
              <w:keepNext/>
              <w:suppressAutoHyphens w:val="0"/>
              <w:spacing w:before="40" w:after="40" w:line="220" w:lineRule="exact"/>
              <w:jc w:val="right"/>
              <w:rPr>
                <w:rFonts w:eastAsia="Calibri"/>
                <w:b/>
                <w:sz w:val="18"/>
                <w:szCs w:val="17"/>
                <w:lang w:val="fr-FR"/>
              </w:rPr>
            </w:pPr>
            <w:r w:rsidRPr="00597E1E">
              <w:rPr>
                <w:b/>
                <w:bCs/>
                <w:sz w:val="18"/>
                <w:lang w:val="fr-FR"/>
              </w:rPr>
              <w:t>2</w:t>
            </w:r>
          </w:p>
        </w:tc>
        <w:tc>
          <w:tcPr>
            <w:tcW w:w="815" w:type="dxa"/>
            <w:shd w:val="clear" w:color="auto" w:fill="auto"/>
            <w:vAlign w:val="bottom"/>
            <w:hideMark/>
          </w:tcPr>
          <w:p w14:paraId="730C7D1E" w14:textId="77777777" w:rsidR="00847CBD" w:rsidRPr="00597E1E" w:rsidRDefault="00847CBD" w:rsidP="00C4632F">
            <w:pPr>
              <w:keepNext/>
              <w:suppressAutoHyphens w:val="0"/>
              <w:spacing w:before="40" w:after="40" w:line="220" w:lineRule="exact"/>
              <w:jc w:val="right"/>
              <w:rPr>
                <w:rFonts w:eastAsia="Calibri"/>
                <w:b/>
                <w:sz w:val="18"/>
                <w:szCs w:val="22"/>
                <w:lang w:val="fr-FR"/>
              </w:rPr>
            </w:pPr>
            <w:r w:rsidRPr="00597E1E">
              <w:rPr>
                <w:b/>
                <w:bCs/>
                <w:sz w:val="18"/>
                <w:lang w:val="fr-FR"/>
              </w:rPr>
              <w:t>2</w:t>
            </w:r>
          </w:p>
        </w:tc>
        <w:tc>
          <w:tcPr>
            <w:tcW w:w="817" w:type="dxa"/>
            <w:shd w:val="clear" w:color="auto" w:fill="auto"/>
            <w:vAlign w:val="bottom"/>
            <w:hideMark/>
          </w:tcPr>
          <w:p w14:paraId="4128E8ED" w14:textId="77777777" w:rsidR="00847CBD" w:rsidRPr="00597E1E" w:rsidRDefault="00847CBD" w:rsidP="00C4632F">
            <w:pPr>
              <w:keepNext/>
              <w:suppressAutoHyphens w:val="0"/>
              <w:spacing w:before="40" w:after="40" w:line="220" w:lineRule="exact"/>
              <w:jc w:val="right"/>
              <w:rPr>
                <w:rFonts w:eastAsia="Calibri"/>
                <w:b/>
                <w:sz w:val="18"/>
                <w:szCs w:val="22"/>
                <w:lang w:val="fr-FR"/>
              </w:rPr>
            </w:pPr>
            <w:r w:rsidRPr="00597E1E">
              <w:rPr>
                <w:b/>
                <w:bCs/>
                <w:sz w:val="18"/>
                <w:lang w:val="fr-FR"/>
              </w:rPr>
              <w:t>2</w:t>
            </w:r>
          </w:p>
        </w:tc>
      </w:tr>
      <w:tr w:rsidR="00847CBD" w:rsidRPr="00597E1E" w14:paraId="38C12C01" w14:textId="77777777" w:rsidTr="00C4632F">
        <w:tc>
          <w:tcPr>
            <w:tcW w:w="6327" w:type="dxa"/>
            <w:shd w:val="clear" w:color="auto" w:fill="auto"/>
            <w:hideMark/>
          </w:tcPr>
          <w:p w14:paraId="1CC047D4"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17.</w:t>
            </w:r>
            <w:r w:rsidRPr="00597E1E">
              <w:rPr>
                <w:sz w:val="18"/>
                <w:lang w:val="fr-FR"/>
              </w:rPr>
              <w:tab/>
              <w:t xml:space="preserve">Fiche d’information : </w:t>
            </w:r>
            <w:r>
              <w:rPr>
                <w:sz w:val="18"/>
                <w:lang w:val="fr-FR"/>
              </w:rPr>
              <w:t>« </w:t>
            </w:r>
            <w:r w:rsidRPr="00597E1E">
              <w:rPr>
                <w:sz w:val="18"/>
                <w:lang w:val="fr-FR"/>
              </w:rPr>
              <w:t>Ce qu’il faut savoir sur les pneumatiques</w:t>
            </w:r>
            <w:r>
              <w:rPr>
                <w:sz w:val="18"/>
                <w:lang w:val="fr-FR"/>
              </w:rPr>
              <w:t> »</w:t>
            </w:r>
          </w:p>
        </w:tc>
        <w:tc>
          <w:tcPr>
            <w:tcW w:w="826" w:type="dxa"/>
            <w:shd w:val="clear" w:color="auto" w:fill="auto"/>
            <w:vAlign w:val="bottom"/>
            <w:hideMark/>
          </w:tcPr>
          <w:p w14:paraId="17905A1F"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14:paraId="17DE236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14:paraId="40007BC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14:paraId="6D999A4B"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r>
      <w:tr w:rsidR="00847CBD" w:rsidRPr="00597E1E" w14:paraId="22A8D65B" w14:textId="77777777" w:rsidTr="00C4632F">
        <w:tc>
          <w:tcPr>
            <w:tcW w:w="6327" w:type="dxa"/>
            <w:shd w:val="clear" w:color="auto" w:fill="auto"/>
            <w:hideMark/>
          </w:tcPr>
          <w:p w14:paraId="65C1E679" w14:textId="77777777" w:rsidR="00847CBD" w:rsidRPr="00597E1E" w:rsidRDefault="00847CBD" w:rsidP="00C4632F">
            <w:pPr>
              <w:suppressAutoHyphens w:val="0"/>
              <w:spacing w:before="40" w:after="40" w:line="220" w:lineRule="exact"/>
              <w:ind w:left="567" w:hanging="567"/>
              <w:rPr>
                <w:rFonts w:eastAsia="Calibri"/>
                <w:sz w:val="18"/>
                <w:szCs w:val="22"/>
                <w:lang w:val="fr-FR"/>
              </w:rPr>
            </w:pPr>
            <w:r w:rsidRPr="00597E1E">
              <w:rPr>
                <w:sz w:val="18"/>
                <w:lang w:val="fr-FR"/>
              </w:rPr>
              <w:t>18.</w:t>
            </w:r>
            <w:r w:rsidRPr="00597E1E">
              <w:rPr>
                <w:sz w:val="18"/>
                <w:lang w:val="fr-FR"/>
              </w:rPr>
              <w:tab/>
              <w:t xml:space="preserve">Fiche d’information : </w:t>
            </w:r>
            <w:r>
              <w:rPr>
                <w:sz w:val="18"/>
                <w:lang w:val="fr-FR"/>
              </w:rPr>
              <w:t>« </w:t>
            </w:r>
            <w:r w:rsidRPr="00597E1E">
              <w:rPr>
                <w:sz w:val="18"/>
                <w:lang w:val="fr-FR"/>
              </w:rPr>
              <w:t>Ce qu’il faut savoir sur les ceintures de sécurité</w:t>
            </w:r>
            <w:r>
              <w:rPr>
                <w:sz w:val="18"/>
                <w:lang w:val="fr-FR"/>
              </w:rPr>
              <w:t> »</w:t>
            </w:r>
          </w:p>
        </w:tc>
        <w:tc>
          <w:tcPr>
            <w:tcW w:w="826" w:type="dxa"/>
            <w:shd w:val="clear" w:color="auto" w:fill="auto"/>
            <w:vAlign w:val="bottom"/>
            <w:hideMark/>
          </w:tcPr>
          <w:p w14:paraId="5AB38E11"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14:paraId="355E0169"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14:paraId="7268EDD0"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14:paraId="3E78282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r>
      <w:tr w:rsidR="00847CBD" w:rsidRPr="00597E1E" w14:paraId="56B9E4E2" w14:textId="77777777" w:rsidTr="00C4632F">
        <w:tc>
          <w:tcPr>
            <w:tcW w:w="6327" w:type="dxa"/>
            <w:shd w:val="clear" w:color="auto" w:fill="auto"/>
            <w:hideMark/>
          </w:tcPr>
          <w:p w14:paraId="42341C67"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19.</w:t>
            </w:r>
            <w:r w:rsidRPr="00597E1E">
              <w:rPr>
                <w:sz w:val="18"/>
                <w:lang w:val="fr-FR"/>
              </w:rPr>
              <w:tab/>
              <w:t xml:space="preserve">Fiche d’information : </w:t>
            </w:r>
            <w:r>
              <w:rPr>
                <w:sz w:val="18"/>
                <w:lang w:val="fr-FR"/>
              </w:rPr>
              <w:t>« </w:t>
            </w:r>
            <w:r w:rsidRPr="00597E1E">
              <w:rPr>
                <w:sz w:val="18"/>
                <w:lang w:val="fr-FR"/>
              </w:rPr>
              <w:t>Ce qu’il faut savoir sur les systèmes actifs d’aide à la conduite</w:t>
            </w:r>
            <w:r>
              <w:rPr>
                <w:sz w:val="18"/>
                <w:lang w:val="fr-FR"/>
              </w:rPr>
              <w:t> »</w:t>
            </w:r>
          </w:p>
        </w:tc>
        <w:tc>
          <w:tcPr>
            <w:tcW w:w="826" w:type="dxa"/>
            <w:shd w:val="clear" w:color="auto" w:fill="auto"/>
            <w:vAlign w:val="bottom"/>
            <w:hideMark/>
          </w:tcPr>
          <w:p w14:paraId="64326FDC"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14:paraId="7DFA3FF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14:paraId="04748F92"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14:paraId="06B4875E"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6C71AD63" w14:textId="77777777" w:rsidTr="00C4632F">
        <w:tc>
          <w:tcPr>
            <w:tcW w:w="6327" w:type="dxa"/>
            <w:shd w:val="clear" w:color="auto" w:fill="auto"/>
            <w:hideMark/>
          </w:tcPr>
          <w:p w14:paraId="348E93BC" w14:textId="77777777" w:rsidR="00847CBD" w:rsidRPr="00D7286C" w:rsidRDefault="00847CBD" w:rsidP="00C4632F">
            <w:pPr>
              <w:suppressAutoHyphens w:val="0"/>
              <w:spacing w:before="40" w:after="40" w:line="220" w:lineRule="exact"/>
              <w:ind w:left="567" w:hanging="567"/>
              <w:rPr>
                <w:sz w:val="18"/>
                <w:lang w:val="fr-FR"/>
              </w:rPr>
            </w:pPr>
            <w:r w:rsidRPr="00597E1E">
              <w:rPr>
                <w:sz w:val="18"/>
                <w:lang w:val="fr-FR"/>
              </w:rPr>
              <w:t>20.</w:t>
            </w:r>
            <w:r w:rsidRPr="00597E1E">
              <w:rPr>
                <w:sz w:val="18"/>
                <w:lang w:val="fr-FR"/>
              </w:rPr>
              <w:tab/>
              <w:t>Statistiques des transports − profils de pays</w:t>
            </w:r>
          </w:p>
        </w:tc>
        <w:tc>
          <w:tcPr>
            <w:tcW w:w="826" w:type="dxa"/>
            <w:shd w:val="clear" w:color="auto" w:fill="auto"/>
            <w:vAlign w:val="bottom"/>
            <w:hideMark/>
          </w:tcPr>
          <w:p w14:paraId="5CC660C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14:paraId="417B5EBA"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14:paraId="34EDD465"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14:paraId="22FA03D4" w14:textId="77777777" w:rsidR="00847CBD" w:rsidRPr="00597E1E" w:rsidRDefault="00847CBD" w:rsidP="00C4632F">
            <w:pPr>
              <w:suppressAutoHyphens w:val="0"/>
              <w:spacing w:before="40" w:after="40" w:line="220" w:lineRule="exact"/>
              <w:jc w:val="right"/>
              <w:rPr>
                <w:rFonts w:eastAsia="Calibri"/>
                <w:sz w:val="18"/>
                <w:szCs w:val="17"/>
                <w:lang w:val="fr-FR"/>
              </w:rPr>
            </w:pPr>
            <w:r w:rsidRPr="00597E1E">
              <w:rPr>
                <w:sz w:val="18"/>
                <w:lang w:val="fr-FR"/>
              </w:rPr>
              <w:t>1</w:t>
            </w:r>
          </w:p>
        </w:tc>
      </w:tr>
      <w:tr w:rsidR="00847CBD" w:rsidRPr="00597E1E" w14:paraId="57F1A06B" w14:textId="77777777" w:rsidTr="00C4632F">
        <w:tc>
          <w:tcPr>
            <w:tcW w:w="6327" w:type="dxa"/>
            <w:shd w:val="clear" w:color="auto" w:fill="auto"/>
          </w:tcPr>
          <w:p w14:paraId="601592D8" w14:textId="77777777" w:rsidR="00847CBD" w:rsidRPr="004E76A8" w:rsidRDefault="00847CBD" w:rsidP="00C4632F">
            <w:pPr>
              <w:keepNext/>
              <w:suppressAutoHyphens w:val="0"/>
              <w:spacing w:before="40" w:after="40" w:line="220" w:lineRule="exact"/>
              <w:rPr>
                <w:rFonts w:eastAsia="Calibri"/>
                <w:b/>
                <w:sz w:val="18"/>
                <w:szCs w:val="18"/>
                <w:lang w:val="fr-FR"/>
              </w:rPr>
            </w:pPr>
            <w:r w:rsidRPr="00597E1E">
              <w:rPr>
                <w:b/>
                <w:bCs/>
                <w:sz w:val="18"/>
                <w:lang w:val="fr-FR"/>
              </w:rPr>
              <w:t>Éléments à livrer non quantifiés</w:t>
            </w:r>
          </w:p>
        </w:tc>
        <w:tc>
          <w:tcPr>
            <w:tcW w:w="826" w:type="dxa"/>
            <w:shd w:val="clear" w:color="auto" w:fill="auto"/>
            <w:vAlign w:val="bottom"/>
          </w:tcPr>
          <w:p w14:paraId="36AF4741"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14:paraId="7D4D59D5"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14:paraId="1B7C3CB0"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14:paraId="0830EC9B"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r>
      <w:tr w:rsidR="00847CBD" w:rsidRPr="00597E1E" w14:paraId="64AB1991" w14:textId="77777777" w:rsidTr="00C4632F">
        <w:tc>
          <w:tcPr>
            <w:tcW w:w="6327" w:type="dxa"/>
            <w:shd w:val="clear" w:color="auto" w:fill="auto"/>
            <w:hideMark/>
          </w:tcPr>
          <w:p w14:paraId="6BA405DB" w14:textId="77777777" w:rsidR="00847CBD" w:rsidRPr="00597E1E" w:rsidRDefault="00847CBD" w:rsidP="00C4632F">
            <w:pPr>
              <w:keepNext/>
              <w:suppressAutoHyphens w:val="0"/>
              <w:spacing w:before="40" w:after="40" w:line="220" w:lineRule="exact"/>
              <w:rPr>
                <w:rFonts w:eastAsia="Calibri"/>
                <w:b/>
                <w:sz w:val="18"/>
                <w:szCs w:val="22"/>
                <w:lang w:val="fr-FR"/>
              </w:rPr>
            </w:pPr>
            <w:r w:rsidRPr="00597E1E">
              <w:rPr>
                <w:sz w:val="18"/>
                <w:lang w:val="fr-FR"/>
              </w:rPr>
              <w:t>C.</w:t>
            </w:r>
            <w:r w:rsidRPr="00597E1E">
              <w:rPr>
                <w:sz w:val="18"/>
                <w:lang w:val="fr-FR"/>
              </w:rPr>
              <w:tab/>
            </w:r>
            <w:r w:rsidRPr="00597E1E">
              <w:rPr>
                <w:b/>
                <w:bCs/>
                <w:sz w:val="18"/>
                <w:lang w:val="fr-FR"/>
              </w:rPr>
              <w:t>Éléments à livrer de fond</w:t>
            </w:r>
          </w:p>
        </w:tc>
        <w:tc>
          <w:tcPr>
            <w:tcW w:w="826" w:type="dxa"/>
            <w:shd w:val="clear" w:color="auto" w:fill="auto"/>
            <w:vAlign w:val="bottom"/>
          </w:tcPr>
          <w:p w14:paraId="0E818C5C"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14:paraId="1AF26B2F"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14:paraId="6106A1AB"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14:paraId="567514C8"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r>
      <w:tr w:rsidR="00847CBD" w:rsidRPr="00597E1E" w14:paraId="1CCCEF1C" w14:textId="77777777" w:rsidTr="00C4632F">
        <w:tc>
          <w:tcPr>
            <w:tcW w:w="9637" w:type="dxa"/>
            <w:gridSpan w:val="5"/>
            <w:shd w:val="clear" w:color="auto" w:fill="auto"/>
            <w:hideMark/>
          </w:tcPr>
          <w:p w14:paraId="1300B282" w14:textId="77777777" w:rsidR="00847CBD" w:rsidRPr="00597E1E" w:rsidRDefault="00847CBD" w:rsidP="00AF36D0">
            <w:pPr>
              <w:tabs>
                <w:tab w:val="left" w:pos="195"/>
              </w:tabs>
              <w:suppressAutoHyphens w:val="0"/>
              <w:spacing w:before="40" w:after="40" w:line="220" w:lineRule="exact"/>
              <w:rPr>
                <w:rFonts w:eastAsia="Calibri"/>
                <w:sz w:val="18"/>
                <w:szCs w:val="22"/>
                <w:lang w:val="fr-FR"/>
              </w:rPr>
            </w:pPr>
            <w:r w:rsidRPr="00597E1E">
              <w:rPr>
                <w:sz w:val="18"/>
                <w:lang w:val="fr-FR"/>
              </w:rPr>
              <w:t>•</w:t>
            </w:r>
            <w:r w:rsidR="00AF36D0">
              <w:rPr>
                <w:sz w:val="18"/>
                <w:lang w:val="fr-FR"/>
              </w:rPr>
              <w:tab/>
            </w:r>
            <w:r w:rsidRPr="00597E1E">
              <w:rPr>
                <w:sz w:val="18"/>
                <w:lang w:val="fr-FR"/>
              </w:rPr>
              <w:t>Consultations, conseils et activités de promotion : services consultatifs à l’intention des Parties contractantes aux conventions des Nations Unies relatives aux transports administrées par la CEE concernant les instruments juridiques liés : aux transports intérieurs ; à la facilitation des transports ; au franchissement des frontières ; à la sécurité routière ; à la construction des véhicules ; au transport des marchandises dangereuses et d’autres cargaisons spéciales</w:t>
            </w:r>
            <w:r>
              <w:rPr>
                <w:sz w:val="18"/>
                <w:lang w:val="fr-FR"/>
              </w:rPr>
              <w:t> ;</w:t>
            </w:r>
          </w:p>
        </w:tc>
      </w:tr>
      <w:tr w:rsidR="00847CBD" w:rsidRPr="00597E1E" w14:paraId="2D314383" w14:textId="77777777" w:rsidTr="00C4632F">
        <w:tc>
          <w:tcPr>
            <w:tcW w:w="9637" w:type="dxa"/>
            <w:gridSpan w:val="5"/>
            <w:shd w:val="clear" w:color="auto" w:fill="auto"/>
          </w:tcPr>
          <w:p w14:paraId="7CFDBC64" w14:textId="77777777" w:rsidR="00847CBD" w:rsidRPr="00597E1E" w:rsidRDefault="00847CBD" w:rsidP="00AF36D0">
            <w:pPr>
              <w:tabs>
                <w:tab w:val="left" w:pos="195"/>
              </w:tabs>
              <w:suppressAutoHyphens w:val="0"/>
              <w:spacing w:before="40" w:after="40" w:line="220" w:lineRule="exact"/>
              <w:rPr>
                <w:sz w:val="18"/>
                <w:lang w:val="fr-FR"/>
              </w:rPr>
            </w:pPr>
            <w:r w:rsidRPr="00597E1E">
              <w:rPr>
                <w:sz w:val="18"/>
                <w:lang w:val="fr-FR"/>
              </w:rPr>
              <w:t>•</w:t>
            </w:r>
            <w:r>
              <w:rPr>
                <w:sz w:val="18"/>
                <w:lang w:val="fr-FR"/>
              </w:rPr>
              <w:tab/>
            </w:r>
            <w:r w:rsidRPr="00597E1E">
              <w:rPr>
                <w:sz w:val="18"/>
                <w:lang w:val="fr-FR"/>
              </w:rPr>
              <w:t xml:space="preserve">Bases de données et supports numériques de fond : actualisation et gestion de la Banque de données internationale TIR sur les entreprises de transport, qui comprend la liste des sociétés de transport autorisées à utiliser le régime TIR, du registre en ligne des dispositifs de scellement et des timbres douaniers, de la liste des bureaux de douane opérationnels pour les opérations TIR et, éventuellement, des certificats d’agrément TIR ; sites Web régime TIR et système </w:t>
            </w:r>
            <w:proofErr w:type="spellStart"/>
            <w:r w:rsidRPr="00597E1E">
              <w:rPr>
                <w:sz w:val="18"/>
                <w:lang w:val="fr-FR"/>
              </w:rPr>
              <w:t>eTIR</w:t>
            </w:r>
            <w:proofErr w:type="spellEnd"/>
            <w:r w:rsidRPr="00597E1E">
              <w:rPr>
                <w:sz w:val="18"/>
                <w:lang w:val="fr-FR"/>
              </w:rPr>
              <w:t> ; inventaire en ligne des normes concernant les infrastructures des voies de navigation intérieure ; inventaire en ligne des normes et paramètres existants figurant dans l’Accord européen sur les grandes lignes internationales de chemin de fer (AGC) et l’Accord européen sur les grandes lignes de transport international combiné et les installations connexes (AGTC) ; bases de données sur les statistiques des transports, les accidents de la route, le transport des marchandises dangereuses, le transport des denrées périssables, le transport urbain et les transports et l’environnement ; mise au point et tenue à jour de l’Observatoire international en ligne de la sûreté des chemins de fer ; version électronique de la Convention sur la signalisation routière (e-</w:t>
            </w:r>
            <w:proofErr w:type="spellStart"/>
            <w:r w:rsidRPr="00597E1E">
              <w:rPr>
                <w:sz w:val="18"/>
                <w:lang w:val="fr-FR"/>
              </w:rPr>
              <w:t>CoRSS</w:t>
            </w:r>
            <w:proofErr w:type="spellEnd"/>
            <w:r w:rsidRPr="00597E1E">
              <w:rPr>
                <w:sz w:val="18"/>
                <w:lang w:val="fr-FR"/>
              </w:rPr>
              <w:t>) ; plateforme d’apprentissage électronique sur la connectivité intelligente et durable.</w:t>
            </w:r>
          </w:p>
        </w:tc>
      </w:tr>
      <w:tr w:rsidR="00847CBD" w:rsidRPr="00597E1E" w14:paraId="78CB532D" w14:textId="77777777" w:rsidTr="00C4632F">
        <w:tc>
          <w:tcPr>
            <w:tcW w:w="6327" w:type="dxa"/>
            <w:shd w:val="clear" w:color="auto" w:fill="auto"/>
            <w:hideMark/>
          </w:tcPr>
          <w:p w14:paraId="55F7C3BE" w14:textId="77777777" w:rsidR="00847CBD" w:rsidRPr="00597E1E" w:rsidRDefault="00847CBD" w:rsidP="00C4632F">
            <w:pPr>
              <w:keepNext/>
              <w:suppressAutoHyphens w:val="0"/>
              <w:spacing w:before="40" w:after="40" w:line="220" w:lineRule="exact"/>
              <w:rPr>
                <w:rFonts w:eastAsia="Calibri"/>
                <w:b/>
                <w:sz w:val="18"/>
                <w:szCs w:val="22"/>
                <w:lang w:val="fr-FR"/>
              </w:rPr>
            </w:pPr>
            <w:r w:rsidRPr="00597E1E">
              <w:rPr>
                <w:b/>
                <w:bCs/>
                <w:sz w:val="18"/>
                <w:lang w:val="fr-FR"/>
              </w:rPr>
              <w:t>D.</w:t>
            </w:r>
            <w:r w:rsidRPr="00597E1E">
              <w:rPr>
                <w:sz w:val="18"/>
                <w:lang w:val="fr-FR"/>
              </w:rPr>
              <w:tab/>
            </w:r>
            <w:r w:rsidRPr="00597E1E">
              <w:rPr>
                <w:b/>
                <w:bCs/>
                <w:sz w:val="18"/>
                <w:lang w:val="fr-FR"/>
              </w:rPr>
              <w:t>Activités de communication</w:t>
            </w:r>
          </w:p>
        </w:tc>
        <w:tc>
          <w:tcPr>
            <w:tcW w:w="826" w:type="dxa"/>
            <w:shd w:val="clear" w:color="auto" w:fill="auto"/>
            <w:vAlign w:val="bottom"/>
          </w:tcPr>
          <w:p w14:paraId="1D1D30FC"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14:paraId="03ECE8AD"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14:paraId="32A6E002"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14:paraId="46EC782E" w14:textId="77777777" w:rsidR="00847CBD" w:rsidRPr="00597E1E" w:rsidRDefault="00847CBD" w:rsidP="00C4632F">
            <w:pPr>
              <w:keepNext/>
              <w:suppressAutoHyphens w:val="0"/>
              <w:spacing w:before="40" w:after="40" w:line="220" w:lineRule="exact"/>
              <w:jc w:val="right"/>
              <w:rPr>
                <w:rFonts w:eastAsia="Calibri"/>
                <w:sz w:val="18"/>
                <w:szCs w:val="17"/>
                <w:lang w:val="fr-FR" w:eastAsia="zh-CN"/>
              </w:rPr>
            </w:pPr>
          </w:p>
        </w:tc>
      </w:tr>
      <w:tr w:rsidR="00847CBD" w:rsidRPr="00597E1E" w14:paraId="3E33FD94" w14:textId="77777777" w:rsidTr="00C4632F">
        <w:tc>
          <w:tcPr>
            <w:tcW w:w="9637" w:type="dxa"/>
            <w:gridSpan w:val="5"/>
            <w:shd w:val="clear" w:color="auto" w:fill="auto"/>
            <w:hideMark/>
          </w:tcPr>
          <w:p w14:paraId="2B42D6B7" w14:textId="77777777" w:rsidR="00847CBD" w:rsidRPr="00597E1E" w:rsidRDefault="00847CBD" w:rsidP="00AF36D0">
            <w:pPr>
              <w:tabs>
                <w:tab w:val="left" w:pos="195"/>
              </w:tabs>
              <w:suppressAutoHyphens w:val="0"/>
              <w:spacing w:before="40" w:after="40" w:line="220" w:lineRule="exact"/>
              <w:rPr>
                <w:rFonts w:eastAsia="Calibri"/>
                <w:sz w:val="18"/>
                <w:szCs w:val="22"/>
                <w:lang w:val="fr-FR"/>
              </w:rPr>
            </w:pPr>
            <w:r w:rsidRPr="00CD1B39">
              <w:rPr>
                <w:rFonts w:eastAsia="Calibri"/>
                <w:sz w:val="18"/>
                <w:szCs w:val="22"/>
                <w:lang w:val="fr-FR"/>
              </w:rPr>
              <w:t>•</w:t>
            </w:r>
            <w:r>
              <w:rPr>
                <w:rFonts w:eastAsia="Calibri"/>
                <w:sz w:val="18"/>
                <w:szCs w:val="22"/>
                <w:lang w:val="fr-FR"/>
              </w:rPr>
              <w:tab/>
            </w:r>
            <w:r w:rsidRPr="00AF36D0">
              <w:rPr>
                <w:sz w:val="18"/>
                <w:lang w:val="fr-FR"/>
              </w:rPr>
              <w:t>Programmes</w:t>
            </w:r>
            <w:r w:rsidRPr="00CD1B39">
              <w:rPr>
                <w:rFonts w:eastAsia="Calibri"/>
                <w:sz w:val="18"/>
                <w:szCs w:val="22"/>
                <w:lang w:val="fr-FR"/>
              </w:rPr>
              <w:t xml:space="preserve"> de sensibilisation, manifestations spéciales et documents d’information : documents d’information sur les instruments juridiques et les activités du sous-programme ;</w:t>
            </w:r>
          </w:p>
        </w:tc>
      </w:tr>
      <w:tr w:rsidR="00847CBD" w:rsidRPr="00597E1E" w14:paraId="22494119" w14:textId="77777777" w:rsidTr="00C4632F">
        <w:tc>
          <w:tcPr>
            <w:tcW w:w="9637" w:type="dxa"/>
            <w:gridSpan w:val="5"/>
            <w:shd w:val="clear" w:color="auto" w:fill="auto"/>
          </w:tcPr>
          <w:p w14:paraId="6B93DB19" w14:textId="77777777" w:rsidR="00847CBD" w:rsidRPr="00CD1B39" w:rsidRDefault="00847CBD" w:rsidP="00AF36D0">
            <w:pPr>
              <w:tabs>
                <w:tab w:val="left" w:pos="195"/>
              </w:tabs>
              <w:suppressAutoHyphens w:val="0"/>
              <w:spacing w:before="40" w:after="40" w:line="220" w:lineRule="exact"/>
              <w:rPr>
                <w:rFonts w:eastAsia="Calibri"/>
                <w:sz w:val="18"/>
                <w:szCs w:val="22"/>
                <w:lang w:val="fr-FR"/>
              </w:rPr>
            </w:pPr>
            <w:r w:rsidRPr="00CD1B39">
              <w:rPr>
                <w:rFonts w:eastAsia="Calibri"/>
                <w:sz w:val="18"/>
                <w:szCs w:val="22"/>
                <w:lang w:val="fr-FR"/>
              </w:rPr>
              <w:t>•</w:t>
            </w:r>
            <w:r>
              <w:rPr>
                <w:rFonts w:eastAsia="Calibri"/>
                <w:sz w:val="18"/>
                <w:szCs w:val="22"/>
                <w:lang w:val="fr-FR"/>
              </w:rPr>
              <w:tab/>
            </w:r>
            <w:r w:rsidRPr="00CD1B39">
              <w:rPr>
                <w:rFonts w:eastAsia="Calibri"/>
                <w:sz w:val="18"/>
                <w:szCs w:val="22"/>
                <w:lang w:val="fr-FR"/>
              </w:rPr>
              <w:t xml:space="preserve">Relations </w:t>
            </w:r>
            <w:r w:rsidRPr="00AF36D0">
              <w:rPr>
                <w:sz w:val="18"/>
                <w:lang w:val="fr-FR"/>
              </w:rPr>
              <w:t>extérieures</w:t>
            </w:r>
            <w:r w:rsidRPr="00CD1B39">
              <w:rPr>
                <w:rFonts w:eastAsia="Calibri"/>
                <w:sz w:val="18"/>
                <w:szCs w:val="22"/>
                <w:lang w:val="fr-FR"/>
              </w:rPr>
              <w:t xml:space="preserve"> et relations avec les médias : série annuelle de communiqués de presse pour le sous-programme ;</w:t>
            </w:r>
          </w:p>
        </w:tc>
      </w:tr>
      <w:tr w:rsidR="00847CBD" w:rsidRPr="00597E1E" w14:paraId="653FFC4D" w14:textId="77777777" w:rsidTr="00C4632F">
        <w:tc>
          <w:tcPr>
            <w:tcW w:w="9637" w:type="dxa"/>
            <w:gridSpan w:val="5"/>
            <w:tcBorders>
              <w:bottom w:val="single" w:sz="12" w:space="0" w:color="auto"/>
            </w:tcBorders>
            <w:shd w:val="clear" w:color="auto" w:fill="auto"/>
            <w:hideMark/>
          </w:tcPr>
          <w:p w14:paraId="6F532F06" w14:textId="77777777" w:rsidR="00847CBD" w:rsidRPr="00597E1E" w:rsidRDefault="00847CBD" w:rsidP="00AF36D0">
            <w:pPr>
              <w:tabs>
                <w:tab w:val="left" w:pos="195"/>
              </w:tabs>
              <w:suppressAutoHyphens w:val="0"/>
              <w:spacing w:before="40" w:after="40" w:line="220" w:lineRule="exact"/>
              <w:rPr>
                <w:rFonts w:eastAsia="Calibri"/>
                <w:sz w:val="18"/>
                <w:szCs w:val="22"/>
                <w:lang w:val="fr-FR"/>
              </w:rPr>
            </w:pPr>
            <w:r w:rsidRPr="00CD1B39">
              <w:rPr>
                <w:rFonts w:eastAsia="Calibri"/>
                <w:sz w:val="18"/>
                <w:szCs w:val="22"/>
                <w:lang w:val="fr-FR"/>
              </w:rPr>
              <w:t>•</w:t>
            </w:r>
            <w:r>
              <w:rPr>
                <w:rFonts w:eastAsia="Calibri"/>
                <w:sz w:val="18"/>
                <w:szCs w:val="22"/>
                <w:lang w:val="fr-FR"/>
              </w:rPr>
              <w:tab/>
            </w:r>
            <w:r w:rsidRPr="00AF36D0">
              <w:rPr>
                <w:sz w:val="18"/>
                <w:lang w:val="fr-FR"/>
              </w:rPr>
              <w:t>Plateformes</w:t>
            </w:r>
            <w:r w:rsidRPr="00CD1B39">
              <w:rPr>
                <w:rFonts w:eastAsia="Calibri"/>
                <w:sz w:val="18"/>
                <w:szCs w:val="22"/>
                <w:lang w:val="fr-FR"/>
              </w:rPr>
              <w:t xml:space="preserve"> numériques et contenu multimédia : plateformes numériques et contenu multimédia sur les transports et la mobilité durables ; actualisation et gestion du site Web du sous-programme.</w:t>
            </w:r>
          </w:p>
        </w:tc>
      </w:tr>
    </w:tbl>
    <w:p w14:paraId="62BF1161" w14:textId="77777777" w:rsidR="00847CBD" w:rsidRPr="00AF36D0" w:rsidRDefault="00AF36D0" w:rsidP="00AF36D0">
      <w:pPr>
        <w:pStyle w:val="SingleTxtG"/>
        <w:spacing w:before="240" w:after="0"/>
        <w:jc w:val="center"/>
        <w:rPr>
          <w:u w:val="single"/>
        </w:rPr>
      </w:pPr>
      <w:r>
        <w:rPr>
          <w:u w:val="single"/>
        </w:rPr>
        <w:tab/>
      </w:r>
      <w:r>
        <w:rPr>
          <w:u w:val="single"/>
        </w:rPr>
        <w:tab/>
      </w:r>
      <w:r>
        <w:rPr>
          <w:u w:val="single"/>
        </w:rPr>
        <w:tab/>
      </w:r>
    </w:p>
    <w:sectPr w:rsidR="00847CBD" w:rsidRPr="00AF36D0" w:rsidSect="00847CBD">
      <w:headerReference w:type="even" r:id="rId39"/>
      <w:headerReference w:type="default" r:id="rId40"/>
      <w:footerReference w:type="even" r:id="rId41"/>
      <w:footerReference w:type="default" r:id="rId42"/>
      <w:footerReference w:type="first" r:id="rId4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F0F4" w14:textId="77777777" w:rsidR="00D217D2" w:rsidRDefault="00D217D2" w:rsidP="00F95C08">
      <w:pPr>
        <w:spacing w:line="240" w:lineRule="auto"/>
      </w:pPr>
    </w:p>
  </w:endnote>
  <w:endnote w:type="continuationSeparator" w:id="0">
    <w:p w14:paraId="1B02ADC2" w14:textId="77777777" w:rsidR="00D217D2" w:rsidRPr="00AC3823" w:rsidRDefault="00D217D2" w:rsidP="00AC3823">
      <w:pPr>
        <w:pStyle w:val="Footer"/>
      </w:pPr>
    </w:p>
  </w:endnote>
  <w:endnote w:type="continuationNotice" w:id="1">
    <w:p w14:paraId="71D00162" w14:textId="77777777" w:rsidR="00D217D2" w:rsidRDefault="00D21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8404" w14:textId="77777777" w:rsidR="00847CBD" w:rsidRPr="00847CBD" w:rsidRDefault="00847CBD" w:rsidP="00847CBD">
    <w:pPr>
      <w:pStyle w:val="Footer"/>
      <w:tabs>
        <w:tab w:val="right" w:pos="9638"/>
      </w:tabs>
    </w:pPr>
    <w:r w:rsidRPr="00847CBD">
      <w:rPr>
        <w:b/>
        <w:sz w:val="18"/>
      </w:rPr>
      <w:fldChar w:fldCharType="begin"/>
    </w:r>
    <w:r w:rsidRPr="00847CBD">
      <w:rPr>
        <w:b/>
        <w:sz w:val="18"/>
      </w:rPr>
      <w:instrText xml:space="preserve"> PAGE  \* MERGEFORMAT </w:instrText>
    </w:r>
    <w:r w:rsidRPr="00847CBD">
      <w:rPr>
        <w:b/>
        <w:sz w:val="18"/>
      </w:rPr>
      <w:fldChar w:fldCharType="separate"/>
    </w:r>
    <w:r w:rsidRPr="00847CBD">
      <w:rPr>
        <w:b/>
        <w:noProof/>
        <w:sz w:val="18"/>
      </w:rPr>
      <w:t>2</w:t>
    </w:r>
    <w:r w:rsidRPr="00847CBD">
      <w:rPr>
        <w:b/>
        <w:sz w:val="18"/>
      </w:rPr>
      <w:fldChar w:fldCharType="end"/>
    </w:r>
    <w:r>
      <w:rPr>
        <w:b/>
        <w:sz w:val="18"/>
      </w:rPr>
      <w:tab/>
    </w:r>
    <w:r>
      <w:t>GE.20-01081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BD3A" w14:textId="77777777" w:rsidR="00847CBD" w:rsidRPr="00847CBD" w:rsidRDefault="00847CBD" w:rsidP="00847CBD">
    <w:pPr>
      <w:pStyle w:val="Footer"/>
      <w:tabs>
        <w:tab w:val="right" w:pos="9638"/>
      </w:tabs>
      <w:rPr>
        <w:b/>
        <w:sz w:val="18"/>
      </w:rPr>
    </w:pPr>
    <w:r>
      <w:t>GE.20-01081</w:t>
    </w:r>
    <w:r>
      <w:tab/>
    </w:r>
    <w:r w:rsidRPr="00847CBD">
      <w:rPr>
        <w:b/>
        <w:sz w:val="18"/>
      </w:rPr>
      <w:fldChar w:fldCharType="begin"/>
    </w:r>
    <w:r w:rsidRPr="00847CBD">
      <w:rPr>
        <w:b/>
        <w:sz w:val="18"/>
      </w:rPr>
      <w:instrText xml:space="preserve"> PAGE  \* MERGEFORMAT </w:instrText>
    </w:r>
    <w:r w:rsidRPr="00847CBD">
      <w:rPr>
        <w:b/>
        <w:sz w:val="18"/>
      </w:rPr>
      <w:fldChar w:fldCharType="separate"/>
    </w:r>
    <w:r w:rsidRPr="00847CBD">
      <w:rPr>
        <w:b/>
        <w:noProof/>
        <w:sz w:val="18"/>
      </w:rPr>
      <w:t>3</w:t>
    </w:r>
    <w:r w:rsidRPr="00847C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50B6" w14:textId="77777777" w:rsidR="007F20FA" w:rsidRPr="00847CBD" w:rsidRDefault="00847CBD" w:rsidP="00847CB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FC5924F" wp14:editId="798AB5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01081  (</w:t>
    </w:r>
    <w:proofErr w:type="gramEnd"/>
    <w:r>
      <w:rPr>
        <w:sz w:val="20"/>
      </w:rPr>
      <w:t>F)</w:t>
    </w:r>
    <w:r w:rsidR="000F22EF">
      <w:rPr>
        <w:sz w:val="20"/>
      </w:rPr>
      <w:t xml:space="preserve">    230320    230320</w:t>
    </w:r>
    <w:r>
      <w:rPr>
        <w:sz w:val="20"/>
      </w:rPr>
      <w:br/>
    </w:r>
    <w:r w:rsidRPr="00847CBD">
      <w:rPr>
        <w:rFonts w:ascii="C39T30Lfz" w:hAnsi="C39T30Lfz"/>
        <w:sz w:val="56"/>
      </w:rPr>
      <w:t></w:t>
    </w:r>
    <w:r w:rsidRPr="00847CBD">
      <w:rPr>
        <w:rFonts w:ascii="C39T30Lfz" w:hAnsi="C39T30Lfz"/>
        <w:sz w:val="56"/>
      </w:rPr>
      <w:t></w:t>
    </w:r>
    <w:r w:rsidRPr="00847CBD">
      <w:rPr>
        <w:rFonts w:ascii="C39T30Lfz" w:hAnsi="C39T30Lfz"/>
        <w:sz w:val="56"/>
      </w:rPr>
      <w:t></w:t>
    </w:r>
    <w:r w:rsidRPr="00847CBD">
      <w:rPr>
        <w:rFonts w:ascii="C39T30Lfz" w:hAnsi="C39T30Lfz"/>
        <w:sz w:val="56"/>
      </w:rPr>
      <w:t></w:t>
    </w:r>
    <w:r w:rsidRPr="00847CBD">
      <w:rPr>
        <w:rFonts w:ascii="C39T30Lfz" w:hAnsi="C39T30Lfz"/>
        <w:sz w:val="56"/>
      </w:rPr>
      <w:t></w:t>
    </w:r>
    <w:r w:rsidRPr="00847CBD">
      <w:rPr>
        <w:rFonts w:ascii="C39T30Lfz" w:hAnsi="C39T30Lfz"/>
        <w:sz w:val="56"/>
      </w:rPr>
      <w:t></w:t>
    </w:r>
    <w:r w:rsidRPr="00847CBD">
      <w:rPr>
        <w:rFonts w:ascii="C39T30Lfz" w:hAnsi="C39T30Lfz"/>
        <w:sz w:val="56"/>
      </w:rPr>
      <w:t></w:t>
    </w:r>
    <w:r w:rsidRPr="00847CBD">
      <w:rPr>
        <w:rFonts w:ascii="C39T30Lfz" w:hAnsi="C39T30Lfz"/>
        <w:sz w:val="56"/>
      </w:rPr>
      <w:t></w:t>
    </w:r>
    <w:r w:rsidRPr="00847CBD">
      <w:rPr>
        <w:rFonts w:ascii="C39T30Lfz" w:hAnsi="C39T30Lfz"/>
        <w:sz w:val="56"/>
      </w:rPr>
      <w:t></w:t>
    </w:r>
    <w:r>
      <w:rPr>
        <w:noProof/>
        <w:sz w:val="20"/>
      </w:rPr>
      <w:drawing>
        <wp:anchor distT="0" distB="0" distL="114300" distR="114300" simplePos="0" relativeHeight="251658240" behindDoc="0" locked="0" layoutInCell="1" allowOverlap="1" wp14:anchorId="711AE287" wp14:editId="2F713BC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20/22/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2/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D4F5" w14:textId="77777777" w:rsidR="00D217D2" w:rsidRPr="00AC3823" w:rsidRDefault="00D217D2" w:rsidP="00AC3823">
      <w:pPr>
        <w:pStyle w:val="Footer"/>
        <w:tabs>
          <w:tab w:val="right" w:pos="2155"/>
        </w:tabs>
        <w:spacing w:after="80" w:line="240" w:lineRule="atLeast"/>
        <w:ind w:left="680"/>
        <w:rPr>
          <w:u w:val="single"/>
        </w:rPr>
      </w:pPr>
      <w:r>
        <w:rPr>
          <w:u w:val="single"/>
        </w:rPr>
        <w:tab/>
      </w:r>
    </w:p>
  </w:footnote>
  <w:footnote w:type="continuationSeparator" w:id="0">
    <w:p w14:paraId="523BA7A7" w14:textId="77777777" w:rsidR="00D217D2" w:rsidRPr="00AC3823" w:rsidRDefault="00D217D2" w:rsidP="00AC3823">
      <w:pPr>
        <w:pStyle w:val="Footer"/>
        <w:tabs>
          <w:tab w:val="right" w:pos="2155"/>
        </w:tabs>
        <w:spacing w:after="80" w:line="240" w:lineRule="atLeast"/>
        <w:ind w:left="680"/>
        <w:rPr>
          <w:u w:val="single"/>
        </w:rPr>
      </w:pPr>
      <w:r>
        <w:rPr>
          <w:u w:val="single"/>
        </w:rPr>
        <w:tab/>
      </w:r>
    </w:p>
  </w:footnote>
  <w:footnote w:type="continuationNotice" w:id="1">
    <w:p w14:paraId="4E93C5BF" w14:textId="77777777" w:rsidR="00D217D2" w:rsidRPr="00AC3823" w:rsidRDefault="00D217D2">
      <w:pPr>
        <w:spacing w:line="240" w:lineRule="auto"/>
        <w:rPr>
          <w:sz w:val="2"/>
          <w:szCs w:val="2"/>
        </w:rPr>
      </w:pPr>
    </w:p>
  </w:footnote>
  <w:footnote w:id="2">
    <w:p w14:paraId="260ECF9B" w14:textId="77777777" w:rsidR="00195AC3" w:rsidRPr="00195AC3" w:rsidRDefault="00195AC3" w:rsidP="000F22EF">
      <w:pPr>
        <w:pStyle w:val="FootnoteText"/>
        <w:spacing w:line="210" w:lineRule="exact"/>
      </w:pPr>
      <w:r>
        <w:rPr>
          <w:rStyle w:val="FootnoteReference"/>
        </w:rPr>
        <w:tab/>
      </w:r>
      <w:r w:rsidRPr="00195AC3">
        <w:rPr>
          <w:rStyle w:val="FootnoteReference"/>
          <w:sz w:val="20"/>
          <w:vertAlign w:val="baseline"/>
        </w:rPr>
        <w:t>*</w:t>
      </w:r>
      <w:r>
        <w:rPr>
          <w:rStyle w:val="FootnoteReference"/>
          <w:sz w:val="20"/>
          <w:vertAlign w:val="baseline"/>
        </w:rPr>
        <w:tab/>
      </w:r>
      <w:r w:rsidRPr="004C4CCE">
        <w:rPr>
          <w:rFonts w:eastAsia="Times New Roman"/>
          <w:color w:val="333333"/>
          <w:szCs w:val="18"/>
          <w:shd w:val="clear" w:color="auto" w:fill="FFFFFF"/>
          <w:lang w:val="fr-FR" w:eastAsia="fr-FR"/>
        </w:rPr>
        <w:t>Cette version révisée est publiée en réponse à la résolution 74/251 de l'Assemblée générale sur la planification des programmes, qui a demandé au Secrétariat de renforcer la présentation des documents du projet de budget-programme, en présentant un compte rendu complet et global des résultats passés.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438D" w14:textId="053548AF" w:rsidR="00847CBD" w:rsidRPr="00847CBD" w:rsidRDefault="00465B39">
    <w:pPr>
      <w:pStyle w:val="Header"/>
    </w:pPr>
    <w:r>
      <w:fldChar w:fldCharType="begin"/>
    </w:r>
    <w:r>
      <w:instrText xml:space="preserve"> TITLE</w:instrText>
    </w:r>
    <w:r>
      <w:instrText xml:space="preserve">  \* MERGEFORMAT </w:instrText>
    </w:r>
    <w:r>
      <w:fldChar w:fldCharType="separate"/>
    </w:r>
    <w:r w:rsidR="00A702FF">
      <w:t>ECE/TRANS/2020/22/Rev.1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CB84" w14:textId="650ADDA2" w:rsidR="00847CBD" w:rsidRPr="00847CBD" w:rsidRDefault="00465B39" w:rsidP="00847CBD">
    <w:pPr>
      <w:pStyle w:val="Header"/>
      <w:jc w:val="right"/>
    </w:pPr>
    <w:r>
      <w:fldChar w:fldCharType="begin"/>
    </w:r>
    <w:r>
      <w:instrText xml:space="preserve"> TITLE  \* MERGEFORMAT </w:instrText>
    </w:r>
    <w:r>
      <w:fldChar w:fldCharType="separate"/>
    </w:r>
    <w:r w:rsidR="00A702FF">
      <w:t>ECE/TRANS/2020/22/Rev.1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624311"/>
    <w:multiLevelType w:val="hybridMultilevel"/>
    <w:tmpl w:val="8626DDE4"/>
    <w:lvl w:ilvl="0" w:tplc="452AC6C8">
      <w:start w:val="2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D2"/>
    <w:rsid w:val="00017F94"/>
    <w:rsid w:val="00023842"/>
    <w:rsid w:val="000334F9"/>
    <w:rsid w:val="00045FEB"/>
    <w:rsid w:val="0007796D"/>
    <w:rsid w:val="000B7790"/>
    <w:rsid w:val="000F22EF"/>
    <w:rsid w:val="00111F2F"/>
    <w:rsid w:val="0014365E"/>
    <w:rsid w:val="00143C66"/>
    <w:rsid w:val="00152642"/>
    <w:rsid w:val="00176178"/>
    <w:rsid w:val="00195AC3"/>
    <w:rsid w:val="001F525A"/>
    <w:rsid w:val="00223272"/>
    <w:rsid w:val="0024779E"/>
    <w:rsid w:val="00257168"/>
    <w:rsid w:val="002744B8"/>
    <w:rsid w:val="002832AC"/>
    <w:rsid w:val="002D51E8"/>
    <w:rsid w:val="002D7C93"/>
    <w:rsid w:val="00305801"/>
    <w:rsid w:val="003212AD"/>
    <w:rsid w:val="003916DE"/>
    <w:rsid w:val="00421996"/>
    <w:rsid w:val="00441C3B"/>
    <w:rsid w:val="00446FE5"/>
    <w:rsid w:val="00452396"/>
    <w:rsid w:val="00465B39"/>
    <w:rsid w:val="004837D8"/>
    <w:rsid w:val="004E2EED"/>
    <w:rsid w:val="004E468C"/>
    <w:rsid w:val="004E4FFF"/>
    <w:rsid w:val="005505B7"/>
    <w:rsid w:val="00573BE5"/>
    <w:rsid w:val="00586ED3"/>
    <w:rsid w:val="00596AA9"/>
    <w:rsid w:val="00676894"/>
    <w:rsid w:val="0071601D"/>
    <w:rsid w:val="00787900"/>
    <w:rsid w:val="007A62E6"/>
    <w:rsid w:val="007F20FA"/>
    <w:rsid w:val="0080684C"/>
    <w:rsid w:val="00847CBD"/>
    <w:rsid w:val="00871C75"/>
    <w:rsid w:val="008730F9"/>
    <w:rsid w:val="008776DC"/>
    <w:rsid w:val="009446C0"/>
    <w:rsid w:val="009623CD"/>
    <w:rsid w:val="009705C8"/>
    <w:rsid w:val="009C1CF4"/>
    <w:rsid w:val="009E2860"/>
    <w:rsid w:val="009F6B74"/>
    <w:rsid w:val="00A3029F"/>
    <w:rsid w:val="00A30353"/>
    <w:rsid w:val="00A702FF"/>
    <w:rsid w:val="00A73CB6"/>
    <w:rsid w:val="00A84FE1"/>
    <w:rsid w:val="00AC3823"/>
    <w:rsid w:val="00AE323C"/>
    <w:rsid w:val="00AE4B4D"/>
    <w:rsid w:val="00AF0CB5"/>
    <w:rsid w:val="00AF36D0"/>
    <w:rsid w:val="00B00181"/>
    <w:rsid w:val="00B00B0D"/>
    <w:rsid w:val="00B45F2E"/>
    <w:rsid w:val="00B765F7"/>
    <w:rsid w:val="00BA0CA9"/>
    <w:rsid w:val="00C02897"/>
    <w:rsid w:val="00C06975"/>
    <w:rsid w:val="00C97039"/>
    <w:rsid w:val="00D217D2"/>
    <w:rsid w:val="00D3439C"/>
    <w:rsid w:val="00DB1831"/>
    <w:rsid w:val="00DB61CB"/>
    <w:rsid w:val="00DD3BFD"/>
    <w:rsid w:val="00DF6678"/>
    <w:rsid w:val="00E0299A"/>
    <w:rsid w:val="00E85C74"/>
    <w:rsid w:val="00EA6547"/>
    <w:rsid w:val="00ED705F"/>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0A17F"/>
  <w15:docId w15:val="{B42BB747-C32C-4B74-8012-6B5E519A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847CBD"/>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84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org/en/ga/search/view_doc.asp?symbol=A/RES/69/213&amp;Lang=F" TargetMode="External"/><Relationship Id="rId18" Type="http://schemas.openxmlformats.org/officeDocument/2006/relationships/hyperlink" Target="https://undocs.org/fr/A/RES/73/243" TargetMode="External"/><Relationship Id="rId26" Type="http://schemas.openxmlformats.org/officeDocument/2006/relationships/hyperlink" Target="https://undocs.org/fr/ECE/TRANS/254"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n.org/ga/search/view_doc.asp?symbol=E/RES/2015/7&amp;Lang=F" TargetMode="External"/><Relationship Id="rId34" Type="http://schemas.openxmlformats.org/officeDocument/2006/relationships/hyperlink" Target="https://www.unece.org/fileadmin/DAM/trans/conventn/conf4e.pdf" TargetMode="External"/><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un.org/en/ga/search/view_doc.asp?symbol=A/RES/69/137&amp;Lang=F" TargetMode="External"/><Relationship Id="rId17" Type="http://schemas.openxmlformats.org/officeDocument/2006/relationships/hyperlink" Target="https://undocs.org/fr/A/RES/72/271" TargetMode="External"/><Relationship Id="rId25" Type="http://schemas.openxmlformats.org/officeDocument/2006/relationships/hyperlink" Target="https://undocs.org/fr/ECE/TRANS/248" TargetMode="External"/><Relationship Id="rId33" Type="http://schemas.openxmlformats.org/officeDocument/2006/relationships/hyperlink" Target="https://undocs.org/fr/E/ECE/TRANS/505/Rev.3" TargetMode="External"/><Relationship Id="rId38" Type="http://schemas.openxmlformats.org/officeDocument/2006/relationships/hyperlink" Target="https://undocs.org/fr/ECE/TRANS/WP.30/AC.2/125" TargetMode="External"/><Relationship Id="rId2" Type="http://schemas.openxmlformats.org/officeDocument/2006/relationships/styles" Target="styles.xml"/><Relationship Id="rId16" Type="http://schemas.openxmlformats.org/officeDocument/2006/relationships/hyperlink" Target="https://undocs.org/fr/A/RES/72/212" TargetMode="External"/><Relationship Id="rId20" Type="http://schemas.openxmlformats.org/officeDocument/2006/relationships/hyperlink" Target="https://www.un.org/ga/search/view_doc.asp?symbol=E/RES/2013/7&amp;Lang=F" TargetMode="External"/><Relationship Id="rId29" Type="http://schemas.openxmlformats.org/officeDocument/2006/relationships/hyperlink" Target="https://undocs.org/fr/ECE/TRANS/28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ga/search/view_doc.asp?symbol=A/RES/68/269&amp;Lang=F" TargetMode="External"/><Relationship Id="rId24" Type="http://schemas.openxmlformats.org/officeDocument/2006/relationships/hyperlink" Target="https://undocs.org/fr/ECE/TRANS/236" TargetMode="External"/><Relationship Id="rId32" Type="http://schemas.openxmlformats.org/officeDocument/2006/relationships/hyperlink" Target="https://www.unece.org/fileadmin/DAM/commission/2015/G1516825_F.pdf" TargetMode="External"/><Relationship Id="rId37" Type="http://schemas.openxmlformats.org/officeDocument/2006/relationships/hyperlink" Target="http://www.unece.org/fileadmin/DAM/trans/danger/publi/adn/adnnotif/CN.482.2009f.pdf"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A/RES/70/217" TargetMode="External"/><Relationship Id="rId23" Type="http://schemas.openxmlformats.org/officeDocument/2006/relationships/hyperlink" Target="https://undocs.org/fr/ECE/TRANS/224" TargetMode="External"/><Relationship Id="rId28" Type="http://schemas.openxmlformats.org/officeDocument/2006/relationships/hyperlink" Target="https://www.unece.org/fileadmin/DAM/trans/doc/2018/itc/ECE-TRANS-274f.pdf" TargetMode="External"/><Relationship Id="rId36" Type="http://schemas.openxmlformats.org/officeDocument/2006/relationships/hyperlink" Target="https://undocs.org/fr/ECE/TRANS/ADN/CONF/10/Add.1" TargetMode="External"/><Relationship Id="rId10" Type="http://schemas.openxmlformats.org/officeDocument/2006/relationships/hyperlink" Target="https://undocs.org/fr/A/RES/58/9" TargetMode="External"/><Relationship Id="rId19" Type="http://schemas.openxmlformats.org/officeDocument/2006/relationships/hyperlink" Target="http://www.unece.org/fileadmin/DAM/trans/main/dgdb/dgsubc4/ECOSOC/1999-65/1999-65e.pdf" TargetMode="External"/><Relationship Id="rId31" Type="http://schemas.openxmlformats.org/officeDocument/2006/relationships/hyperlink" Target="https://undocs.org/fr/ECE/TRANS/SC.3/WP.3/2018/8/Rev.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org/fr/ga/70/resolutions.shtml" TargetMode="External"/><Relationship Id="rId22" Type="http://schemas.openxmlformats.org/officeDocument/2006/relationships/hyperlink" Target="https://undocs.org/fr/ECE/AC.21/2014/2" TargetMode="External"/><Relationship Id="rId27" Type="http://schemas.openxmlformats.org/officeDocument/2006/relationships/hyperlink" Target="https://undocs.org/fr/ECE/TRANS/270" TargetMode="External"/><Relationship Id="rId30" Type="http://schemas.openxmlformats.org/officeDocument/2006/relationships/hyperlink" Target="https://www.unece.org/fileadmin/DAM/trans/doc/2019/itc/ECE-TRANS-288add2f.pdf" TargetMode="External"/><Relationship Id="rId35" Type="http://schemas.openxmlformats.org/officeDocument/2006/relationships/hyperlink" Target="https://undocs.org/fr/ECE/TRANS/132"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5204</Words>
  <Characters>29668</Characters>
  <Application>Microsoft Office Word</Application>
  <DocSecurity>4</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ECE/TRANS/2020/22/Rev.1</vt:lpstr>
      <vt:lpstr>ECE/TRANS/2020/22/Rev.1</vt:lpstr>
    </vt:vector>
  </TitlesOfParts>
  <Company>DCM</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ECE/TRANS/2020/22/Rev.1</dc:title>
  <dc:subject/>
  <dc:creator>Fabienne CRELIER</dc:creator>
  <cp:keywords/>
  <cp:lastModifiedBy>Anastasia Barinova</cp:lastModifiedBy>
  <cp:revision>2</cp:revision>
  <cp:lastPrinted>2020-03-23T13:34:00Z</cp:lastPrinted>
  <dcterms:created xsi:type="dcterms:W3CDTF">2020-03-23T14:03:00Z</dcterms:created>
  <dcterms:modified xsi:type="dcterms:W3CDTF">2020-03-23T14:03:00Z</dcterms:modified>
</cp:coreProperties>
</file>