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8675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8675D" w:rsidP="0088675D">
            <w:pPr>
              <w:jc w:val="right"/>
            </w:pPr>
            <w:r w:rsidRPr="0088675D">
              <w:rPr>
                <w:sz w:val="40"/>
              </w:rPr>
              <w:t>ECE</w:t>
            </w:r>
            <w:r>
              <w:t>/TRANS/2020/14</w:t>
            </w:r>
          </w:p>
        </w:tc>
      </w:tr>
      <w:tr w:rsidR="002D5AAC" w:rsidRPr="004B381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88675D" w:rsidRDefault="0088675D" w:rsidP="00387CD4">
            <w:pPr>
              <w:spacing w:before="240"/>
              <w:rPr>
                <w:lang w:val="en-US"/>
              </w:rPr>
            </w:pPr>
            <w:r>
              <w:rPr>
                <w:lang w:val="en-US"/>
              </w:rPr>
              <w:t>Distr.: General</w:t>
            </w:r>
          </w:p>
          <w:p w:rsidR="0088675D" w:rsidRPr="004B3812" w:rsidRDefault="0088675D" w:rsidP="0088675D">
            <w:pPr>
              <w:spacing w:line="240" w:lineRule="exact"/>
              <w:rPr>
                <w:lang w:val="en-US"/>
              </w:rPr>
            </w:pPr>
            <w:r w:rsidRPr="004B3812">
              <w:rPr>
                <w:lang w:val="en-US"/>
              </w:rPr>
              <w:t>19 December 2019</w:t>
            </w:r>
          </w:p>
          <w:p w:rsidR="0088675D" w:rsidRDefault="0088675D" w:rsidP="0088675D">
            <w:pPr>
              <w:spacing w:line="240" w:lineRule="exact"/>
              <w:rPr>
                <w:lang w:val="en-US"/>
              </w:rPr>
            </w:pPr>
            <w:r>
              <w:rPr>
                <w:lang w:val="en-US"/>
              </w:rPr>
              <w:t>Russian</w:t>
            </w:r>
          </w:p>
          <w:p w:rsidR="0088675D" w:rsidRPr="008D53B6" w:rsidRDefault="0088675D" w:rsidP="0088675D">
            <w:pPr>
              <w:spacing w:line="240" w:lineRule="exact"/>
              <w:rPr>
                <w:lang w:val="en-US"/>
              </w:rPr>
            </w:pPr>
            <w:r>
              <w:rPr>
                <w:lang w:val="en-US"/>
              </w:rPr>
              <w:t>Original: English</w:t>
            </w:r>
          </w:p>
        </w:tc>
      </w:tr>
    </w:tbl>
    <w:p w:rsidR="0088675D" w:rsidRDefault="008A37C8" w:rsidP="00255343">
      <w:pPr>
        <w:spacing w:before="120"/>
        <w:rPr>
          <w:b/>
          <w:sz w:val="28"/>
          <w:szCs w:val="28"/>
        </w:rPr>
      </w:pPr>
      <w:r w:rsidRPr="00245892">
        <w:rPr>
          <w:b/>
          <w:sz w:val="28"/>
          <w:szCs w:val="28"/>
        </w:rPr>
        <w:t>Европейская экономическая комиссия</w:t>
      </w:r>
    </w:p>
    <w:p w:rsidR="0088675D" w:rsidRPr="0088675D" w:rsidRDefault="0088675D" w:rsidP="0088675D">
      <w:pPr>
        <w:spacing w:before="120"/>
        <w:rPr>
          <w:sz w:val="28"/>
          <w:szCs w:val="28"/>
        </w:rPr>
      </w:pPr>
      <w:r w:rsidRPr="0088675D">
        <w:rPr>
          <w:sz w:val="28"/>
          <w:szCs w:val="28"/>
        </w:rPr>
        <w:t>Комитет по внутреннему транспорту</w:t>
      </w:r>
    </w:p>
    <w:p w:rsidR="0088675D" w:rsidRPr="00B42DBB" w:rsidRDefault="0088675D" w:rsidP="004F598E">
      <w:pPr>
        <w:spacing w:before="120"/>
        <w:rPr>
          <w:b/>
        </w:rPr>
      </w:pPr>
      <w:r>
        <w:rPr>
          <w:b/>
          <w:bCs/>
        </w:rPr>
        <w:t>Восемьдесят вторая сессия</w:t>
      </w:r>
      <w:r>
        <w:rPr>
          <w:b/>
          <w:bCs/>
        </w:rPr>
        <w:br/>
      </w:r>
      <w:r>
        <w:t>Женева, 25–28 февраля 2020 года</w:t>
      </w:r>
      <w:r>
        <w:br/>
        <w:t xml:space="preserve">Пункт 4 </w:t>
      </w:r>
      <w:r>
        <w:rPr>
          <w:lang w:val="en-US"/>
        </w:rPr>
        <w:t>k</w:t>
      </w:r>
      <w:r>
        <w:t>) предварительной повестки дня</w:t>
      </w:r>
      <w:r>
        <w:br/>
      </w:r>
      <w:r>
        <w:rPr>
          <w:b/>
          <w:bCs/>
        </w:rPr>
        <w:t>Стратегические вопросы горизонтальной политики</w:t>
      </w:r>
      <w:r>
        <w:rPr>
          <w:b/>
          <w:bCs/>
        </w:rPr>
        <w:br/>
      </w:r>
      <w:r w:rsidRPr="00600FA0">
        <w:rPr>
          <w:b/>
          <w:bCs/>
          <w:color w:val="333333"/>
          <w:sz w:val="21"/>
          <w:szCs w:val="21"/>
          <w:shd w:val="clear" w:color="auto" w:fill="FFFFFF"/>
        </w:rPr>
        <w:t>или нормативного характера</w:t>
      </w:r>
      <w:r>
        <w:rPr>
          <w:b/>
          <w:bCs/>
        </w:rPr>
        <w:t>:</w:t>
      </w:r>
      <w:r>
        <w:rPr>
          <w:b/>
          <w:bCs/>
        </w:rPr>
        <w:br/>
        <w:t>Активизация работы по облегчению пересечения</w:t>
      </w:r>
      <w:r>
        <w:rPr>
          <w:b/>
          <w:bCs/>
        </w:rPr>
        <w:br/>
        <w:t>границ (Конвенция о согласовании,</w:t>
      </w:r>
      <w:r w:rsidRPr="0088675D">
        <w:rPr>
          <w:b/>
          <w:bCs/>
        </w:rPr>
        <w:t xml:space="preserve"> </w:t>
      </w:r>
      <w:r>
        <w:rPr>
          <w:b/>
          <w:bCs/>
        </w:rPr>
        <w:t>Конвенция МДП,</w:t>
      </w:r>
      <w:r>
        <w:rPr>
          <w:b/>
          <w:bCs/>
        </w:rPr>
        <w:br/>
        <w:t xml:space="preserve">проект </w:t>
      </w:r>
      <w:proofErr w:type="spellStart"/>
      <w:r>
        <w:rPr>
          <w:b/>
          <w:bCs/>
        </w:rPr>
        <w:t>eTIR</w:t>
      </w:r>
      <w:proofErr w:type="spellEnd"/>
      <w:r>
        <w:rPr>
          <w:b/>
          <w:bCs/>
        </w:rPr>
        <w:t xml:space="preserve"> и другие меры по облегчению</w:t>
      </w:r>
      <w:r>
        <w:rPr>
          <w:b/>
          <w:bCs/>
        </w:rPr>
        <w:br/>
        <w:t>таможенного транзита)</w:t>
      </w:r>
    </w:p>
    <w:p w:rsidR="0088675D" w:rsidRPr="00B42DBB" w:rsidRDefault="0088675D" w:rsidP="004F598E">
      <w:pPr>
        <w:pStyle w:val="HChG"/>
        <w:spacing w:before="240" w:after="120"/>
      </w:pPr>
      <w:r>
        <w:tab/>
      </w:r>
      <w:r>
        <w:tab/>
      </w:r>
      <w:r>
        <w:rPr>
          <w:bCs/>
        </w:rPr>
        <w:t>Активизация работы по облегчению пересечения</w:t>
      </w:r>
      <w:r>
        <w:rPr>
          <w:bCs/>
        </w:rPr>
        <w:br/>
        <w:t>границ (Конвенция о согласовании, Конвенция МДП, проект</w:t>
      </w:r>
      <w:r>
        <w:rPr>
          <w:bCs/>
          <w:lang w:val="en-US"/>
        </w:rPr>
        <w:t> </w:t>
      </w:r>
      <w:proofErr w:type="spellStart"/>
      <w:r>
        <w:rPr>
          <w:bCs/>
        </w:rPr>
        <w:t>eTIR</w:t>
      </w:r>
      <w:proofErr w:type="spellEnd"/>
      <w:r>
        <w:rPr>
          <w:bCs/>
        </w:rPr>
        <w:t xml:space="preserve"> и другие меры по облегчению таможенного транзита)</w:t>
      </w:r>
    </w:p>
    <w:p w:rsidR="0088675D" w:rsidRDefault="0088675D" w:rsidP="004F598E">
      <w:pPr>
        <w:pStyle w:val="H1G"/>
        <w:spacing w:before="240"/>
        <w:rPr>
          <w:b w:val="0"/>
          <w:position w:val="4"/>
          <w:szCs w:val="18"/>
        </w:rPr>
      </w:pPr>
      <w:r>
        <w:tab/>
      </w:r>
      <w:r>
        <w:tab/>
      </w:r>
      <w:r>
        <w:rPr>
          <w:bCs/>
        </w:rPr>
        <w:t>Записка секретариата</w:t>
      </w:r>
      <w:r w:rsidRPr="0088675D">
        <w:rPr>
          <w:rStyle w:val="FootnoteReference"/>
          <w:b w:val="0"/>
          <w:position w:val="4"/>
          <w:szCs w:val="18"/>
          <w:vertAlign w:val="baseline"/>
        </w:rPr>
        <w:footnoteReference w:customMarkFollows="1" w:id="1"/>
        <w:t>*</w:t>
      </w:r>
    </w:p>
    <w:tbl>
      <w:tblPr>
        <w:tblStyle w:val="TableGrid"/>
        <w:tblW w:w="0" w:type="auto"/>
        <w:jc w:val="center"/>
        <w:tblLook w:val="05E0" w:firstRow="1" w:lastRow="1" w:firstColumn="1" w:lastColumn="1" w:noHBand="0" w:noVBand="1"/>
      </w:tblPr>
      <w:tblGrid>
        <w:gridCol w:w="9628"/>
      </w:tblGrid>
      <w:tr w:rsidR="0088675D" w:rsidRPr="0088675D" w:rsidTr="00850215">
        <w:trPr>
          <w:jc w:val="center"/>
        </w:trPr>
        <w:tc>
          <w:tcPr>
            <w:tcW w:w="9637" w:type="dxa"/>
            <w:tcBorders>
              <w:bottom w:val="nil"/>
            </w:tcBorders>
          </w:tcPr>
          <w:p w:rsidR="0088675D" w:rsidRPr="0088675D" w:rsidRDefault="0088675D" w:rsidP="004F598E">
            <w:pPr>
              <w:tabs>
                <w:tab w:val="left" w:pos="255"/>
              </w:tabs>
              <w:spacing w:before="200" w:after="100"/>
              <w:rPr>
                <w:rFonts w:cs="Times New Roman"/>
                <w:sz w:val="24"/>
              </w:rPr>
            </w:pPr>
            <w:r w:rsidRPr="0088675D">
              <w:rPr>
                <w:rFonts w:cs="Times New Roman"/>
              </w:rPr>
              <w:tab/>
            </w:r>
            <w:r w:rsidRPr="0088675D">
              <w:rPr>
                <w:rFonts w:cs="Times New Roman"/>
                <w:i/>
                <w:sz w:val="24"/>
              </w:rPr>
              <w:t>Резюме</w:t>
            </w:r>
          </w:p>
        </w:tc>
      </w:tr>
      <w:tr w:rsidR="0088675D" w:rsidRPr="0088675D" w:rsidTr="00850215">
        <w:trPr>
          <w:jc w:val="center"/>
        </w:trPr>
        <w:tc>
          <w:tcPr>
            <w:tcW w:w="9637" w:type="dxa"/>
            <w:tcBorders>
              <w:top w:val="nil"/>
              <w:bottom w:val="nil"/>
            </w:tcBorders>
            <w:shd w:val="clear" w:color="auto" w:fill="auto"/>
          </w:tcPr>
          <w:p w:rsidR="0088675D" w:rsidRPr="0088675D" w:rsidRDefault="003A1652" w:rsidP="004F598E">
            <w:pPr>
              <w:pStyle w:val="SingleTxtG"/>
              <w:spacing w:after="100" w:line="220" w:lineRule="atLeast"/>
            </w:pPr>
            <w:r>
              <w:tab/>
            </w:r>
            <w:r>
              <w:tab/>
              <w:t>В настоящем документе содержится краткая информация о деятельности Рабочей группы по таможенным вопросам, связанным с транспортом (WP.30),</w:t>
            </w:r>
            <w:r>
              <w:br/>
              <w:t>и ее вспомогательных групп экспертов, Административного комитета Конвенции МДП 1975 года (АС.2), Административного комитета Конвенции о согласовании</w:t>
            </w:r>
            <w:r>
              <w:br/>
              <w:t>1982 года (АС.3) и секретариата МДП/ЕЭК в области облегчения процедур пересечения границ, включая информацию о компьютеризации системы МДП</w:t>
            </w:r>
            <w:r>
              <w:br/>
              <w:t xml:space="preserve">в рамках проекта </w:t>
            </w:r>
            <w:proofErr w:type="spellStart"/>
            <w:r>
              <w:t>eTIR</w:t>
            </w:r>
            <w:proofErr w:type="spellEnd"/>
            <w:r>
              <w:t>.</w:t>
            </w:r>
          </w:p>
        </w:tc>
      </w:tr>
      <w:tr w:rsidR="0088675D" w:rsidRPr="0088675D" w:rsidTr="0088675D">
        <w:trPr>
          <w:jc w:val="center"/>
        </w:trPr>
        <w:tc>
          <w:tcPr>
            <w:tcW w:w="9637" w:type="dxa"/>
            <w:tcBorders>
              <w:top w:val="nil"/>
              <w:bottom w:val="nil"/>
            </w:tcBorders>
          </w:tcPr>
          <w:p w:rsidR="0088675D" w:rsidRPr="0088675D" w:rsidRDefault="003A1652" w:rsidP="004F598E">
            <w:pPr>
              <w:pStyle w:val="SingleTxtG"/>
              <w:spacing w:after="100" w:line="220" w:lineRule="atLeast"/>
            </w:pPr>
            <w:r>
              <w:tab/>
            </w:r>
            <w:r>
              <w:tab/>
              <w:t xml:space="preserve">Комитет будет </w:t>
            </w:r>
            <w:r>
              <w:rPr>
                <w:b/>
                <w:bCs/>
              </w:rPr>
              <w:t xml:space="preserve">проинформирован </w:t>
            </w:r>
            <w:r>
              <w:t>об основных итогах 151-й, 152-й</w:t>
            </w:r>
            <w:r>
              <w:br/>
              <w:t>и 153-й сессий WP.30 (ECE/TRANS/WP.30/302, ECE/TRANS/WP.30/304 и ECE/</w:t>
            </w:r>
            <w:r w:rsidRPr="003A1652">
              <w:t xml:space="preserve"> </w:t>
            </w:r>
            <w:r>
              <w:t xml:space="preserve">TRANS/WP.30/306), и ему будет предложено </w:t>
            </w:r>
            <w:r>
              <w:rPr>
                <w:b/>
                <w:bCs/>
              </w:rPr>
              <w:t>принять к сведению</w:t>
            </w:r>
            <w:r>
              <w:t xml:space="preserve"> изложенную в настоящем документе информацию о деятельности АС.2, в том числе о принятых поправках (ECE/TRANS/WP.30/AC.2/141, ECE/TRANS/WP.30/AC.2/143 и ECE/</w:t>
            </w:r>
            <w:r w:rsidRPr="003A1652">
              <w:t xml:space="preserve"> </w:t>
            </w:r>
            <w:r>
              <w:t>TRANS/WP.30/AC.2/145), а также о деятельности АС.3 (ECE/TRANS/WP.30/AC.3/22) в 2019 году.</w:t>
            </w:r>
          </w:p>
        </w:tc>
      </w:tr>
      <w:tr w:rsidR="0088675D" w:rsidRPr="0088675D" w:rsidTr="0088675D">
        <w:trPr>
          <w:jc w:val="center"/>
        </w:trPr>
        <w:tc>
          <w:tcPr>
            <w:tcW w:w="9637" w:type="dxa"/>
            <w:tcBorders>
              <w:top w:val="nil"/>
              <w:bottom w:val="nil"/>
            </w:tcBorders>
          </w:tcPr>
          <w:p w:rsidR="0088675D" w:rsidRPr="0088675D" w:rsidRDefault="003A1652" w:rsidP="004F598E">
            <w:pPr>
              <w:pStyle w:val="SingleTxtG"/>
              <w:spacing w:after="100" w:line="220" w:lineRule="atLeast"/>
            </w:pPr>
            <w:r>
              <w:tab/>
            </w:r>
            <w:r>
              <w:tab/>
              <w:t xml:space="preserve">В частности, Комитет будет </w:t>
            </w:r>
            <w:r>
              <w:rPr>
                <w:b/>
                <w:bCs/>
              </w:rPr>
              <w:t xml:space="preserve">проинформирован </w:t>
            </w:r>
            <w:r>
              <w:t>о ходе обсуждений в AC.2</w:t>
            </w:r>
            <w:r>
              <w:br/>
              <w:t xml:space="preserve">по вопросу о правовых рамках </w:t>
            </w:r>
            <w:proofErr w:type="spellStart"/>
            <w:r>
              <w:t>eTIR</w:t>
            </w:r>
            <w:proofErr w:type="spellEnd"/>
            <w:r>
              <w:t xml:space="preserve">, в результате которых было достигнуто соглашение по окончательному тексту, который будет представлен для принятия на сессии АС.2 в феврале 2020 года; к Комитету будет обращена просьба </w:t>
            </w:r>
            <w:r>
              <w:rPr>
                <w:b/>
                <w:bCs/>
              </w:rPr>
              <w:t>одобрить</w:t>
            </w:r>
            <w:r>
              <w:t xml:space="preserve"> продолжение проекта </w:t>
            </w:r>
            <w:proofErr w:type="spellStart"/>
            <w:r>
              <w:t>eTIR</w:t>
            </w:r>
            <w:proofErr w:type="spellEnd"/>
            <w:r>
              <w:t xml:space="preserve"> и с этой целью а) </w:t>
            </w:r>
            <w:r>
              <w:rPr>
                <w:b/>
                <w:bCs/>
              </w:rPr>
              <w:t>принять решение продлить</w:t>
            </w:r>
            <w:r>
              <w:t xml:space="preserve"> мандат </w:t>
            </w:r>
            <w:r>
              <w:lastRenderedPageBreak/>
              <w:t xml:space="preserve">Неофициальной специальной группы экспертов по концептуальным и техническим аспектам компьютеризации процедуры МДП (WP.30/GE.1) на 2020 год до ее преобразования в официальную группу экспертов; b) вновь </w:t>
            </w:r>
            <w:r>
              <w:rPr>
                <w:b/>
                <w:bCs/>
              </w:rPr>
              <w:t>настоятельно призвать</w:t>
            </w:r>
            <w:r>
              <w:t xml:space="preserve"> договаривающиеся стороны и </w:t>
            </w:r>
            <w:r w:rsidRPr="00C03361">
              <w:t>соответствующие заинтересованные стороны</w:t>
            </w:r>
            <w:r>
              <w:t xml:space="preserve"> обеспечить продолжение необходимого финансирования для реализации проекта </w:t>
            </w:r>
            <w:proofErr w:type="spellStart"/>
            <w:r>
              <w:t>eTIR</w:t>
            </w:r>
            <w:proofErr w:type="spellEnd"/>
            <w:r>
              <w:t xml:space="preserve">; c) </w:t>
            </w:r>
            <w:r>
              <w:rPr>
                <w:b/>
                <w:bCs/>
              </w:rPr>
              <w:t>настоятельно призвать</w:t>
            </w:r>
            <w:r>
              <w:t xml:space="preserve"> договаривающиеся стороны </w:t>
            </w:r>
            <w:r w:rsidRPr="00C03361">
              <w:t>не заявлять возражений против предложений по новому приложению 11 к Конвенции МДП, с тем чтобы ввести компьютеризацию процедуры МДП в правовой текст Конвенции</w:t>
            </w:r>
            <w:r>
              <w:t xml:space="preserve">, и вместо этого использовать, если будет сочтено необходимым, положение о возможности отказа от применения, введенное вместе с приложением 11; а также d) </w:t>
            </w:r>
            <w:r>
              <w:rPr>
                <w:b/>
                <w:bCs/>
              </w:rPr>
              <w:t xml:space="preserve">поручить </w:t>
            </w:r>
            <w:r>
              <w:t xml:space="preserve">секретариату продолжить пилотное применение международной системы </w:t>
            </w:r>
            <w:proofErr w:type="spellStart"/>
            <w:r>
              <w:t>eTIR</w:t>
            </w:r>
            <w:proofErr w:type="spellEnd"/>
            <w:r>
              <w:t xml:space="preserve"> на основе технических спецификаций </w:t>
            </w:r>
            <w:proofErr w:type="spellStart"/>
            <w:r>
              <w:t>eTIR</w:t>
            </w:r>
            <w:proofErr w:type="spellEnd"/>
            <w:r>
              <w:t xml:space="preserve"> в сотрудничестве с государствами-членами</w:t>
            </w:r>
            <w:r w:rsidRPr="00756A68">
              <w:t>, выразившими в этом заинтересованность,</w:t>
            </w:r>
            <w:r>
              <w:t xml:space="preserve"> и МСАТ.</w:t>
            </w:r>
          </w:p>
        </w:tc>
      </w:tr>
      <w:tr w:rsidR="0088675D" w:rsidRPr="0088675D" w:rsidTr="0088675D">
        <w:trPr>
          <w:jc w:val="center"/>
        </w:trPr>
        <w:tc>
          <w:tcPr>
            <w:tcW w:w="9637" w:type="dxa"/>
            <w:tcBorders>
              <w:top w:val="nil"/>
              <w:bottom w:val="nil"/>
            </w:tcBorders>
          </w:tcPr>
          <w:p w:rsidR="0088675D" w:rsidRPr="0088675D" w:rsidRDefault="003A1652" w:rsidP="004F598E">
            <w:pPr>
              <w:pStyle w:val="SingleTxtG"/>
              <w:spacing w:after="100" w:line="220" w:lineRule="atLeast"/>
            </w:pPr>
            <w:r>
              <w:lastRenderedPageBreak/>
              <w:tab/>
            </w:r>
            <w:r>
              <w:tab/>
              <w:t xml:space="preserve">В то же время Комитету будет </w:t>
            </w:r>
            <w:r>
              <w:rPr>
                <w:b/>
                <w:bCs/>
              </w:rPr>
              <w:t>предложено рассмотреть</w:t>
            </w:r>
            <w:r>
              <w:t xml:space="preserve"> документ ECE/</w:t>
            </w:r>
            <w:r w:rsidRPr="003A1652">
              <w:t xml:space="preserve"> </w:t>
            </w:r>
            <w:r>
              <w:t xml:space="preserve">TRANS/WP.30/2019/9 и Corr.1 к нему, где содержится предложение о преобразовании WP.30/GE.1 в официальную группу экспертов, а также ее круг ведения, принятый WP.30 на 153-й сессии. К Комитету </w:t>
            </w:r>
            <w:r>
              <w:rPr>
                <w:b/>
                <w:bCs/>
              </w:rPr>
              <w:t xml:space="preserve">будет обращена просьба утвердить </w:t>
            </w:r>
            <w:r>
              <w:t xml:space="preserve">круг ведения Группы экспертов по концептуальным и техническим аспектам компьютеризации процедуры МДП (WP.30/GE.1), а также </w:t>
            </w:r>
            <w:r>
              <w:rPr>
                <w:b/>
                <w:bCs/>
              </w:rPr>
              <w:t xml:space="preserve">одобрить </w:t>
            </w:r>
            <w:r>
              <w:t>ее учреждение в качестве новой официальной группы экспертов (с тем же сокращенным наименованием, т.</w:t>
            </w:r>
            <w:r>
              <w:rPr>
                <w:lang w:val="en-US"/>
              </w:rPr>
              <w:t> </w:t>
            </w:r>
            <w:r>
              <w:t xml:space="preserve">е. GE.1). </w:t>
            </w:r>
            <w:r w:rsidRPr="00756A68">
              <w:t xml:space="preserve">Ожидается, что эта группа соберется не менее двух раз в 2020 году и еще по крайней мере дважды в 2021 году, прежде чем завершить свою работу и представить заключительный доклад </w:t>
            </w:r>
            <w:r>
              <w:t>WP</w:t>
            </w:r>
            <w:r w:rsidRPr="00756A68">
              <w:t>.30 на ее февральской сессии 2022 года.</w:t>
            </w:r>
          </w:p>
        </w:tc>
      </w:tr>
      <w:tr w:rsidR="0088675D" w:rsidRPr="0088675D" w:rsidTr="0088675D">
        <w:trPr>
          <w:jc w:val="center"/>
        </w:trPr>
        <w:tc>
          <w:tcPr>
            <w:tcW w:w="9637" w:type="dxa"/>
            <w:tcBorders>
              <w:top w:val="nil"/>
              <w:bottom w:val="nil"/>
            </w:tcBorders>
          </w:tcPr>
          <w:p w:rsidR="0088675D" w:rsidRPr="0088675D" w:rsidRDefault="003A1652" w:rsidP="004F598E">
            <w:pPr>
              <w:pStyle w:val="SingleTxtG"/>
              <w:spacing w:after="100" w:line="220" w:lineRule="atLeast"/>
            </w:pPr>
            <w:r>
              <w:tab/>
            </w:r>
            <w:r>
              <w:tab/>
              <w:t xml:space="preserve">Комитету будет </w:t>
            </w:r>
            <w:r>
              <w:rPr>
                <w:b/>
                <w:bCs/>
              </w:rPr>
              <w:t>предложено принять к сведению</w:t>
            </w:r>
            <w:r>
              <w:t xml:space="preserve"> информацию о последующих мерах WP.30 по согласованию работы со стратегией КВТ, в частности с теми аспектами, которые касаются безопасности дорожного движения. С этой целью WP.30 провела обследование, на которое ответили 29 стран. Рабочая группа подтвердила предварительные выводы секретариата, подчеркнув, в частности, точку зрения о том, что роль и задачи таможенных органов в области обеспечения безопасности дорожного движения крайне ограничены, за исключением проверки технического состояния транспортных средств при ввозе/вывозе либо участии таможенных органов в контроле тахографов, веса и размеров транспортных средств или в проверке соблюдения правил перевозки опасных грузов.</w:t>
            </w:r>
          </w:p>
        </w:tc>
      </w:tr>
      <w:tr w:rsidR="0088675D" w:rsidRPr="0088675D" w:rsidTr="0088675D">
        <w:trPr>
          <w:jc w:val="center"/>
        </w:trPr>
        <w:tc>
          <w:tcPr>
            <w:tcW w:w="9637" w:type="dxa"/>
            <w:tcBorders>
              <w:top w:val="nil"/>
              <w:bottom w:val="nil"/>
            </w:tcBorders>
          </w:tcPr>
          <w:p w:rsidR="0088675D" w:rsidRPr="0088675D" w:rsidRDefault="003A1652" w:rsidP="004B3812">
            <w:pPr>
              <w:pStyle w:val="SingleTxtG"/>
              <w:spacing w:after="100" w:line="220" w:lineRule="atLeast"/>
            </w:pPr>
            <w:r>
              <w:tab/>
            </w:r>
            <w:r>
              <w:tab/>
              <w:t xml:space="preserve">И наконец, Комитету будет </w:t>
            </w:r>
            <w:r>
              <w:rPr>
                <w:b/>
                <w:bCs/>
              </w:rPr>
              <w:t>предложено принять к сведению</w:t>
            </w:r>
            <w:r>
              <w:t>, что WP.30 на своей 153-й сессии рассмотрела предложения по согласованию работы Рабочей группы со стратегией КВТ. WP.30 рассмотрела перечень задач, которые ей следует выполнить в предстоящие годы в дополнение к своей обычной работе. Рабочая группа выразила свою готовность в принципе поддержать осуществление стратегии КВТ</w:t>
            </w:r>
            <w:r w:rsidR="004B3812" w:rsidRPr="004B3812">
              <w:t xml:space="preserve"> </w:t>
            </w:r>
            <w:r>
              <w:t xml:space="preserve">и поэтому в предварительном порядке согласилась с предлагаемым графиком выполнения поставленных задач при условии проведения в любое время в будущем дальнейшей оценки. </w:t>
            </w:r>
            <w:r w:rsidRPr="00756A68">
              <w:t xml:space="preserve">В то же время Рабочая группа предупредила, что намечаемые задачи а) не должны вступать в противоречие с ее обычными задачами; </w:t>
            </w:r>
            <w:r w:rsidRPr="00B821C1">
              <w:t>b</w:t>
            </w:r>
            <w:r w:rsidRPr="00756A68">
              <w:t>) не должны приводить к механическим изменениям лишь в целях согласования со стратегией КВТ и что с)</w:t>
            </w:r>
            <w:r>
              <w:rPr>
                <w:lang w:val="en-US"/>
              </w:rPr>
              <w:t> </w:t>
            </w:r>
            <w:r w:rsidRPr="00756A68">
              <w:t>только Рабочая группа будет иметь прерогативу устанавливать актуальность предложения или принятия поправок к правовым документам или осуществления любых других соответствующих мер. В порядке предостережения делегация Европейского союза рекомендовала ЕЭК не допускать, чтобы ее стремление выступать в роли одного из глобальных игроков в отношении правовых документов в области транспорта негативно отражалось на выполнении ею задачи по защите интересов региона ЕЭК. Делегация Украины напомнила об обширном наборе вопросов и ответов, разработанных Исполнительным советом МДП в качестве учебных материалов для различных заинтересованных сторон системы МДП, предложив Рабочей группе рассмотреть и при необходимости изменить или обновить их, с тем чтобы отразить последнее состояние Конвенции МДП</w:t>
            </w:r>
            <w:r>
              <w:t>.</w:t>
            </w:r>
          </w:p>
        </w:tc>
      </w:tr>
      <w:tr w:rsidR="0088675D" w:rsidRPr="0088675D" w:rsidTr="003A1652">
        <w:trPr>
          <w:jc w:val="center"/>
        </w:trPr>
        <w:tc>
          <w:tcPr>
            <w:tcW w:w="9637" w:type="dxa"/>
            <w:tcBorders>
              <w:top w:val="nil"/>
              <w:bottom w:val="nil"/>
            </w:tcBorders>
          </w:tcPr>
          <w:p w:rsidR="0088675D" w:rsidRPr="0088675D" w:rsidRDefault="003A1652" w:rsidP="004F598E">
            <w:pPr>
              <w:pStyle w:val="SingleTxtG"/>
              <w:spacing w:after="100" w:line="220" w:lineRule="atLeast"/>
            </w:pPr>
            <w:r>
              <w:rPr>
                <w:b/>
                <w:bCs/>
              </w:rPr>
              <w:t>Документация</w:t>
            </w:r>
          </w:p>
        </w:tc>
      </w:tr>
      <w:tr w:rsidR="003A1652" w:rsidRPr="0088675D" w:rsidTr="003A1652">
        <w:trPr>
          <w:jc w:val="center"/>
        </w:trPr>
        <w:tc>
          <w:tcPr>
            <w:tcW w:w="9637" w:type="dxa"/>
            <w:tcBorders>
              <w:top w:val="nil"/>
              <w:bottom w:val="nil"/>
            </w:tcBorders>
          </w:tcPr>
          <w:p w:rsidR="003A1652" w:rsidRPr="0088675D" w:rsidRDefault="003A1652" w:rsidP="004F598E">
            <w:pPr>
              <w:pStyle w:val="SingleTxtG"/>
              <w:spacing w:line="220" w:lineRule="atLeast"/>
              <w:jc w:val="left"/>
            </w:pPr>
            <w:r>
              <w:t>ECE/TRANS/WP.30/2019/7/Rev.1; ECE/TRANS/WP.30/2019/8, ECE/TRANS/WP.30/2019/8/Corr.1 (только на английском языке), ECE/TRANS/WP.30/2019/9, ECE/TRANS/WP.30/2019/9/Corr.1</w:t>
            </w:r>
          </w:p>
        </w:tc>
      </w:tr>
      <w:tr w:rsidR="003A1652" w:rsidRPr="0088675D" w:rsidTr="00850215">
        <w:trPr>
          <w:jc w:val="center"/>
        </w:trPr>
        <w:tc>
          <w:tcPr>
            <w:tcW w:w="9637" w:type="dxa"/>
            <w:tcBorders>
              <w:top w:val="nil"/>
            </w:tcBorders>
          </w:tcPr>
          <w:p w:rsidR="003A1652" w:rsidRPr="0088675D" w:rsidRDefault="003A1652" w:rsidP="00850215">
            <w:pPr>
              <w:rPr>
                <w:rFonts w:cs="Times New Roman"/>
              </w:rPr>
            </w:pPr>
          </w:p>
        </w:tc>
      </w:tr>
    </w:tbl>
    <w:p w:rsidR="0088675D" w:rsidRPr="00B42DBB" w:rsidRDefault="0088675D" w:rsidP="0088675D">
      <w:pPr>
        <w:pStyle w:val="HChG"/>
        <w:ind w:left="0" w:firstLine="0"/>
      </w:pPr>
      <w:r>
        <w:lastRenderedPageBreak/>
        <w:tab/>
        <w:t>I.</w:t>
      </w:r>
      <w:r>
        <w:tab/>
      </w:r>
      <w:r>
        <w:rPr>
          <w:bCs/>
        </w:rPr>
        <w:t>Справочная информация и мандат</w:t>
      </w:r>
    </w:p>
    <w:p w:rsidR="0088675D" w:rsidRPr="00B42DBB" w:rsidRDefault="0088675D" w:rsidP="0088675D">
      <w:pPr>
        <w:pStyle w:val="SingleTxtG"/>
      </w:pPr>
      <w:r>
        <w:t>1.</w:t>
      </w:r>
      <w:r>
        <w:tab/>
        <w:t>Настоящий документ подготовлен в соответствии с программой работы Комитета по внутреннему транспорту (КВТ) на период 2016–2020 годов (ECE/</w:t>
      </w:r>
      <w:r w:rsidR="004F598E" w:rsidRPr="004F598E">
        <w:t xml:space="preserve"> </w:t>
      </w:r>
      <w:r>
        <w:t>TRANS/254, пункт 156, и ECE/TRANS/2016/31, подпрограмма 02.10: Таможенные вопросы, связанные с транспортом). В нем содержится информация о результатах, достигнутых в 2019 году договаривающимися сторонами, Рабочей группой по таможенным вопросам, связанным с транспортом (WP.30), Административным комитетом Конвенции МДП 1975 года (АС.2), Административным комитетом Конвенции о согласовании 1982 года (АС.3) и секретариатом МДП/ЕЭК в области облегчения процедур пересечения границ, включая, в частности:</w:t>
      </w:r>
    </w:p>
    <w:p w:rsidR="0088675D" w:rsidRPr="00B42DBB" w:rsidDel="003D4299" w:rsidRDefault="0088675D" w:rsidP="0088675D">
      <w:pPr>
        <w:pStyle w:val="Bullet1G"/>
        <w:numPr>
          <w:ilvl w:val="0"/>
          <w:numId w:val="22"/>
        </w:numPr>
      </w:pPr>
      <w:r>
        <w:t>изменения в контексте Международной конвенции о согласовании условий проведения контроля грузов на границах 1982 года (Конвенции о согласовании), а также инициативы по мониторингу и укреплению потенциала в целях содействия надлежащему применению этой Конвенции на национальном уровне;</w:t>
      </w:r>
    </w:p>
    <w:p w:rsidR="0088675D" w:rsidRPr="00B42DBB" w:rsidRDefault="0088675D" w:rsidP="0088675D">
      <w:pPr>
        <w:pStyle w:val="Bullet1G"/>
        <w:numPr>
          <w:ilvl w:val="0"/>
          <w:numId w:val="22"/>
        </w:numPr>
      </w:pPr>
      <w:r>
        <w:t>деятельность и изменения в контексте Конвенции МДП и функционирования системы МДП;</w:t>
      </w:r>
    </w:p>
    <w:p w:rsidR="0088675D" w:rsidRPr="00B42DBB" w:rsidRDefault="0088675D" w:rsidP="0088675D">
      <w:pPr>
        <w:pStyle w:val="Bullet1G"/>
        <w:numPr>
          <w:ilvl w:val="0"/>
          <w:numId w:val="22"/>
        </w:numPr>
      </w:pPr>
      <w:r>
        <w:t xml:space="preserve">прогресс в связи с проектом </w:t>
      </w:r>
      <w:proofErr w:type="spellStart"/>
      <w:r>
        <w:t>eTIR</w:t>
      </w:r>
      <w:proofErr w:type="spellEnd"/>
      <w:r>
        <w:t>, завершение работы над текстом приложения 11 к Конвенции в целях создания правовой основы для практического применения компьютеризованной процедуры МДП и состояние пятилетнего Меморандума о взаимопонимании (</w:t>
      </w:r>
      <w:proofErr w:type="spellStart"/>
      <w:r>
        <w:t>МоВ</w:t>
      </w:r>
      <w:proofErr w:type="spellEnd"/>
      <w:r>
        <w:t>) по сотрудничеству между ЕЭК и Международным союзом автомобильного транспорта (МСАТ)</w:t>
      </w:r>
      <w:r w:rsidR="004B3812" w:rsidRPr="004B3812">
        <w:t xml:space="preserve"> </w:t>
      </w:r>
      <w:r>
        <w:t>в</w:t>
      </w:r>
      <w:r w:rsidR="004B3812">
        <w:rPr>
          <w:lang w:val="en-US"/>
        </w:rPr>
        <w:t> </w:t>
      </w:r>
      <w:r>
        <w:t>области компьютеризации процедуры МДП и его последующих пилотных проектов;</w:t>
      </w:r>
    </w:p>
    <w:p w:rsidR="0088675D" w:rsidRPr="00B42DBB" w:rsidRDefault="0088675D" w:rsidP="0088675D">
      <w:pPr>
        <w:pStyle w:val="Bullet1G"/>
        <w:numPr>
          <w:ilvl w:val="0"/>
          <w:numId w:val="22"/>
        </w:numPr>
      </w:pPr>
      <w:r>
        <w:t xml:space="preserve">изменения в связи с Конвенцией об облегчении условий пересечения границ при международной железнодорожной перевозке пассажиров, багажа и </w:t>
      </w:r>
      <w:proofErr w:type="spellStart"/>
      <w:r>
        <w:t>товаробагажа</w:t>
      </w:r>
      <w:proofErr w:type="spellEnd"/>
      <w:r>
        <w:t>;</w:t>
      </w:r>
    </w:p>
    <w:p w:rsidR="0088675D" w:rsidRPr="00B42DBB" w:rsidRDefault="0088675D" w:rsidP="0088675D">
      <w:pPr>
        <w:pStyle w:val="Bullet1G"/>
        <w:numPr>
          <w:ilvl w:val="0"/>
          <w:numId w:val="22"/>
        </w:numPr>
      </w:pPr>
      <w:r>
        <w:t>текущие вопросы, связанные с применением Таможенной конвенции о временном ввозе частных дорожных перевозочных средств 1954 года в Египте и Иордании.</w:t>
      </w:r>
    </w:p>
    <w:p w:rsidR="0088675D" w:rsidRPr="00B42DBB" w:rsidRDefault="0088675D" w:rsidP="0088675D">
      <w:pPr>
        <w:pStyle w:val="Bullet1G"/>
        <w:numPr>
          <w:ilvl w:val="0"/>
          <w:numId w:val="22"/>
        </w:numPr>
      </w:pPr>
      <w:r>
        <w:t>просьбы со стороны КВТ о согласовании деятельности WP.30 со стратегией КВТ до 2030 года.</w:t>
      </w:r>
    </w:p>
    <w:p w:rsidR="0088675D" w:rsidRPr="00600FA0" w:rsidRDefault="0088675D" w:rsidP="0088675D">
      <w:pPr>
        <w:pStyle w:val="HChG"/>
        <w:jc w:val="both"/>
      </w:pPr>
      <w:r>
        <w:tab/>
        <w:t>II.</w:t>
      </w:r>
      <w:r>
        <w:tab/>
      </w:r>
      <w:r>
        <w:rPr>
          <w:bCs/>
        </w:rPr>
        <w:t>Конвенция о согласовании</w:t>
      </w:r>
    </w:p>
    <w:p w:rsidR="0088675D" w:rsidRPr="00600FA0" w:rsidRDefault="0088675D" w:rsidP="0088675D">
      <w:pPr>
        <w:pStyle w:val="SingleTxtG"/>
      </w:pPr>
      <w:r>
        <w:t>2.</w:t>
      </w:r>
      <w:r>
        <w:tab/>
        <w:t>Комитет, возможно, пожелает отметить, что в 2019 году никакие новые страны к Международной конвенции о согласовании условий проведения контроля грузов на границах 1982 года («Конвенции о согласовании») не присоединились. Таким образом, с момента вступления в силу Конвенции о согласовании для Туркменистана</w:t>
      </w:r>
      <w:r w:rsidR="004F598E">
        <w:br/>
      </w:r>
      <w:r>
        <w:t>27 февраля 2017 года ее участниками по-прежнему являются 58 договаривающихся сторон.</w:t>
      </w:r>
    </w:p>
    <w:p w:rsidR="0088675D" w:rsidRPr="00600FA0" w:rsidRDefault="0088675D" w:rsidP="0088675D">
      <w:pPr>
        <w:pStyle w:val="H1G"/>
      </w:pPr>
      <w:r>
        <w:tab/>
        <w:t>A.</w:t>
      </w:r>
      <w:r>
        <w:tab/>
      </w:r>
      <w:r>
        <w:rPr>
          <w:bCs/>
        </w:rPr>
        <w:t>Предложения по поправкам к Конвенции</w:t>
      </w:r>
    </w:p>
    <w:p w:rsidR="0088675D" w:rsidRPr="00600FA0" w:rsidRDefault="0088675D" w:rsidP="0088675D">
      <w:pPr>
        <w:pStyle w:val="SingleTxtG"/>
      </w:pPr>
      <w:r>
        <w:t>3.</w:t>
      </w:r>
      <w:r>
        <w:tab/>
        <w:t xml:space="preserve">На своей одиннадцатой сессии (июнь 2019 года) AC.3 принял к сведению информацию о том, что WP.30 на своей 151-й сессии (февраль 2019 года) поручила секретариату подготовить предложение по поправке к статье 7 приложения 8, касающейся периодичности представления докладов, которая будет увеличена с двух до пяти лет. AC.3 принял к сведению, что Европейский союз и его государства-члены могут согласиться с этим предложением, но, поскольку оно еще не утверждено посредством официального решения Совета, могут принять его только в предварительном порядке. На 153-й </w:t>
      </w:r>
      <w:r>
        <w:rPr>
          <w:lang w:val="en-US"/>
        </w:rPr>
        <w:t>c</w:t>
      </w:r>
      <w:proofErr w:type="spellStart"/>
      <w:r>
        <w:t>ес</w:t>
      </w:r>
      <w:proofErr w:type="spellEnd"/>
      <w:r>
        <w:rPr>
          <w:lang w:val="en-US"/>
        </w:rPr>
        <w:t>c</w:t>
      </w:r>
      <w:proofErr w:type="spellStart"/>
      <w:r>
        <w:t>ии</w:t>
      </w:r>
      <w:proofErr w:type="spellEnd"/>
      <w:r>
        <w:t xml:space="preserve"> WP.30 (октябрь 2019 года) делегация Европейского союза сообщила, что процесс официального принятия осуществляется </w:t>
      </w:r>
      <w:r>
        <w:lastRenderedPageBreak/>
        <w:t xml:space="preserve">полным ходом и что секретариат мог бы организовать совещание AC.3. Исходя из этого, Рабочая группа поручила секретариату предпринять необходимые шаги для созыва двенадцатой сессии АС.3, включая подготовку </w:t>
      </w:r>
      <w:proofErr w:type="spellStart"/>
      <w:r>
        <w:t>предсессионной</w:t>
      </w:r>
      <w:proofErr w:type="spellEnd"/>
      <w:r>
        <w:t xml:space="preserve">, сессионной и </w:t>
      </w:r>
      <w:proofErr w:type="spellStart"/>
      <w:r>
        <w:t>послесессионной</w:t>
      </w:r>
      <w:proofErr w:type="spellEnd"/>
      <w:r>
        <w:t xml:space="preserve"> документации, в связи со 154-й сессией WP.30, которая состоится в среду, 5 февраля 2020 года, с 17 ч 00 мин до 18 ч 00 мин и единственным пунктом повестки дня которой будет официальное утверждение этого предложения (ECE/TRANS/WP.30/306, пункт 27).</w:t>
      </w:r>
    </w:p>
    <w:p w:rsidR="0088675D" w:rsidRPr="00600FA0" w:rsidRDefault="0088675D" w:rsidP="0088675D">
      <w:pPr>
        <w:pStyle w:val="H1G"/>
      </w:pPr>
      <w:r>
        <w:tab/>
        <w:t>B.</w:t>
      </w:r>
      <w:r>
        <w:tab/>
      </w:r>
      <w:r>
        <w:rPr>
          <w:bCs/>
        </w:rPr>
        <w:t>Двухгодичное обследование по вопросу об осуществлении приложения 8, касающегося пересечения границ в ходе международных автомобильных перевозок</w:t>
      </w:r>
    </w:p>
    <w:p w:rsidR="0088675D" w:rsidRPr="00600FA0" w:rsidRDefault="0088675D" w:rsidP="0088675D">
      <w:pPr>
        <w:pStyle w:val="SingleTxtG"/>
      </w:pPr>
      <w:r>
        <w:t>4.</w:t>
      </w:r>
      <w:r>
        <w:tab/>
        <w:t>На своей одиннадцатой сессии (июнь 2019 года) АС.3 принял к сведению итоги двухгодичного обследования по приложению 8 к Конвенции, проведенного</w:t>
      </w:r>
      <w:r w:rsidR="004F598E">
        <w:br/>
      </w:r>
      <w:r>
        <w:t>в 2018 году. В частности, AC.3 принял к сведению, что на вопросник ответили</w:t>
      </w:r>
      <w:r w:rsidR="004F598E">
        <w:br/>
      </w:r>
      <w:r>
        <w:t>25 стран, хотя ответы некоторых из них были неполными. Выводы по итогам анализа свидетельствуют о том, что договаривающиеся страны успешно осуществляют некоторые положения приложения 8. Вместе с тем сохраняется необходимость в совершенствовании работы в следующих областях: использование международного весового сертификата транспортных средств (МВСТС); упрощение визовых процедур; передача процедур контроля из пунктов пересечения границ в места отправления и назначения; присоединение к Соглашению о принятии единообразных условий для периодических технических осмотров колесных транспортных средств и о взаимном признании таких осмотров (</w:t>
      </w:r>
      <w:r w:rsidRPr="004B3812">
        <w:t>1997</w:t>
      </w:r>
      <w:r>
        <w:t xml:space="preserve"> год) и принятие международного сертификата технического осмотра и </w:t>
      </w:r>
      <w:r w:rsidRPr="004B3812">
        <w:t>проч.</w:t>
      </w:r>
      <w:r>
        <w:t xml:space="preserve"> АС.3 пришел к выводу, что пока обследования являются лишь ограниченным источником сопоставимых данных о ходе применения приложения 8, и в этой связи просил секретариат провести очередное обследование</w:t>
      </w:r>
      <w:r w:rsidR="004F598E">
        <w:br/>
      </w:r>
      <w:r>
        <w:t>(в 2023 году) для составления перечня специальных координаторов, которым следует координировать национальные ответы. AC.3 согласился также с тем, что результаты будущих обследований больше не будут анонимными, для того чтобы их можно было лучше оценивать и по возможности на их основе принимать меры в зависимости от конкретной страны (ECE/TRANS/WP.30/AC.3/22, пункты 18–19).</w:t>
      </w:r>
    </w:p>
    <w:p w:rsidR="0088675D" w:rsidRPr="00600FA0" w:rsidRDefault="0088675D" w:rsidP="0088675D">
      <w:pPr>
        <w:pStyle w:val="HChG"/>
      </w:pPr>
      <w:r>
        <w:tab/>
        <w:t>III.</w:t>
      </w:r>
      <w:r>
        <w:tab/>
      </w:r>
      <w:r>
        <w:rPr>
          <w:bCs/>
        </w:rPr>
        <w:t>Конвенция МДП</w:t>
      </w:r>
    </w:p>
    <w:p w:rsidR="0088675D" w:rsidRPr="00600FA0" w:rsidRDefault="0088675D" w:rsidP="0088675D">
      <w:pPr>
        <w:pStyle w:val="H1G"/>
      </w:pPr>
      <w:r>
        <w:tab/>
        <w:t>A.</w:t>
      </w:r>
      <w:r>
        <w:tab/>
      </w:r>
      <w:r>
        <w:rPr>
          <w:bCs/>
        </w:rPr>
        <w:t>Предложения по поправкам к Конвенции</w:t>
      </w:r>
    </w:p>
    <w:p w:rsidR="0088675D" w:rsidRPr="00600FA0" w:rsidRDefault="0088675D" w:rsidP="0088675D">
      <w:pPr>
        <w:pStyle w:val="SingleTxtG"/>
      </w:pPr>
      <w:r>
        <w:t>5.</w:t>
      </w:r>
      <w:r>
        <w:tab/>
        <w:t>В 2019 году Конвенция МДП 1975 года вступила в силу для Аргентины и Омана. С учетом присоединения к Конвенции этих стран число ее договаривающихся сторон достигло 76. Кроме того, система МДП действует в 62 странах. В октябре 2019 года Саудовская Аравия объявила о том, что она находится на завершающем этапе введения в действие системы МДП на своей территории.</w:t>
      </w:r>
    </w:p>
    <w:p w:rsidR="0088675D" w:rsidRPr="00600FA0" w:rsidRDefault="0088675D" w:rsidP="0088675D">
      <w:pPr>
        <w:pStyle w:val="SingleTxtG"/>
      </w:pPr>
      <w:r>
        <w:t>6.</w:t>
      </w:r>
      <w:r>
        <w:tab/>
        <w:t>В 2019 году WP.30 и АС.2 продолжили усилия по рассмотрению и завершению разработки различных предложений по поправкам к Конвенции МДП. В течение</w:t>
      </w:r>
      <w:r w:rsidR="004F598E">
        <w:br/>
      </w:r>
      <w:r>
        <w:t>2019 года АС.2 одобрил ряд предложений по следующим поправкам (пока не принятым официально):</w:t>
      </w:r>
    </w:p>
    <w:p w:rsidR="0088675D" w:rsidRPr="00600FA0" w:rsidRDefault="0088675D" w:rsidP="0088675D">
      <w:pPr>
        <w:pStyle w:val="Bullet1G"/>
        <w:numPr>
          <w:ilvl w:val="0"/>
          <w:numId w:val="22"/>
        </w:numPr>
      </w:pPr>
      <w:r>
        <w:t xml:space="preserve">поправки к пункту 1 статьи 6, пояснительная записка 0.6.2, и к пункту I части I приложения 9, предусматривающие изменение существующей формулировки на </w:t>
      </w:r>
      <w:r w:rsidR="004F598E">
        <w:t>«</w:t>
      </w:r>
      <w:r>
        <w:t>таможенные органы или другие компетентные органы Договаривающейся стороны могут</w:t>
      </w:r>
      <w:r w:rsidR="004F598E">
        <w:t>»</w:t>
      </w:r>
      <w:r>
        <w:t xml:space="preserve">, и замена в тексте пояснительной записки 0.6.2 фразы </w:t>
      </w:r>
      <w:r w:rsidR="004F598E">
        <w:t>«</w:t>
      </w:r>
      <w:r>
        <w:t>могут признавать</w:t>
      </w:r>
      <w:r w:rsidR="004F598E">
        <w:t>»</w:t>
      </w:r>
      <w:r>
        <w:t xml:space="preserve"> на фразу </w:t>
      </w:r>
      <w:r w:rsidR="004F598E">
        <w:t>«</w:t>
      </w:r>
      <w:r>
        <w:t>могут уполномочивать</w:t>
      </w:r>
      <w:r w:rsidR="004F598E">
        <w:t>»</w:t>
      </w:r>
      <w:r>
        <w:t>.</w:t>
      </w:r>
    </w:p>
    <w:p w:rsidR="0088675D" w:rsidRPr="00600FA0" w:rsidRDefault="0088675D" w:rsidP="0088675D">
      <w:pPr>
        <w:pStyle w:val="Bullet1G"/>
        <w:numPr>
          <w:ilvl w:val="0"/>
          <w:numId w:val="22"/>
        </w:numPr>
      </w:pPr>
      <w:r>
        <w:t xml:space="preserve">поправки к статье 18, предусматривающие увеличение общего числа таможен места отправления и назначения с четырех до восьми, с включением новой пояснительной записки 0.18.3, обязывающей Договаривающиеся стороны обеспечивать открытый доступ к информации о любых ограничениях в </w:t>
      </w:r>
      <w:r>
        <w:lastRenderedPageBreak/>
        <w:t>отношении применения этой статьи, а также предоставлять ее Исполнительному совету МДП (ИСМДП);</w:t>
      </w:r>
    </w:p>
    <w:p w:rsidR="0088675D" w:rsidRPr="00600FA0" w:rsidRDefault="0088675D" w:rsidP="0088675D">
      <w:pPr>
        <w:pStyle w:val="Bullet1G"/>
        <w:numPr>
          <w:ilvl w:val="0"/>
          <w:numId w:val="22"/>
        </w:numPr>
      </w:pPr>
      <w:r>
        <w:t>замену в приложении I (Модель книжки МДП, вариант 1 и вариант 2) № 5</w:t>
      </w:r>
      <w:r w:rsidR="004B3812" w:rsidRPr="004B3812">
        <w:t xml:space="preserve"> </w:t>
      </w:r>
      <w:r>
        <w:t>в</w:t>
      </w:r>
      <w:r w:rsidR="004B3812">
        <w:rPr>
          <w:lang w:val="en-US"/>
        </w:rPr>
        <w:t> </w:t>
      </w:r>
      <w:r>
        <w:t>Правилах пользования книжкой МДП, заменить «четырех» на «восьми» для максимального числа таможен места отправления и таможен места назначения.</w:t>
      </w:r>
    </w:p>
    <w:p w:rsidR="0088675D" w:rsidRPr="00600FA0" w:rsidRDefault="0088675D" w:rsidP="0088675D">
      <w:pPr>
        <w:pStyle w:val="Bullet1G"/>
        <w:numPr>
          <w:ilvl w:val="0"/>
          <w:numId w:val="0"/>
        </w:numPr>
        <w:ind w:left="1134"/>
      </w:pPr>
      <w:r>
        <w:t>7.</w:t>
      </w:r>
      <w:r>
        <w:tab/>
        <w:t>Кроме того, WP.30 на своей 151-й сессии (февраль 2019 года) приняла, а АС.2 на своей семьдесят первой сессии (октябрь 2019 года) одобр</w:t>
      </w:r>
      <w:r w:rsidRPr="007B0252">
        <w:t>ил</w:t>
      </w:r>
      <w:r>
        <w:t xml:space="preserve"> на основе консенсуса комментарий к статье 1 о) Конвенции, приняв к сведению оговорку делегации Российской Федерации. Этот комментарий дает возможность странам допускать, чтобы с согласия держателя книжки МДП перевозку МДП или ее часть с использованием книжки МДП, выданной этому держателю книжки МДП, осуществляли другие лица. Комментарий содержит также инструкции относительно того, каким образом использование субподрядчика(</w:t>
      </w:r>
      <w:proofErr w:type="spellStart"/>
      <w:r>
        <w:t>ов</w:t>
      </w:r>
      <w:proofErr w:type="spellEnd"/>
      <w:r>
        <w:t>) следует указывать в книжке МДП.</w:t>
      </w:r>
    </w:p>
    <w:p w:rsidR="0088675D" w:rsidRPr="00600FA0" w:rsidRDefault="0088675D" w:rsidP="0088675D">
      <w:pPr>
        <w:pStyle w:val="Bullet1G"/>
        <w:numPr>
          <w:ilvl w:val="0"/>
          <w:numId w:val="0"/>
        </w:numPr>
        <w:ind w:left="1134"/>
      </w:pPr>
      <w:r>
        <w:t>8.</w:t>
      </w:r>
      <w:r>
        <w:tab/>
        <w:t xml:space="preserve">В 2019 году AC.2 продолжил обсуждение предложений ИСМДП по новой пояснительной записке и комментарию к статье 49 Конвенции, с тем чтобы расширить льготы, которые Договаривающиеся стороны могут предоставлять транспортным операторам, в частности (но не исключительно) уполномоченным грузоотправителям и грузополучателям. В своем вступительном заявлении по случаю семьдесят первой сессии АС.2 (октябрь 2019 года) Исполнительный секретарь ЕЭК г-жа О. </w:t>
      </w:r>
      <w:proofErr w:type="spellStart"/>
      <w:r>
        <w:t>Альгаерова</w:t>
      </w:r>
      <w:proofErr w:type="spellEnd"/>
      <w:r>
        <w:t xml:space="preserve"> напомнила делегациям в том числе об исторической возможности сделать так, чтобы система МДП выполняла свою функцию глобальной системы таможенного транзита в течение следующего десятилетии XXI века, и настоятельно призвала делегации принять пояснительную записку и комментарий к статье 49 Конвенции. Она заявила, что, по ее мнению, аргумент о том, что такие льготы ослабят положение таможенных органов, не оправдан. Напротив, с учетом того, что задача таможни, связанная с обеспечением безопасности системы, была заменена сложным набором условий и требований, предъявляемых к пользователям, включая использование передовых электронных инструментов, таможенные органы смогут даже усилить контроль над системой. В ходе сессии различные делегации вновь заявили о своей поддержке этих предложений, тогда как делегация Российской Федерации подтвердила свою позицию, утверждая, что передача некоторых таможенных функций операторам, даже при наличии надлежащего разрешения и на строгих условиях, подорвет безопасность системы МДП. Не имея возможности добиться какого-либо прогресса, АС.2 решил вернуться к этому вопросу на своей сессии в феврале 2020 года (ECE/TRANS/</w:t>
      </w:r>
      <w:r w:rsidR="007B0252">
        <w:t xml:space="preserve"> </w:t>
      </w:r>
      <w:r>
        <w:t>WP.30/AC.2/145, пункт 42).</w:t>
      </w:r>
    </w:p>
    <w:p w:rsidR="0088675D" w:rsidRPr="00600FA0" w:rsidRDefault="0088675D" w:rsidP="0088675D">
      <w:pPr>
        <w:pStyle w:val="H1G"/>
      </w:pPr>
      <w:r>
        <w:tab/>
        <w:t>B.</w:t>
      </w:r>
      <w:r>
        <w:tab/>
      </w:r>
      <w:r>
        <w:rPr>
          <w:bCs/>
        </w:rPr>
        <w:t>Международный банк данных МДП и электронные инструменты секретариата МДП</w:t>
      </w:r>
    </w:p>
    <w:p w:rsidR="0088675D" w:rsidRPr="00600FA0" w:rsidRDefault="0088675D" w:rsidP="0088675D">
      <w:pPr>
        <w:pStyle w:val="H23G"/>
      </w:pPr>
      <w:r>
        <w:tab/>
        <w:t>1.</w:t>
      </w:r>
      <w:r>
        <w:tab/>
      </w:r>
      <w:r>
        <w:rPr>
          <w:bCs/>
        </w:rPr>
        <w:t>Функционирование Международного банка данных МДП</w:t>
      </w:r>
    </w:p>
    <w:p w:rsidR="0088675D" w:rsidRPr="00600FA0" w:rsidRDefault="0088675D" w:rsidP="0088675D">
      <w:pPr>
        <w:pStyle w:val="SingleTxtG"/>
      </w:pPr>
      <w:r>
        <w:t>9.</w:t>
      </w:r>
      <w:r>
        <w:tab/>
        <w:t>На своей шестьдесят девятой сессии (февраль 2019 года) AC.2 принял к сведению, что работа над модулем по таможням Международного банка данных МДП (МБДМДП) завершена, однако на настоящий момент ИСМДП решил предоставить доступ только для таможен, пока не будут устранены некоторые выявленные расхождения между различными источниками данных (ECE/TRANS/WP.30/AC.2/141, пункт 27).</w:t>
      </w:r>
    </w:p>
    <w:p w:rsidR="0088675D" w:rsidRPr="00600FA0" w:rsidRDefault="0088675D" w:rsidP="0088675D">
      <w:pPr>
        <w:pStyle w:val="SingleTxtG"/>
      </w:pPr>
      <w:r>
        <w:t>10.</w:t>
      </w:r>
      <w:r>
        <w:tab/>
        <w:t>На своей семьдесят первой сессии (октябрь 2019 года) АС.2 приветствовал завершение процесса найма нового сотрудника по информационным системам в секретариате. Таким образом, теперь можно будет вновь заняться различными нерешенными оперативными задачами и вопросами развития МБДМДП. Кроме того, будут предприняты усилия для увеличения числа договаривающихся сторон, использующих МБДМДП и его веб-сервисы, а также для обеспечения достоверности данных. AC.2 принял к сведению, что в МБДМДП зарегистрировано</w:t>
      </w:r>
      <w:r w:rsidR="004B3812" w:rsidRPr="004B3812">
        <w:t xml:space="preserve"> </w:t>
      </w:r>
      <w:r>
        <w:t>50</w:t>
      </w:r>
      <w:r w:rsidR="004B3812">
        <w:rPr>
          <w:lang w:val="en-US"/>
        </w:rPr>
        <w:t> </w:t>
      </w:r>
      <w:r>
        <w:t xml:space="preserve">договаривающихся сторон и что по состоянию на 1 января 2019 года </w:t>
      </w:r>
      <w:r>
        <w:lastRenderedPageBreak/>
        <w:t>соответствующее приложение активно используют 40 договаривающихся сторон (ECE/TRANS/WP.30/AC.2/145, пункт 11).</w:t>
      </w:r>
    </w:p>
    <w:p w:rsidR="0088675D" w:rsidRPr="00600FA0" w:rsidRDefault="0088675D" w:rsidP="0088675D">
      <w:pPr>
        <w:pStyle w:val="H23G"/>
      </w:pPr>
      <w:r>
        <w:tab/>
        <w:t>2.</w:t>
      </w:r>
      <w:r>
        <w:tab/>
      </w:r>
      <w:r>
        <w:rPr>
          <w:bCs/>
        </w:rPr>
        <w:t>Предложения, касающиеся обязательного представления данных</w:t>
      </w:r>
      <w:r w:rsidR="00DF4E7E">
        <w:rPr>
          <w:bCs/>
        </w:rPr>
        <w:br/>
      </w:r>
      <w:r>
        <w:rPr>
          <w:bCs/>
        </w:rPr>
        <w:t>в Международный банк данных МДП</w:t>
      </w:r>
    </w:p>
    <w:p w:rsidR="0088675D" w:rsidRPr="00600FA0" w:rsidRDefault="0088675D" w:rsidP="0088675D">
      <w:pPr>
        <w:pStyle w:val="SingleTxtG"/>
      </w:pPr>
      <w:r>
        <w:t>11.</w:t>
      </w:r>
      <w:r>
        <w:tab/>
        <w:t>В течение 2019 года АС.2 продолжил рассмотрение предложений ИСМДП, которые предусматривают обязательную передачу данных в МБДМДП. Правительство Узбекистана и МСАТ также представили предложения по поправкам, касающимся использования МБДМДП. На своей семьдесят первой сессии (октябрь 2019 года) AC.2 рассмотрел предложения ИСМДП о расширении использования МБДМДП путем обязательного представления данных в электронном формате в качестве надлежащего шага вперед, который позволит подтвердить статус МБДМДП как надежной базы данных. AC.2 большинством голосов согласился с этими предложениями до их официального принятия на сессии в феврале 2020 года. Делегация Узбекистана заявила о своей готовности поддержать предложение ИСМДП, если будут должным образом приняты во внимание предложения Узбекистана и МСАТ, и просила провести их совместное рассмотрение на сессии в феврале 2020 года. AC.2 установил, что, хотя предложения ИСМДП охватывают обязательное представление данных в МБДМДП, предложения правительства Узбекистана и МСАТ касаются содержащейся в МБДМДП информации о временном или постоянном исключении держателей книжек МДП (пояснительная записка 0.38.2) и последствиях отсутствия данных в МБДМДП (пояснительная записка 9.II.4). Ряд делегатов напомнили участникам совещания, что отсутствие таких данных связано с несоблюдением положений пунктов 4 и 5 части II приложения 9 к Конвенции МДП,</w:t>
      </w:r>
      <w:r w:rsidR="00DF4E7E">
        <w:br/>
      </w:r>
      <w:r>
        <w:t>в соответствии с которыми от компетентных органов требуется передача ИСМДП информации о разрешении использовать книжки в течение одной недели начиная с даты выдачи разрешения. АС.2 поручил секретариату продолжить работу по обновлению МБДМДП, в частности с теми договаривающимися сторонами, которые нерегулярно используют МБДМДП, и решил вернуться к этому вопросу на своей сессии в феврале 2020 года (ECE/TRANS/WP.30AC.2/145, пункты 43–46).</w:t>
      </w:r>
    </w:p>
    <w:p w:rsidR="0088675D" w:rsidRPr="00600FA0" w:rsidRDefault="0088675D" w:rsidP="0088675D">
      <w:pPr>
        <w:pStyle w:val="H1G"/>
      </w:pPr>
      <w:r>
        <w:tab/>
        <w:t>C.</w:t>
      </w:r>
      <w:r>
        <w:tab/>
      </w:r>
      <w:r>
        <w:rPr>
          <w:bCs/>
        </w:rPr>
        <w:t>Национальные и региональные рабочие совещания и семинары</w:t>
      </w:r>
      <w:r w:rsidR="00DF4E7E">
        <w:rPr>
          <w:bCs/>
        </w:rPr>
        <w:br/>
      </w:r>
      <w:r>
        <w:rPr>
          <w:bCs/>
        </w:rPr>
        <w:t>по вопросам МДП</w:t>
      </w:r>
    </w:p>
    <w:p w:rsidR="0088675D" w:rsidRPr="00600FA0" w:rsidRDefault="0088675D" w:rsidP="0088675D">
      <w:pPr>
        <w:pStyle w:val="SingleTxtG"/>
      </w:pPr>
      <w:r>
        <w:t>12.</w:t>
      </w:r>
      <w:r>
        <w:tab/>
        <w:t xml:space="preserve">Со времени проведения предыдущей сессии Комитета в феврале 2019 года секретариат принял участие в следующих мероприятиях: a) рабочем совещании по укреплению потенциала в области МДП, </w:t>
      </w:r>
      <w:proofErr w:type="spellStart"/>
      <w:r>
        <w:t>eTIR</w:t>
      </w:r>
      <w:proofErr w:type="spellEnd"/>
      <w:r>
        <w:t xml:space="preserve"> и ЕСТР</w:t>
      </w:r>
      <w:r w:rsidRPr="00746925">
        <w:rPr>
          <w:rStyle w:val="FootnoteReference"/>
        </w:rPr>
        <w:footnoteReference w:id="2"/>
      </w:r>
      <w:r>
        <w:t xml:space="preserve"> (18 и 19 июня 2019 года, Улан-Батор); b) </w:t>
      </w:r>
      <w:r w:rsidRPr="004B3812">
        <w:t>двадцать пятом</w:t>
      </w:r>
      <w:r>
        <w:t xml:space="preserve"> учебном курсе для сотрудников пограничных служб, проводимом Организацией по безопасности и сотрудничеству в Европе (ОБСЕ)</w:t>
      </w:r>
      <w:r w:rsidR="00DF4E7E">
        <w:br/>
      </w:r>
      <w:r>
        <w:t>(24 октября 2019 года, Душанбе); с) рабочем совещании по конвенциям о временном ввозе 1954 и 1956 годов и другим правовым документам в области облегчения условий пересечения границ, которое было организовано Международным туристским альянсом/Международной автомобильной федерацией (МТА/ФИА) (2 и 3 ноября</w:t>
      </w:r>
      <w:r w:rsidR="00DF4E7E">
        <w:br/>
      </w:r>
      <w:r>
        <w:t xml:space="preserve">2019 года, Каир); d) мероприятии, которое было организовано на полях Генеральной Ассамблеи Организации Объединенных Наций в Нью-Йорке секретариатом в сотрудничестве с Канцелярией Высокого представителя по наименее развитым странам, развивающимся странам, не имеющим выхода к морю, и малым островным развивающимся государствам и было посвящено международной системе </w:t>
      </w:r>
      <w:proofErr w:type="spellStart"/>
      <w:r>
        <w:t>eTIR</w:t>
      </w:r>
      <w:proofErr w:type="spellEnd"/>
      <w:r w:rsidR="004B3812" w:rsidRPr="001A7AC7">
        <w:t xml:space="preserve"> </w:t>
      </w:r>
      <w:r>
        <w:t>и</w:t>
      </w:r>
      <w:r w:rsidR="004B3812">
        <w:rPr>
          <w:lang w:val="en-US"/>
        </w:rPr>
        <w:t> </w:t>
      </w:r>
      <w:r>
        <w:t>преимуществам ее применения для стран, не имеющих выхода к морю (5 и 6 декабря 2019 года, Нью-Йорк).</w:t>
      </w:r>
    </w:p>
    <w:p w:rsidR="0088675D" w:rsidRPr="00600FA0" w:rsidRDefault="0088675D" w:rsidP="0088675D">
      <w:pPr>
        <w:pStyle w:val="HChG"/>
      </w:pPr>
      <w:r>
        <w:lastRenderedPageBreak/>
        <w:tab/>
        <w:t>IV.</w:t>
      </w:r>
      <w:r>
        <w:tab/>
      </w:r>
      <w:r>
        <w:rPr>
          <w:bCs/>
        </w:rPr>
        <w:t>Ход осуществления Конвенции МДП</w:t>
      </w:r>
    </w:p>
    <w:p w:rsidR="0088675D" w:rsidRPr="00600FA0" w:rsidRDefault="0088675D" w:rsidP="0088675D">
      <w:pPr>
        <w:pStyle w:val="H1G"/>
      </w:pPr>
      <w:r>
        <w:tab/>
        <w:t>A.</w:t>
      </w:r>
      <w:r>
        <w:tab/>
      </w:r>
      <w:r>
        <w:rPr>
          <w:bCs/>
        </w:rPr>
        <w:t>Выборы членов Исполнительного совета МДП</w:t>
      </w:r>
    </w:p>
    <w:p w:rsidR="0088675D" w:rsidRPr="00600FA0" w:rsidRDefault="0088675D" w:rsidP="0088675D">
      <w:pPr>
        <w:spacing w:after="120"/>
        <w:ind w:left="1134" w:right="1134"/>
        <w:jc w:val="both"/>
      </w:pPr>
      <w:r>
        <w:t>13.</w:t>
      </w:r>
      <w:r>
        <w:tab/>
        <w:t>На своей шестьдесят девятой сессии АС.2 избрал или переизбрал девять членов Исполнительного совета МДП (ИСМДП) со сроком полномочий на 2019–2020 годы</w:t>
      </w:r>
      <w:r w:rsidR="00DF4E7E">
        <w:br/>
      </w:r>
      <w:r>
        <w:t xml:space="preserve">(в английском алфавитном порядке перечисления их фамилий): г-н Сергей </w:t>
      </w:r>
      <w:proofErr w:type="spellStart"/>
      <w:r>
        <w:t>Амельянович</w:t>
      </w:r>
      <w:proofErr w:type="spellEnd"/>
      <w:r>
        <w:t xml:space="preserve"> (Российская Федерация), г-н </w:t>
      </w:r>
      <w:proofErr w:type="spellStart"/>
      <w:r>
        <w:t>Mустафа</w:t>
      </w:r>
      <w:proofErr w:type="spellEnd"/>
      <w:r>
        <w:t xml:space="preserve"> Аяти (Исламская Республика Иран), г-н </w:t>
      </w:r>
      <w:proofErr w:type="spellStart"/>
      <w:r>
        <w:t>Mарко</w:t>
      </w:r>
      <w:proofErr w:type="spellEnd"/>
      <w:r>
        <w:t xml:space="preserve"> </w:t>
      </w:r>
      <w:proofErr w:type="spellStart"/>
      <w:r>
        <w:t>Чампи</w:t>
      </w:r>
      <w:proofErr w:type="spellEnd"/>
      <w:r>
        <w:t xml:space="preserve"> (Италия), г-жа </w:t>
      </w:r>
      <w:proofErr w:type="spellStart"/>
      <w:r>
        <w:t>Дидем</w:t>
      </w:r>
      <w:proofErr w:type="spellEnd"/>
      <w:r>
        <w:t xml:space="preserve"> </w:t>
      </w:r>
      <w:proofErr w:type="spellStart"/>
      <w:r>
        <w:t>Дирлик</w:t>
      </w:r>
      <w:proofErr w:type="spellEnd"/>
      <w:r>
        <w:t xml:space="preserve"> </w:t>
      </w:r>
      <w:proofErr w:type="spellStart"/>
      <w:r>
        <w:t>Сонгюр</w:t>
      </w:r>
      <w:proofErr w:type="spellEnd"/>
      <w:r>
        <w:t xml:space="preserve"> (Турция) (Председатель), г-н Пьер-Жан </w:t>
      </w:r>
      <w:proofErr w:type="spellStart"/>
      <w:r>
        <w:t>Лабори</w:t>
      </w:r>
      <w:proofErr w:type="spellEnd"/>
      <w:r>
        <w:t xml:space="preserve"> (Европейская комиссия), г-н Гуго Рихард Майер (Австрия), г-н Сергей </w:t>
      </w:r>
      <w:proofErr w:type="spellStart"/>
      <w:r>
        <w:t>Сёмка</w:t>
      </w:r>
      <w:proofErr w:type="spellEnd"/>
      <w:r>
        <w:t xml:space="preserve"> (Украина), г-жа </w:t>
      </w:r>
      <w:proofErr w:type="spellStart"/>
      <w:r>
        <w:t>Eлизавета</w:t>
      </w:r>
      <w:proofErr w:type="spellEnd"/>
      <w:r>
        <w:t xml:space="preserve"> Такова (Болгария) и г-н Фарид Валиев (Азербайджан).</w:t>
      </w:r>
    </w:p>
    <w:p w:rsidR="0088675D" w:rsidRPr="00600FA0" w:rsidRDefault="0088675D" w:rsidP="0088675D">
      <w:pPr>
        <w:pStyle w:val="H1G"/>
      </w:pPr>
      <w:r>
        <w:tab/>
        <w:t>B.</w:t>
      </w:r>
      <w:r>
        <w:tab/>
      </w:r>
      <w:r>
        <w:rPr>
          <w:bCs/>
        </w:rPr>
        <w:t>Предоставление полномочий МСАТ и соглашение между ЕЭК</w:t>
      </w:r>
      <w:r w:rsidR="00DF4E7E">
        <w:rPr>
          <w:bCs/>
        </w:rPr>
        <w:br/>
      </w:r>
      <w:r>
        <w:rPr>
          <w:bCs/>
        </w:rPr>
        <w:t>и МСАТ</w:t>
      </w:r>
    </w:p>
    <w:p w:rsidR="0088675D" w:rsidRPr="00600FA0" w:rsidRDefault="0088675D" w:rsidP="0088675D">
      <w:pPr>
        <w:spacing w:after="120"/>
        <w:ind w:left="1134" w:right="1134"/>
        <w:jc w:val="both"/>
        <w:rPr>
          <w:rFonts w:eastAsia="DengXian"/>
        </w:rPr>
      </w:pPr>
      <w:r>
        <w:t>14.</w:t>
      </w:r>
      <w:r>
        <w:tab/>
        <w:t>На своей шестьдесят девятой сессии (февраль 2019 года)</w:t>
      </w:r>
      <w:r w:rsidRPr="007F1BD9">
        <w:t xml:space="preserve"> </w:t>
      </w:r>
      <w:r>
        <w:t xml:space="preserve">AC.2 уполномочил МСАТ, согласно положениям статьи 6.2-бис, статьи 10 b) приложения и пояснительных записок 0.6.2-бис-2 и 8.10 b), организовать функционирование международной системы гарантий и </w:t>
      </w:r>
      <w:proofErr w:type="gramStart"/>
      <w:r>
        <w:t>централизованно печатать</w:t>
      </w:r>
      <w:proofErr w:type="gramEnd"/>
      <w:r>
        <w:t xml:space="preserve"> и распространять книжки МДП на период 2020–2022 годов включительно. AC.2 решил в предварительном порядке наделить секретариат мандатом на заключение нового соглашения с целью продолжить финансирование деятельности ИСМДП и секретариата МДП в 2020 году и далее при условии получения официального подтверждения этого мандата на его сессии в октябре 2019 года. (ECE/TRANS/</w:t>
      </w:r>
      <w:r w:rsidR="00DF4E7E" w:rsidRPr="004B3812">
        <w:t xml:space="preserve"> </w:t>
      </w:r>
      <w:r>
        <w:t>WP.30/AC.2/141, пункт 37). На своей семьдесят первой сессии (октябрь 2019 года) АС.2 принял новое соглашение между ЕЭК и МСАТ на период 2020–2022 годов включительно и поручил ЕЭК и МСАТ приступить к подписанию нового соглашения как можно скорее, но в любом случае до 15 ноября 2019 года (ECE/TRANS/WP.30/145, пункт 57).</w:t>
      </w:r>
    </w:p>
    <w:p w:rsidR="0088675D" w:rsidRPr="00600FA0" w:rsidRDefault="0088675D" w:rsidP="0088675D">
      <w:pPr>
        <w:pStyle w:val="H1G"/>
      </w:pPr>
      <w:r>
        <w:tab/>
        <w:t>C.</w:t>
      </w:r>
      <w:r>
        <w:tab/>
      </w:r>
      <w:r>
        <w:rPr>
          <w:bCs/>
        </w:rPr>
        <w:t>Проверка Целевого фонда МДП Управлением служб внутреннего надзора</w:t>
      </w:r>
    </w:p>
    <w:p w:rsidR="0088675D" w:rsidRPr="00600FA0" w:rsidRDefault="0088675D" w:rsidP="0088675D">
      <w:pPr>
        <w:pStyle w:val="SingleTxtG"/>
      </w:pPr>
      <w:r>
        <w:t>15.</w:t>
      </w:r>
      <w:r>
        <w:tab/>
        <w:t>На своей семьдесят первой сессии (октябрь 2019 года) АС.2 отметил, что ревизия счетов ИСМДП и секретариата МДП, которую он просил провести на своей шестьдесят четвертой сессии (октябрь 2016 года), проводилась Управлением служб внутреннего надзора (УСВН) и была завершена в марте 2019 года. АС.2 принял к сведению, что секретариат уже представил отчет о ревизии на восемьдесят второй сессии ИСМДП (июнь 2019 года) и на основе замечаний Совета приступил к работе по десяти рекомендациям, вынесенным УСВН. АС.2 рассмотрел эти рекомендации, представил свои первоначальные замечания и поручил секретариату при необходимости подготовить вспомогательную документацию для рассмотрения на семьдесят второй сессии АС.2 (февраль 2020 года) (ECE/TRAN/WP.30/AC.2/145, пункты 61–83).</w:t>
      </w:r>
    </w:p>
    <w:p w:rsidR="0088675D" w:rsidRPr="00600FA0" w:rsidRDefault="0088675D" w:rsidP="0088675D">
      <w:pPr>
        <w:pStyle w:val="HChG"/>
      </w:pPr>
      <w:r>
        <w:tab/>
        <w:t>V.</w:t>
      </w:r>
      <w:r>
        <w:tab/>
      </w:r>
      <w:proofErr w:type="spellStart"/>
      <w:r>
        <w:rPr>
          <w:bCs/>
        </w:rPr>
        <w:t>eTIR</w:t>
      </w:r>
      <w:proofErr w:type="spellEnd"/>
    </w:p>
    <w:p w:rsidR="0088675D" w:rsidRPr="00600FA0" w:rsidRDefault="0088675D" w:rsidP="001A7AC7">
      <w:pPr>
        <w:pStyle w:val="H1G"/>
        <w:spacing w:before="240"/>
      </w:pPr>
      <w:r>
        <w:tab/>
        <w:t>A.</w:t>
      </w:r>
      <w:r>
        <w:tab/>
      </w:r>
      <w:r>
        <w:rPr>
          <w:bCs/>
        </w:rPr>
        <w:t>Пилотные проекты eTIR и новые шаги на пути к полной компьютеризации процедуры МДП</w:t>
      </w:r>
    </w:p>
    <w:p w:rsidR="0088675D" w:rsidRPr="00600FA0" w:rsidRDefault="0088675D" w:rsidP="0088675D">
      <w:pPr>
        <w:pStyle w:val="SingleTxtG"/>
        <w:rPr>
          <w:i/>
          <w:iCs/>
          <w:sz w:val="24"/>
          <w:szCs w:val="24"/>
        </w:rPr>
      </w:pPr>
      <w:r>
        <w:t>16.</w:t>
      </w:r>
      <w:r>
        <w:tab/>
        <w:t>В рамках пятилетнего Меморандума о взаимопонимании (МоВ) о сотрудничестве между ЕЭК и МСАТ в области компьютеризации процедуры МДП</w:t>
      </w:r>
      <w:r w:rsidR="001A7AC7" w:rsidRPr="001A7AC7">
        <w:t xml:space="preserve"> </w:t>
      </w:r>
      <w:r>
        <w:t>и</w:t>
      </w:r>
      <w:r w:rsidR="001A7AC7">
        <w:rPr>
          <w:lang w:val="en-US"/>
        </w:rPr>
        <w:t> </w:t>
      </w:r>
      <w:r>
        <w:t xml:space="preserve">сопровождающего его Соглашения о взносах (СВ) в целях обеспечения полной компьютеризации процедуры МДП, подписанного 6 октября 2017 года, Азербайджан и Исламская Республика Иран приступили к осуществлению нового проекта eTIR. </w:t>
      </w:r>
      <w:r>
        <w:lastRenderedPageBreak/>
        <w:t>Первая перевозка с использованием процедуры eTIR из Исламской Республики Иран в Азербайджан была осуществлена 18 июня 2019 года, и с тех пор были организованы другие перевозки. Обе страны ведут работу над тем, чтобы вовлекать другие страны в проект по компьютеризации процедуры МДП на некоторых основных транзитных маршрутах в регионе.</w:t>
      </w:r>
    </w:p>
    <w:p w:rsidR="0088675D" w:rsidRPr="00600FA0" w:rsidRDefault="0088675D" w:rsidP="0088675D">
      <w:pPr>
        <w:pStyle w:val="SingleTxtG"/>
        <w:rPr>
          <w:rFonts w:ascii="Calibri" w:hAnsi="Calibri" w:cs="Calibri"/>
          <w:sz w:val="22"/>
          <w:szCs w:val="22"/>
        </w:rPr>
      </w:pPr>
      <w:r>
        <w:t>17.</w:t>
      </w:r>
      <w:r>
        <w:tab/>
        <w:t>В 2019 году продолжилась реализация проекта eTIR между Исламской Республикой Ираном и Турцией, и обе страны обсуждали вопрос о пересмотре своего существующего МоВ в целях распространения этого пилотного проекта eTIR на все таможни и всех держателей книжек МДП из обеих стран. Кроме того, продолжился пилотный проект eTIR между Грузией и Турцией к удовлетворению обеих администраций.</w:t>
      </w:r>
    </w:p>
    <w:p w:rsidR="0088675D" w:rsidRPr="00600FA0" w:rsidRDefault="0088675D" w:rsidP="0088675D">
      <w:pPr>
        <w:pStyle w:val="H1G"/>
      </w:pPr>
      <w:r>
        <w:tab/>
        <w:t>B.</w:t>
      </w:r>
      <w:r>
        <w:tab/>
      </w:r>
      <w:r>
        <w:rPr>
          <w:bCs/>
        </w:rPr>
        <w:t>Ход работы Неофициальной специальной группы экспертов</w:t>
      </w:r>
      <w:r w:rsidR="00DF4E7E">
        <w:rPr>
          <w:bCs/>
        </w:rPr>
        <w:br/>
      </w:r>
      <w:r>
        <w:rPr>
          <w:bCs/>
        </w:rPr>
        <w:t>по концептуальным и техническим аспектам компьютеризации процедуры МДП</w:t>
      </w:r>
    </w:p>
    <w:p w:rsidR="0088675D" w:rsidRPr="00600FA0" w:rsidRDefault="0088675D" w:rsidP="0088675D">
      <w:pPr>
        <w:pStyle w:val="SingleTxtG"/>
      </w:pPr>
      <w:r>
        <w:t>18.</w:t>
      </w:r>
      <w:r>
        <w:tab/>
        <w:t>На своей 153-й сессии (октябрь 2019 года) WP.30 приняла к сведению, что Неофициальная специальная группа экспертов по концептуальным и техническим аспектам компьютеризации процедуры МДП (GE.1) провела свою тридцатую сессию 18 и 19 сентября 2019 года в Будапеште по любезному приглашению таможенной администрации Венгрии. Она приветствовала участие Российской Федерации и отметила, что GE.1 рассмотрела, в частности, некоторые вопросы, по которым договаривающиеся стороны еще не достигли консенсуса при обсуждении проекта приложения 11. В ходе сессии Группа экспертов рассмотрела также обследование по вопросу о подключении к международной системе eTIR и положение о так называемом «отказе от применения», отметив, что Норвегия, Черногория и Швейцария указали, что они могут воспользоваться этим положением в связи с низким объемом перевозок МДП по сравнению с расходами, сопряженными с подключением к международной системе eTIR.</w:t>
      </w:r>
    </w:p>
    <w:p w:rsidR="0088675D" w:rsidRPr="00600FA0" w:rsidRDefault="0088675D" w:rsidP="0088675D">
      <w:pPr>
        <w:pStyle w:val="SingleTxtG"/>
      </w:pPr>
      <w:r>
        <w:t>19.</w:t>
      </w:r>
      <w:r>
        <w:tab/>
        <w:t>WP.30 приняла к сведению, что GE.1, пытаясь уточнить, какие таможенные органы при перевозке МДП должны получать предварительные данные МДП, подготовила предложения о внесении незначительных поправок в статью 2 b)</w:t>
      </w:r>
      <w:r w:rsidR="001A7AC7">
        <w:rPr>
          <w:lang w:val="en-US"/>
        </w:rPr>
        <w:t xml:space="preserve"> </w:t>
      </w:r>
      <w:r>
        <w:t>и</w:t>
      </w:r>
      <w:r w:rsidR="001A7AC7">
        <w:rPr>
          <w:lang w:val="en-US"/>
        </w:rPr>
        <w:t> </w:t>
      </w:r>
      <w:r>
        <w:t>статью 6 приложения 11. Рабочая группа отметила также, что в связи с вопросом об аутентификации держателя GE.1 приветствовала сообщение экспертов от Российской Федерации об использовании доверенных третьих сторон (ДТС) для трансграничного признания электронных подписей. Это сообщение вызвало интерес и многочисленные вопросы, в частности, об обязательном использовании электронных подписей всеми договаривающимися сторонами, расходах на создание национальных и центральных ДТС, а также о роли и обязанностях ДТС. Рабочая группа приняла к сведению,</w:t>
      </w:r>
      <w:r w:rsidR="001A7AC7" w:rsidRPr="001A7AC7">
        <w:t xml:space="preserve"> </w:t>
      </w:r>
      <w:r>
        <w:t>что GE.1 решила продолжить рассмотрение этого вопроса на своей следующей сессии (ECE/TRANS/WP.30/305, пункты 10–12).</w:t>
      </w:r>
    </w:p>
    <w:p w:rsidR="0088675D" w:rsidRPr="00600FA0" w:rsidRDefault="0088675D" w:rsidP="0088675D">
      <w:pPr>
        <w:pStyle w:val="H1G"/>
      </w:pPr>
      <w:r>
        <w:tab/>
        <w:t>C.</w:t>
      </w:r>
      <w:r>
        <w:tab/>
      </w:r>
      <w:r>
        <w:rPr>
          <w:bCs/>
        </w:rPr>
        <w:t>Преобразование GE.1 из неофициальной в официальную группу экспертов</w:t>
      </w:r>
    </w:p>
    <w:p w:rsidR="0088675D" w:rsidRPr="00600FA0" w:rsidRDefault="0088675D" w:rsidP="0088675D">
      <w:pPr>
        <w:pStyle w:val="SingleTxtG"/>
      </w:pPr>
      <w:r>
        <w:t>20.</w:t>
      </w:r>
      <w:r>
        <w:tab/>
        <w:t>На своей 153-й сессии (октябрь 2019 года) WP.30 напомнила, что после завершения выполнения в 2015 году первоначальных задач, поставленных перед GE.1, секретариат созывал сессии всякий раз, когда вопросы, поднятые в рамках пилотных проектов eTIR или при разработке нового приложения 11, могли, возможно, повлиять на спецификации eTIR, что потребовало бы внесения в них поправок. Таким образом, сессии проводились де-факто один или два раза в год. По просьбе WP.30 КВТ</w:t>
      </w:r>
      <w:r w:rsidR="001A7AC7" w:rsidRPr="001A7AC7">
        <w:t xml:space="preserve"> </w:t>
      </w:r>
      <w:r>
        <w:t>с 2016</w:t>
      </w:r>
      <w:r w:rsidR="001A7AC7">
        <w:rPr>
          <w:lang w:val="en-US"/>
        </w:rPr>
        <w:t> </w:t>
      </w:r>
      <w:r>
        <w:t xml:space="preserve">года ежегодно продлевал мандат GE.1. В этой связи Рабочая группа сочла, что перевод GE.1 в официальный статус облегчит завершение работы над спецификациями eTIR, которые должны быть приняты договаривающимися сторонами после вступления в силу приложения 11. С этой целью создание официальной группы экспертов, которая будет работать с официальными </w:t>
      </w:r>
      <w:r>
        <w:lastRenderedPageBreak/>
        <w:t>документами на трех языках ЕЭК и иметь устный перевод в ходе сессий, могло бы привести к расширению участия делегаций, говорящих на французском и русском языках, и, таким образом, ускорить процесс окончательной доработки спецификаций eTIR. Рабочая группа приняла круг ведения GE.1 и поручила секретариату запросить одобрение ее учреждения в качестве новой официальной группы экспертов (с тем же сокращенным наименованием, т.</w:t>
      </w:r>
      <w:r w:rsidR="00464A33">
        <w:rPr>
          <w:lang w:val="fr-CH"/>
        </w:rPr>
        <w:t> </w:t>
      </w:r>
      <w:r>
        <w:t>е. GE.1), прежде чем просить утвердить ее учреждение Исполнительный комитет (Исполком). Вместе с тем, чтобы не нарушать той отличной динамики, которая сложилась в работе GE.1 в текущих условиях, Рабочая группа просила также секретариат запросить у КВТ разрешения продолжить деятельность GE.1 в качестве неофициальной группы до тех пор, пока она не будет переведена в статус официальной группы экспертов. По просьбе делегации Европейского союза секретариату было предложено</w:t>
      </w:r>
      <w:r w:rsidR="00464A33" w:rsidRPr="00464A33">
        <w:t xml:space="preserve"> </w:t>
      </w:r>
      <w:r>
        <w:t>– по представлении в КВТ предложения о переводе группы в официальный статус</w:t>
      </w:r>
      <w:r w:rsidR="00464A33" w:rsidRPr="00464A33">
        <w:t xml:space="preserve"> </w:t>
      </w:r>
      <w:r>
        <w:t>– предпринять шаги, чтобы GE.1 провела не менее двух сессий в 2020 году и не менее двух сессий в 2021 году, так чтобы можно было организовать больше сессий этой группы с более короткими промежутками. Делегация Украины подчеркнула важность указания соответствующих причин, которые обосновывают потребность в изменении статуса группы (ECE/TRANS/WP.30/305, пункты 13–14). Обоснование необходимости перевода GE.1 в официальный статус и ее круг ведения содержатся в документе ECE/</w:t>
      </w:r>
      <w:r w:rsidR="00464A33" w:rsidRPr="00464A33">
        <w:t xml:space="preserve"> </w:t>
      </w:r>
      <w:r>
        <w:t>TRANS/WP.30/2019/9 и Corr.1.</w:t>
      </w:r>
      <w:bookmarkStart w:id="1" w:name="_Hlk24536786"/>
      <w:bookmarkEnd w:id="1"/>
    </w:p>
    <w:p w:rsidR="0088675D" w:rsidRPr="00600FA0" w:rsidRDefault="0088675D" w:rsidP="0088675D">
      <w:pPr>
        <w:pStyle w:val="H1G"/>
      </w:pPr>
      <w:r>
        <w:tab/>
        <w:t>D.</w:t>
      </w:r>
      <w:r>
        <w:tab/>
      </w:r>
      <w:r>
        <w:rPr>
          <w:bCs/>
        </w:rPr>
        <w:t>Приложение 11 к Конвенции МДП</w:t>
      </w:r>
    </w:p>
    <w:p w:rsidR="0088675D" w:rsidRPr="00600FA0" w:rsidRDefault="0088675D" w:rsidP="0088675D">
      <w:pPr>
        <w:pStyle w:val="SingleTxtG"/>
      </w:pPr>
      <w:r>
        <w:t>21.</w:t>
      </w:r>
      <w:r>
        <w:tab/>
        <w:t>В ходе своих сессий в 2019 году, в том числе внеочередной сессии, посвященной исключительно этой теме (июнь 2019 года), АС.2 обстоятельно рассмотрел и в конечном итоге достиг договоренности по окончательной формулировке поправок к Конвенции МДП 1975 года и нового приложения 11, что позволяет ввести процедуру eTIR в правовой текст Конвенции, в ожидании официального принятия на его сессии в феврале 2020 года</w:t>
      </w:r>
      <w:r>
        <w:rPr>
          <w:rStyle w:val="FootnoteReference"/>
        </w:rPr>
        <w:footnoteReference w:id="3"/>
      </w:r>
      <w:r>
        <w:t>.</w:t>
      </w:r>
    </w:p>
    <w:p w:rsidR="0088675D" w:rsidRPr="00600FA0" w:rsidRDefault="0088675D" w:rsidP="0088675D">
      <w:pPr>
        <w:pStyle w:val="SingleTxtG"/>
      </w:pPr>
      <w:r>
        <w:t>22.</w:t>
      </w:r>
      <w:r>
        <w:tab/>
      </w:r>
      <w:r w:rsidRPr="00430EDC">
        <w:t xml:space="preserve">АС.2 </w:t>
      </w:r>
      <w:r>
        <w:t xml:space="preserve">впервые </w:t>
      </w:r>
      <w:r w:rsidRPr="00430EDC">
        <w:t>решил отступить от обычной процедуры, когда поправки,</w:t>
      </w:r>
      <w:r w:rsidR="001A7AC7" w:rsidRPr="001A7AC7">
        <w:t xml:space="preserve"> </w:t>
      </w:r>
      <w:r w:rsidRPr="00430EDC">
        <w:t>если они приняты в соответствии с применимыми положениями, вступают в силу для всех договаривающихся сторон Конвенции. Для того чтобы дать возможность договаривающимся сторонам, не заинтересованным или еще не готовым приступить к осуществлению процедуры eTIR, отказаться</w:t>
      </w:r>
      <w:r>
        <w:t xml:space="preserve"> от этой процедуры, новая статья 60-бис предоставляет им возможность уведомить Генерального секретаря Организации Объединенных Наций о своем непринятии приложения 11. Эта возможность была введена во избежание выдвижения такими странами возражений против соответствующих предложений, учитывая, что лишь одного единственного возражения достаточно для того, чтобы сделать весь пакет полностью недействительным. Таким образом, если не будет высказано возражений,</w:t>
      </w:r>
      <w:r w:rsidR="001A7AC7" w:rsidRPr="001A7AC7">
        <w:t xml:space="preserve"> </w:t>
      </w:r>
      <w:r>
        <w:t>то приложение 11 вступит в силу только для тех договаривающихся сторон Конвенции, которые не уведомили Генерального секретаря о своем непринятии приложения 11.</w:t>
      </w:r>
    </w:p>
    <w:p w:rsidR="0088675D" w:rsidRPr="00600FA0" w:rsidRDefault="0088675D" w:rsidP="0088675D">
      <w:pPr>
        <w:pStyle w:val="HChG"/>
      </w:pPr>
      <w:r>
        <w:tab/>
        <w:t>VI.</w:t>
      </w:r>
      <w:r>
        <w:tab/>
      </w:r>
      <w:r>
        <w:rPr>
          <w:bCs/>
        </w:rPr>
        <w:t>Конвенция об облегчении условий пересечения границ при международной железнодорожной перевозке пассажиров, багажа и товаробагажа от 22 февраля</w:t>
      </w:r>
      <w:r w:rsidR="00643186">
        <w:rPr>
          <w:bCs/>
        </w:rPr>
        <w:br/>
      </w:r>
      <w:r>
        <w:rPr>
          <w:bCs/>
        </w:rPr>
        <w:t>2019 года</w:t>
      </w:r>
    </w:p>
    <w:p w:rsidR="0088675D" w:rsidRPr="00600FA0" w:rsidRDefault="0088675D" w:rsidP="0088675D">
      <w:pPr>
        <w:pStyle w:val="SingleTxtG"/>
      </w:pPr>
      <w:r>
        <w:t>23.</w:t>
      </w:r>
      <w:r>
        <w:tab/>
        <w:t xml:space="preserve">Комитет, возможно, пожелает напомнить, что WP.30 на своей 151-й сессии (февраль 2019 года) завершила обсуждение проекта текста новой </w:t>
      </w:r>
      <w:r w:rsidRPr="001A7AC7">
        <w:t>к</w:t>
      </w:r>
      <w:r>
        <w:t xml:space="preserve">онвенции об облегчении условий пересечения государственных границ при международной железнодорожной перевозке пассажиров, багажа и товаробагажа и перешла к </w:t>
      </w:r>
      <w:r>
        <w:lastRenderedPageBreak/>
        <w:t>голосованию посредством процедуры поименного голосования государств</w:t>
      </w:r>
      <w:r w:rsidR="00643186" w:rsidRPr="00643186">
        <w:t xml:space="preserve"> </w:t>
      </w:r>
      <w:r>
        <w:t>– членов ЕЭК в английском алфавитном порядке. Четыре страны (Азербайджан, Российская Федерация, Таджикистан и Турция) проголосовали «за», при этом никто не высказал возражений. Остальные государства</w:t>
      </w:r>
      <w:r w:rsidR="00643186" w:rsidRPr="00643186">
        <w:t xml:space="preserve"> </w:t>
      </w:r>
      <w:r>
        <w:t xml:space="preserve">– члены ЕЭК либо воздержались, либо не присутствовали при голосовании. Рабочая группа приняла текст новой конвенции и надеется на его окончательное принятие КВТ. На своей восемьдесят первой сессии (февраль 2019 года) Комитет рассмотрел текст новой </w:t>
      </w:r>
      <w:r w:rsidRPr="001A7AC7">
        <w:t>к</w:t>
      </w:r>
      <w:r>
        <w:t>онвенции, согласованный на 151-й сессии WP.30, и принял (государства – члены Европейского союза при голосовании воздержались) этот текст, а также поручил секретариату препроводить его депозитарию, с тем чтобы он был открыт для подписания (см. документ ECE/</w:t>
      </w:r>
      <w:r w:rsidR="00643186" w:rsidRPr="00643186">
        <w:t xml:space="preserve"> </w:t>
      </w:r>
      <w:r>
        <w:t>TRANS/288, пункт 87).</w:t>
      </w:r>
    </w:p>
    <w:p w:rsidR="0088675D" w:rsidRPr="00600FA0" w:rsidRDefault="0088675D" w:rsidP="0088675D">
      <w:pPr>
        <w:pStyle w:val="SingleTxtG"/>
      </w:pPr>
      <w:r>
        <w:t>24.</w:t>
      </w:r>
      <w:r>
        <w:tab/>
        <w:t>На 153-й сессии (октябрь 2019 года) секретариат проинформировал WP.30</w:t>
      </w:r>
      <w:r w:rsidR="00643186">
        <w:br/>
      </w:r>
      <w:r>
        <w:t xml:space="preserve">о том, что 26 сентября 2019 года в ходе посвященного международным договорам ежегодного мероприятия, проведенного по случаю семьдесят четвертой сессии Генеральной Ассамблеи Организации Объединенных Наций в Нью-Йорке, Конвенцию подписал Чад. Делегация Российской Федерации проинформировала WP.30 о том, что по предложению Министерства транспорта 30 сентября 2019 года правительство Российской Федерации одобрило подписание этой </w:t>
      </w:r>
      <w:r w:rsidRPr="001A7AC7">
        <w:t>к</w:t>
      </w:r>
      <w:r>
        <w:t xml:space="preserve">онвенции. Министерству транспорта было поручено подписать документ от имени Российской Федерации. Напомнив о важности новой </w:t>
      </w:r>
      <w:r w:rsidR="001A7AC7">
        <w:t>ко</w:t>
      </w:r>
      <w:r>
        <w:t>нвенции для развития международных железнодорожных пассажирских перевозок, он призвал страны присоединиться к ней (ECE/TRANS/WP.30/306, пункты 29–30).</w:t>
      </w:r>
    </w:p>
    <w:p w:rsidR="0088675D" w:rsidRPr="00600FA0" w:rsidRDefault="0088675D" w:rsidP="0088675D">
      <w:pPr>
        <w:pStyle w:val="HChG"/>
      </w:pPr>
      <w:r>
        <w:tab/>
        <w:t>VII.</w:t>
      </w:r>
      <w:r>
        <w:tab/>
      </w:r>
      <w:r>
        <w:rPr>
          <w:bCs/>
        </w:rPr>
        <w:t>Таможенные конвенции о временном ввозе частных дорожных перевозочных средств (1954 года)</w:t>
      </w:r>
      <w:r w:rsidR="001F27EB">
        <w:rPr>
          <w:bCs/>
        </w:rPr>
        <w:br/>
      </w:r>
      <w:r>
        <w:rPr>
          <w:bCs/>
        </w:rPr>
        <w:t>и коммерческих дорожных перевозочных</w:t>
      </w:r>
      <w:r w:rsidR="001F27EB">
        <w:rPr>
          <w:bCs/>
        </w:rPr>
        <w:br/>
      </w:r>
      <w:r>
        <w:rPr>
          <w:bCs/>
        </w:rPr>
        <w:t>средств (1956 года)</w:t>
      </w:r>
    </w:p>
    <w:p w:rsidR="0088675D" w:rsidRPr="00600FA0" w:rsidRDefault="0088675D" w:rsidP="0088675D">
      <w:pPr>
        <w:pStyle w:val="SingleTxtG"/>
      </w:pPr>
      <w:r>
        <w:t>25.</w:t>
      </w:r>
      <w:r>
        <w:tab/>
        <w:t>Комитет, возможно, пожелает отметить, что в 2019 году не произошло никаких изменений в статусе таможенных конвенций о временном ввозе частных дорожных перевозочных средств (1954 года) и коммерческих дорожных перевозочных средств (1956 года) и что в настоящее время участниками этих конвенций являются</w:t>
      </w:r>
      <w:r w:rsidR="001F27EB">
        <w:br/>
      </w:r>
      <w:r>
        <w:t>80 и 26 договаривающихся сторон соответственно.</w:t>
      </w:r>
    </w:p>
    <w:p w:rsidR="0088675D" w:rsidRPr="00600FA0" w:rsidRDefault="0088675D" w:rsidP="0088675D">
      <w:pPr>
        <w:pStyle w:val="SingleTxtG"/>
      </w:pPr>
      <w:r>
        <w:t>26.</w:t>
      </w:r>
      <w:r>
        <w:tab/>
        <w:t>В 2019 году WP.30 продолжила решение текущих вопросов применения Конвенции 1954 года в Египте и Иордании, в частности в связи с тем, что таможенные органы, по всей видимости, не соблюдают сроки и процедуры, установленные в Конвенции. На 151-й сессии (февраль 2019 года) WP.30 сообщили о том, что в соответствии с просьбой Таможенного совета Международного туристского альянса/Международной автомобильной федерации (МТА/ФИА) Исполнительный секретарь ЕЭК вновь обратился к компетентным органам Иордании по дипломатическим каналам с просьбой представить ответ на письмо от 2017 года,</w:t>
      </w:r>
      <w:r w:rsidR="001A7AC7">
        <w:t xml:space="preserve"> </w:t>
      </w:r>
      <w:r>
        <w:t>в котором были подробно изложены проблемы в связи с применением Конвенции</w:t>
      </w:r>
      <w:r w:rsidR="001A7AC7">
        <w:t xml:space="preserve"> </w:t>
      </w:r>
      <w:r>
        <w:t>1954</w:t>
      </w:r>
      <w:r w:rsidR="001A7AC7">
        <w:t> </w:t>
      </w:r>
      <w:r>
        <w:t>года в Иорданском Королевстве. Рабочая группа просила секретариат также проинформировать об этом КВТ (ECE/TRANS/WP.30/302, пункт 40, и ECE/</w:t>
      </w:r>
      <w:r w:rsidR="001F27EB" w:rsidRPr="001F27EB">
        <w:t xml:space="preserve"> </w:t>
      </w:r>
      <w:r>
        <w:t>TRANS/288, пункт 86).</w:t>
      </w:r>
    </w:p>
    <w:p w:rsidR="0088675D" w:rsidRPr="00600FA0" w:rsidRDefault="0088675D" w:rsidP="0088675D">
      <w:pPr>
        <w:pStyle w:val="SingleTxtG"/>
      </w:pPr>
      <w:r w:rsidRPr="006D03CC">
        <w:t>27.</w:t>
      </w:r>
      <w:r>
        <w:tab/>
        <w:t>На 152-й сессии (июнь 2019 года) секретариат проинформировал WP.30 о том, что на своей сессии в феврале 2019 года КВТ настоятельно призвал все заинтересованные стороны соблюдать положения Таможенной конвенции 1954 года</w:t>
      </w:r>
      <w:r w:rsidR="001A7AC7">
        <w:t xml:space="preserve"> </w:t>
      </w:r>
      <w:r>
        <w:t>о временном ввозе частных дорожных перевозочных средств, с тем чтобы обеспечить возможность дальнейшего использования таможенных талонных книжек (ТТК) (Carnet de Passage en Douane (CPD)) для Египта и Иордании. Секретариат далее проинформировал Рабочую группу о двух письмах, полученных от представительства Иордании в Женеве. В этих письмах по распоряжению таможенных органов Иордании постоянное представительство этой страны просило: а) прекратить действие разрешения, выданного Королевскому автомобильному клубу Иордании;</w:t>
      </w:r>
      <w:r w:rsidR="001A7AC7">
        <w:t xml:space="preserve"> </w:t>
      </w:r>
      <w:r>
        <w:t>b)</w:t>
      </w:r>
      <w:r w:rsidR="001A7AC7">
        <w:t> </w:t>
      </w:r>
      <w:r>
        <w:t xml:space="preserve">предоставить информацию о новых органах, которым могут быть даны полномочия </w:t>
      </w:r>
      <w:r>
        <w:lastRenderedPageBreak/>
        <w:t>на выдачу соответствующих документов на территории Иордании; а также</w:t>
      </w:r>
      <w:r w:rsidR="001A7AC7">
        <w:t xml:space="preserve"> </w:t>
      </w:r>
      <w:r>
        <w:t>с)</w:t>
      </w:r>
      <w:r w:rsidR="001A7AC7">
        <w:t> </w:t>
      </w:r>
      <w:r>
        <w:t>предоставить информацию об Арабской международной ассоциации автомобильных клубов (АМА). В ответном письме ЕЭК пояснила, что в соответствии со статьей 6 Конвенции 1954 года национальные компетентные органы уполномочивают национальные объединения или отзывают их полномочия и вправе предоставлять соответствующие полномочия любым новым объединениям при условии, что они являются членами ФИА. Кроме того, ЕЭК проинформировала представительство Иордании о том, что она не располагает информацией об АМА,</w:t>
      </w:r>
      <w:r w:rsidR="001A7AC7">
        <w:t xml:space="preserve"> </w:t>
      </w:r>
      <w:r>
        <w:t>и рекомендовала обратиться в Экономический и Социальный Совет (ЭКОСОС)</w:t>
      </w:r>
      <w:r w:rsidR="001A7AC7">
        <w:t xml:space="preserve"> </w:t>
      </w:r>
      <w:r>
        <w:t>для выяснения того, зарегистрирована ли АМА в его базе данных неправительственных организаций, имеющих консультативный статус. И наконец, ЕЭК просила представительство напомнить таможенным органам Иордании о том,</w:t>
      </w:r>
      <w:r w:rsidR="001A7AC7">
        <w:t xml:space="preserve"> </w:t>
      </w:r>
      <w:r>
        <w:t>что ответ на письмо ЕЭК от 14 июля 2017 года, в котором запрашивались разъяснения по ряду претензий в связи с предполагаемым несоблюдением Конвенции 1954 года таможенными органами Иордании, до сих пор не получен. Наблюдатель от МТА/ФИА сообщил Рабочей группе, что полномочия Королевского автомобильного клуба Иордании были отозваны и что АИТ/ФИА в настоящий момент проводит работу по</w:t>
      </w:r>
      <w:r w:rsidR="001A7AC7">
        <w:t> </w:t>
      </w:r>
      <w:r>
        <w:t>допущению другой ассоциации (но не АМА), с тем чтобы она могла выполнять роль</w:t>
      </w:r>
      <w:r w:rsidR="001A7AC7">
        <w:t> </w:t>
      </w:r>
      <w:r>
        <w:t>объединения, выдающего книжки в Иордании (ECE/TRANS/WP.30/304,</w:t>
      </w:r>
      <w:r w:rsidR="001A7AC7">
        <w:t xml:space="preserve"> </w:t>
      </w:r>
      <w:r>
        <w:t>пункты</w:t>
      </w:r>
      <w:r w:rsidR="001A7AC7">
        <w:t> </w:t>
      </w:r>
      <w:r>
        <w:t>25–26). На 153-й сессии (октябрь 2019 года) ФИА/АИТ проинформировал WP.30 о том, что с обеими странами по-прежнему ведутся переговоры (ECE/TRANS/</w:t>
      </w:r>
      <w:r w:rsidR="00A36D07" w:rsidRPr="00A36D07">
        <w:t xml:space="preserve"> </w:t>
      </w:r>
      <w:r>
        <w:t>WP.30/306, пункт 32).</w:t>
      </w:r>
    </w:p>
    <w:p w:rsidR="0088675D" w:rsidRPr="00600FA0" w:rsidRDefault="0088675D" w:rsidP="0088675D">
      <w:pPr>
        <w:pStyle w:val="HChG"/>
        <w:jc w:val="both"/>
      </w:pPr>
      <w:r>
        <w:tab/>
        <w:t>VIII.</w:t>
      </w:r>
      <w:r>
        <w:tab/>
      </w:r>
      <w:r>
        <w:rPr>
          <w:bCs/>
        </w:rPr>
        <w:t>Просьбы Комитета по внутреннему транспорту</w:t>
      </w:r>
    </w:p>
    <w:p w:rsidR="0088675D" w:rsidRPr="00600FA0" w:rsidRDefault="0088675D" w:rsidP="0088675D">
      <w:pPr>
        <w:pStyle w:val="H1G"/>
      </w:pPr>
      <w:r>
        <w:tab/>
        <w:t>A.</w:t>
      </w:r>
      <w:r>
        <w:tab/>
      </w:r>
      <w:r>
        <w:rPr>
          <w:bCs/>
        </w:rPr>
        <w:t>Рекомендации Комитета по внутреннему транспорту, направленные на укрепление национальных систем</w:t>
      </w:r>
      <w:r w:rsidR="00A36D07">
        <w:rPr>
          <w:bCs/>
        </w:rPr>
        <w:br/>
      </w:r>
      <w:r>
        <w:rPr>
          <w:bCs/>
        </w:rPr>
        <w:t>безопасности дорожного движения</w:t>
      </w:r>
    </w:p>
    <w:p w:rsidR="0088675D" w:rsidRPr="00600FA0" w:rsidRDefault="0088675D" w:rsidP="00A36D07">
      <w:pPr>
        <w:pStyle w:val="SingleTxtG"/>
      </w:pPr>
      <w:bookmarkStart w:id="2" w:name="_Hlk26977834"/>
      <w:r>
        <w:t>28.</w:t>
      </w:r>
      <w:r>
        <w:tab/>
        <w:t>24 апреля 2019 года Председатель Комитета по внутреннему транспорту (КВТ) и директор Отдела устойчивого транспорта в совместном письме предложили председателям рабочих групп и административных комитетов КВТ принять последующие меры по согласованию своей работы со стратегией КВТ, в частности с ее аспектами, касающимися обеспечения безопасности дорожного движения. С этой целью секретариат КВТ подготовил проект рекомендаций КВТ по укреплению национальных систем обеспечения безопасности дорожного движения для представления замечаний рабочими группами и административными комитетами (неофициальный документ № 4 WP.30 (2019 год) – для ограниченного распространения). На своей 152-й сессии (июнь 2019 года) WP.30, полностью одобрив сферу охвата рекомендаций и признав, что безопасность дорожного движения в соответствующих аспектах влияет на деятельность в рамках правовых документов, относящихся к ведению Рабочей группы, в частности когда речь идет о безопасных транспортных средствах или поведении водителей, тем не менее не нашла никаких возможностей для прямого вмешательства в таможенную сферу, кроме, вероятно, правоприменения. Для фактического подтверждения этого WP.30 поручила секретариату направить краткий вопросник таможенным координаторам МДП,</w:t>
      </w:r>
      <w:r w:rsidR="001A7AC7">
        <w:t xml:space="preserve"> </w:t>
      </w:r>
      <w:r>
        <w:t>а его копию делегатам WP.30 с просьбой поделиться национальным опытом деятельности, связанной с таможенными вопросами, которая была упомянута в проекте рекомендаций, и подготовить документ для рассмотрения на нынешней сессии (см. ECE/TRANS/WP.30/304, пункт 6). На своей 153-й сессии (октябрь</w:t>
      </w:r>
      <w:r w:rsidR="001A7AC7">
        <w:t xml:space="preserve"> </w:t>
      </w:r>
      <w:r w:rsidR="00A36D07">
        <w:br/>
      </w:r>
      <w:r>
        <w:t xml:space="preserve">2019 года) WP.30 рассмотрела результаты этого обследования, выразив удовлетворение в связи с тем, что на него ответили 29 стран. WP.30 подтвердила предварительные выводы секретариата, подчеркнув, в частности, точку зрения о том, что роль и задачи таможенных органов в области обеспечения безопасности дорожного движения крайне ограничены, за исключением проверки технического состояния транспортных средств при ввозе/вывозе либо участии таможенных органов в контроле тахографов, веса и размеров транспортных средств или в проверке </w:t>
      </w:r>
      <w:r>
        <w:lastRenderedPageBreak/>
        <w:t>соблюдения правил перевозки опасных грузов. WP.30 просила секретариат передать КВТ результаты этого обследования для информации (ECE/TRANS/WP.30/306, пункты 3–4)</w:t>
      </w:r>
      <w:r>
        <w:rPr>
          <w:rStyle w:val="FootnoteReference"/>
        </w:rPr>
        <w:footnoteReference w:id="4"/>
      </w:r>
      <w:r>
        <w:t>.</w:t>
      </w:r>
    </w:p>
    <w:bookmarkEnd w:id="2"/>
    <w:p w:rsidR="0088675D" w:rsidRPr="00600FA0" w:rsidRDefault="0088675D" w:rsidP="00A36D07">
      <w:pPr>
        <w:pStyle w:val="H1G"/>
      </w:pPr>
      <w:r>
        <w:tab/>
        <w:t>B.</w:t>
      </w:r>
      <w:r>
        <w:tab/>
      </w:r>
      <w:r>
        <w:rPr>
          <w:bCs/>
        </w:rPr>
        <w:t>Согласование работы Рабочей группы со стратегией Комитета</w:t>
      </w:r>
      <w:r w:rsidR="00A36D07">
        <w:rPr>
          <w:bCs/>
        </w:rPr>
        <w:br/>
      </w:r>
      <w:r>
        <w:rPr>
          <w:bCs/>
        </w:rPr>
        <w:t>по внутреннему транспорту</w:t>
      </w:r>
    </w:p>
    <w:p w:rsidR="0088675D" w:rsidRPr="00600FA0" w:rsidRDefault="0088675D" w:rsidP="00A36D07">
      <w:pPr>
        <w:pStyle w:val="SingleTxtG"/>
        <w:ind w:left="1128" w:firstLine="6"/>
      </w:pPr>
      <w:r>
        <w:t>29.</w:t>
      </w:r>
      <w:r>
        <w:tab/>
        <w:t>26 июня 2019 года Председатель КВТ и директор Отдела устойчивого транспорта в совместном письме предложили председателям рабочих групп и административных комитетов КВТ поддержать осуществление стратегии КВТ и с этой целью представить предложения с конкретным планом согласования работы со стратегией КВТ. Крайний срок представления предложений был установлен на 15 ноября 2019 года, после чего Бюро КВТ подготовит конкретный план для представления и, возможно, принятия на восемьдесят второй сессии КВТ (февраль 2020 года). В этой связи WP.30 рассмотрела перечень задач, которые ей следует выполнить в предстоящие годы в дополнение к своей обычной работе</w:t>
      </w:r>
      <w:r>
        <w:rPr>
          <w:rStyle w:val="FootnoteReference"/>
        </w:rPr>
        <w:footnoteReference w:id="5"/>
      </w:r>
      <w:r>
        <w:t>.</w:t>
      </w:r>
      <w:r w:rsidR="001A7AC7">
        <w:t xml:space="preserve"> </w:t>
      </w:r>
      <w:r>
        <w:t xml:space="preserve">WP.30 выразила свою готовность в принципе поддержать осуществление стратегии КВТ и поэтому в предварительном порядке согласилась с предлагаемым графиком выполнения поставленных задач при условии проведения в любое время в будущем дальнейшей оценки. В качестве первого шага WP.30 просила секретариат подготовить для ее следующей сессии документ с кратким изложением основной сферы применения 17 правовых документов, относящихся к ее ведению, в котором будут рассмотрены заключительные положения и при необходимости предложены поправки. </w:t>
      </w:r>
      <w:r w:rsidRPr="00756A68">
        <w:t>В то же время Рабочая группа предупредила, что намечаемые задачи</w:t>
      </w:r>
      <w:r w:rsidR="001A7AC7">
        <w:t xml:space="preserve"> </w:t>
      </w:r>
      <w:r w:rsidRPr="00756A68">
        <w:t>а)</w:t>
      </w:r>
      <w:r w:rsidR="001A7AC7">
        <w:t> </w:t>
      </w:r>
      <w:r w:rsidRPr="00756A68">
        <w:t>не</w:t>
      </w:r>
      <w:r w:rsidR="001A7AC7">
        <w:t> </w:t>
      </w:r>
      <w:r w:rsidRPr="00756A68">
        <w:t xml:space="preserve">должны вступать в противоречие с ее обычными задачами; </w:t>
      </w:r>
      <w:r w:rsidRPr="00B821C1">
        <w:t>b</w:t>
      </w:r>
      <w:r w:rsidRPr="00756A68">
        <w:t>) не должны приводить к механическим изменениям лишь в целях согласования со стратегией КВТ и что с)</w:t>
      </w:r>
      <w:r>
        <w:rPr>
          <w:lang w:val="en-US"/>
        </w:rPr>
        <w:t> </w:t>
      </w:r>
      <w:r w:rsidRPr="00756A68">
        <w:t>только Рабочая группа будет иметь прерогативу устанавливать актуальность предложения или принятия поправок к правовым документам или осуществления любых других соответствующих мер. В порядке предостережения делегация Европейского союза рекомендовала ЕЭК не допускать, чтобы ее стремление выступать в роли одного из глобальных игроков в отношении правовых документов в области транспорта негативно отражалось на выполнении ею задачи по защите интересов региона ЕЭК. Делегация Украины напомнила об обширном наборе вопросов и ответов, разработанных Исполнительным советом МДП в качестве учебных материалов для различных заинтересованных сторон системы МДП, предложив Рабочей группе рассмотреть и при необходимости изменить или обновить их, с тем чтобы отразить последнее состояние Конвенции МДП</w:t>
      </w:r>
      <w:r>
        <w:t xml:space="preserve"> (ECE/TRANS/WP.30/306, пункт 5).</w:t>
      </w:r>
    </w:p>
    <w:p w:rsidR="0088675D" w:rsidRPr="00600FA0" w:rsidRDefault="0088675D" w:rsidP="00A36D07">
      <w:pPr>
        <w:pStyle w:val="HChG"/>
        <w:jc w:val="both"/>
      </w:pPr>
      <w:r>
        <w:tab/>
        <w:t>IX.</w:t>
      </w:r>
      <w:r>
        <w:tab/>
      </w:r>
      <w:r>
        <w:rPr>
          <w:bCs/>
        </w:rPr>
        <w:t>Рассмотрение Комитетом</w:t>
      </w:r>
    </w:p>
    <w:p w:rsidR="0088675D" w:rsidRPr="00600FA0" w:rsidRDefault="0088675D" w:rsidP="00A36D07">
      <w:pPr>
        <w:pStyle w:val="SingleTxtG"/>
      </w:pPr>
      <w:r>
        <w:t>30.</w:t>
      </w:r>
      <w:r>
        <w:tab/>
        <w:t>Комитет, возможно, пожелает принять к сведению и поддержать вышеуказанные мероприятия договаривающихся сторон, WP.30, AC.2, AC.3</w:t>
      </w:r>
      <w:r w:rsidR="001A7AC7">
        <w:t xml:space="preserve"> </w:t>
      </w:r>
      <w:r>
        <w:t>и</w:t>
      </w:r>
      <w:r w:rsidR="001A7AC7">
        <w:t> </w:t>
      </w:r>
      <w:r>
        <w:t xml:space="preserve">секретариата ЕЭК/МДП. В частности, Комитет, возможно, пожелает </w:t>
      </w:r>
      <w:r>
        <w:rPr>
          <w:b/>
          <w:bCs/>
        </w:rPr>
        <w:t>принять к сведению</w:t>
      </w:r>
      <w:r>
        <w:t xml:space="preserve"> информацию о ходе обсуждений в AC.2 по вопросу о правовых рамках eTIR, в результате которых было достигнуто соглашение по окончательному тексту, который будет представлен для принятия на сессии АС.2 в феврале 2020 года; к Комитету будет обращена просьба </w:t>
      </w:r>
      <w:r>
        <w:rPr>
          <w:b/>
          <w:bCs/>
        </w:rPr>
        <w:t xml:space="preserve">одобрить </w:t>
      </w:r>
      <w:r>
        <w:t>продолжение проекта eTIR и с этой целью а)</w:t>
      </w:r>
      <w:r w:rsidR="00A36D07">
        <w:rPr>
          <w:lang w:val="fr-CH"/>
        </w:rPr>
        <w:t> </w:t>
      </w:r>
      <w:r>
        <w:rPr>
          <w:b/>
          <w:bCs/>
        </w:rPr>
        <w:t>принять решение продлить</w:t>
      </w:r>
      <w:r>
        <w:t xml:space="preserve"> мандат Неофициальной специальной группы экспертов по концептуальным и техническим аспектам компьютеризации процедуры МДП (WP.30/GE.1) на 2020 год до ее преобразования в официальную группу экспертов; b)</w:t>
      </w:r>
      <w:r w:rsidR="00A36D07">
        <w:rPr>
          <w:lang w:val="fr-CH"/>
        </w:rPr>
        <w:t> </w:t>
      </w:r>
      <w:r>
        <w:t xml:space="preserve">вновь </w:t>
      </w:r>
      <w:r>
        <w:rPr>
          <w:b/>
          <w:bCs/>
        </w:rPr>
        <w:t>настоятельно призвать</w:t>
      </w:r>
      <w:r>
        <w:t xml:space="preserve"> договаривающиеся стороны и </w:t>
      </w:r>
      <w:r w:rsidRPr="00C03361">
        <w:t>соответствующие заинтересованные стороны</w:t>
      </w:r>
      <w:r>
        <w:t xml:space="preserve"> обеспечить продолжение необходимого финансирования для реализации проекта eTIR; c)</w:t>
      </w:r>
      <w:r w:rsidR="00A36D07">
        <w:rPr>
          <w:lang w:val="fr-CH"/>
        </w:rPr>
        <w:t> </w:t>
      </w:r>
      <w:r>
        <w:rPr>
          <w:b/>
          <w:bCs/>
        </w:rPr>
        <w:t>настоятельно призвать</w:t>
      </w:r>
      <w:r>
        <w:t xml:space="preserve"> </w:t>
      </w:r>
      <w:r>
        <w:lastRenderedPageBreak/>
        <w:t xml:space="preserve">договаривающиеся стороны </w:t>
      </w:r>
      <w:r w:rsidRPr="00C03361">
        <w:t>не заявлять возражений против предложений по новому приложению 11 к Конвенции МДП, с тем чтобы ввести компьютеризацию процедуры МДП в правовой текст Конвенции</w:t>
      </w:r>
      <w:r>
        <w:t>; d)</w:t>
      </w:r>
      <w:r w:rsidR="00A36D07">
        <w:rPr>
          <w:lang w:val="fr-CH"/>
        </w:rPr>
        <w:t> </w:t>
      </w:r>
      <w:r>
        <w:rPr>
          <w:b/>
          <w:bCs/>
        </w:rPr>
        <w:t xml:space="preserve">поручить </w:t>
      </w:r>
      <w:r>
        <w:t>секретариату продолжить пилотное применение международной системы eTIR на основе технических спецификаций eTIR в сотрудничестве с государствами-членами</w:t>
      </w:r>
      <w:r w:rsidRPr="00756A68">
        <w:t>, выразившими в этом заинтересованность,</w:t>
      </w:r>
      <w:r>
        <w:t xml:space="preserve"> и МСАТ; </w:t>
      </w:r>
      <w:r>
        <w:rPr>
          <w:b/>
          <w:bCs/>
        </w:rPr>
        <w:t xml:space="preserve">а также e) одобрить учреждение </w:t>
      </w:r>
      <w:r>
        <w:t>Группы экспертов по концептуальным</w:t>
      </w:r>
      <w:r w:rsidR="001A7AC7">
        <w:t xml:space="preserve"> </w:t>
      </w:r>
      <w:r>
        <w:t>и техническим аспектам компьютеризации процедуры МДП (WP.30/GE.1) и утвердить ее круг ведения. Комитету предлагается также принять к сведению информацию о различных мероприятиях WP.30 в 2019 году, нацеленных на согласование ее работы со стратегией КВТ до 2030 года.</w:t>
      </w:r>
    </w:p>
    <w:p w:rsidR="0088675D" w:rsidRPr="00600FA0" w:rsidRDefault="0088675D" w:rsidP="00A36D07">
      <w:pPr>
        <w:pStyle w:val="SingleTxtG"/>
        <w:spacing w:before="240" w:after="0"/>
        <w:jc w:val="center"/>
        <w:rPr>
          <w:u w:val="single"/>
        </w:rPr>
      </w:pPr>
      <w:r w:rsidRPr="00600FA0">
        <w:rPr>
          <w:u w:val="single"/>
        </w:rPr>
        <w:tab/>
      </w:r>
      <w:r w:rsidRPr="00600FA0">
        <w:rPr>
          <w:u w:val="single"/>
        </w:rPr>
        <w:tab/>
      </w:r>
      <w:r w:rsidRPr="00600FA0">
        <w:rPr>
          <w:u w:val="single"/>
        </w:rPr>
        <w:tab/>
      </w:r>
      <w:r>
        <w:rPr>
          <w:u w:val="single"/>
        </w:rPr>
        <w:tab/>
      </w:r>
    </w:p>
    <w:sectPr w:rsidR="0088675D" w:rsidRPr="00600FA0" w:rsidSect="0088675D">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94C" w:rsidRPr="00A312BC" w:rsidRDefault="003B294C" w:rsidP="00A312BC"/>
  </w:endnote>
  <w:endnote w:type="continuationSeparator" w:id="0">
    <w:p w:rsidR="003B294C" w:rsidRPr="00A312BC" w:rsidRDefault="003B294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5D" w:rsidRPr="0088675D" w:rsidRDefault="0088675D">
    <w:pPr>
      <w:pStyle w:val="Footer"/>
    </w:pPr>
    <w:r w:rsidRPr="0088675D">
      <w:rPr>
        <w:b/>
        <w:sz w:val="18"/>
      </w:rPr>
      <w:fldChar w:fldCharType="begin"/>
    </w:r>
    <w:r w:rsidRPr="0088675D">
      <w:rPr>
        <w:b/>
        <w:sz w:val="18"/>
      </w:rPr>
      <w:instrText xml:space="preserve"> PAGE  \* MERGEFORMAT </w:instrText>
    </w:r>
    <w:r w:rsidRPr="0088675D">
      <w:rPr>
        <w:b/>
        <w:sz w:val="18"/>
      </w:rPr>
      <w:fldChar w:fldCharType="separate"/>
    </w:r>
    <w:r w:rsidR="00961124">
      <w:rPr>
        <w:b/>
        <w:noProof/>
        <w:sz w:val="18"/>
      </w:rPr>
      <w:t>4</w:t>
    </w:r>
    <w:r w:rsidRPr="0088675D">
      <w:rPr>
        <w:b/>
        <w:sz w:val="18"/>
      </w:rPr>
      <w:fldChar w:fldCharType="end"/>
    </w:r>
    <w:r>
      <w:rPr>
        <w:b/>
        <w:sz w:val="18"/>
      </w:rPr>
      <w:tab/>
    </w:r>
    <w:r>
      <w:t>GE.19-22081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5D" w:rsidRPr="0088675D" w:rsidRDefault="0088675D" w:rsidP="0088675D">
    <w:pPr>
      <w:pStyle w:val="Footer"/>
      <w:tabs>
        <w:tab w:val="clear" w:pos="9639"/>
        <w:tab w:val="right" w:pos="9638"/>
      </w:tabs>
      <w:rPr>
        <w:b/>
        <w:sz w:val="18"/>
      </w:rPr>
    </w:pPr>
    <w:r>
      <w:t>GE.19-22081</w:t>
    </w:r>
    <w:r>
      <w:tab/>
    </w:r>
    <w:r w:rsidRPr="0088675D">
      <w:rPr>
        <w:b/>
        <w:sz w:val="18"/>
      </w:rPr>
      <w:fldChar w:fldCharType="begin"/>
    </w:r>
    <w:r w:rsidRPr="0088675D">
      <w:rPr>
        <w:b/>
        <w:sz w:val="18"/>
      </w:rPr>
      <w:instrText xml:space="preserve"> PAGE  \* MERGEFORMAT </w:instrText>
    </w:r>
    <w:r w:rsidRPr="0088675D">
      <w:rPr>
        <w:b/>
        <w:sz w:val="18"/>
      </w:rPr>
      <w:fldChar w:fldCharType="separate"/>
    </w:r>
    <w:r w:rsidR="00961124">
      <w:rPr>
        <w:b/>
        <w:noProof/>
        <w:sz w:val="18"/>
      </w:rPr>
      <w:t>3</w:t>
    </w:r>
    <w:r w:rsidRPr="008867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88675D" w:rsidRDefault="0088675D" w:rsidP="0088675D">
    <w:pPr>
      <w:spacing w:before="120" w:line="240" w:lineRule="auto"/>
    </w:pPr>
    <w:r>
      <w:t>GE.</w:t>
    </w:r>
    <w:r w:rsidR="00DF71B9">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22081  (</w:t>
    </w:r>
    <w:proofErr w:type="gramEnd"/>
    <w:r>
      <w:t>R)</w:t>
    </w:r>
    <w:r w:rsidR="003A1652">
      <w:rPr>
        <w:lang w:val="en-US"/>
      </w:rPr>
      <w:t xml:space="preserve">  170120  2</w:t>
    </w:r>
    <w:r w:rsidR="004B3812">
      <w:rPr>
        <w:lang w:val="en-US"/>
      </w:rPr>
      <w:t>8</w:t>
    </w:r>
    <w:r w:rsidR="003A1652">
      <w:rPr>
        <w:lang w:val="en-US"/>
      </w:rPr>
      <w:t>0120</w:t>
    </w:r>
    <w:r>
      <w:br/>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sidRPr="0088675D">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561975" cy="561975"/>
          <wp:effectExtent l="0" t="0" r="9525" b="9525"/>
          <wp:wrapNone/>
          <wp:docPr id="1" name="Рисунок 1" descr="https://undocs.org/m2/QRCode.ashx?DS=ECE/TRANS/2020/1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94C" w:rsidRPr="001075E9" w:rsidRDefault="003B294C" w:rsidP="001075E9">
      <w:pPr>
        <w:tabs>
          <w:tab w:val="right" w:pos="2155"/>
        </w:tabs>
        <w:spacing w:after="80" w:line="240" w:lineRule="auto"/>
        <w:ind w:left="680"/>
        <w:rPr>
          <w:u w:val="single"/>
        </w:rPr>
      </w:pPr>
      <w:r>
        <w:rPr>
          <w:u w:val="single"/>
        </w:rPr>
        <w:tab/>
      </w:r>
    </w:p>
  </w:footnote>
  <w:footnote w:type="continuationSeparator" w:id="0">
    <w:p w:rsidR="003B294C" w:rsidRDefault="003B294C" w:rsidP="00407B78">
      <w:pPr>
        <w:tabs>
          <w:tab w:val="right" w:pos="2155"/>
        </w:tabs>
        <w:spacing w:after="80"/>
        <w:ind w:left="680"/>
        <w:rPr>
          <w:u w:val="single"/>
        </w:rPr>
      </w:pPr>
      <w:r>
        <w:rPr>
          <w:u w:val="single"/>
        </w:rPr>
        <w:tab/>
      </w:r>
    </w:p>
  </w:footnote>
  <w:footnote w:id="1">
    <w:p w:rsidR="0088675D" w:rsidRPr="00600FA0" w:rsidRDefault="0088675D" w:rsidP="004F598E">
      <w:pPr>
        <w:pStyle w:val="FootnoteText"/>
      </w:pPr>
      <w:r>
        <w:tab/>
        <w:t>*</w:t>
      </w:r>
      <w:r>
        <w:tab/>
      </w:r>
      <w:r w:rsidRPr="00C03361">
        <w:t>Настоящий документ был запланирован к изданию после установленного срока в силу обстоятельств, не зависящих от представившей его стороны</w:t>
      </w:r>
      <w:r>
        <w:t>.</w:t>
      </w:r>
    </w:p>
  </w:footnote>
  <w:footnote w:id="2">
    <w:p w:rsidR="0088675D" w:rsidRPr="00600FA0" w:rsidRDefault="0088675D" w:rsidP="0088675D">
      <w:pPr>
        <w:pStyle w:val="FootnoteText"/>
      </w:pPr>
      <w:r>
        <w:tab/>
      </w:r>
      <w:r>
        <w:rPr>
          <w:rStyle w:val="FootnoteReference"/>
        </w:rPr>
        <w:footnoteRef/>
      </w:r>
      <w:r>
        <w:tab/>
        <w:t xml:space="preserve">Европейское соглашение, касающееся работы экипажей транспортных средств, производящих международные автомобильные перевозки. </w:t>
      </w:r>
    </w:p>
  </w:footnote>
  <w:footnote w:id="3">
    <w:p w:rsidR="0088675D" w:rsidRPr="00600FA0" w:rsidRDefault="0088675D" w:rsidP="0088675D">
      <w:pPr>
        <w:pStyle w:val="FootnoteText"/>
      </w:pPr>
      <w:r w:rsidRPr="009E7D0B">
        <w:tab/>
      </w:r>
      <w:r>
        <w:rPr>
          <w:rStyle w:val="FootnoteReference"/>
        </w:rPr>
        <w:footnoteRef/>
      </w:r>
      <w:r>
        <w:tab/>
        <w:t xml:space="preserve">Сводный проект правовых рамок </w:t>
      </w:r>
      <w:proofErr w:type="spellStart"/>
      <w:r>
        <w:t>eTIR</w:t>
      </w:r>
      <w:proofErr w:type="spellEnd"/>
      <w:r>
        <w:t xml:space="preserve"> содержится в окончательном докладе о работе семьдесят первой сессии Административного комитета МДП (ECE/TRANS/WP.30/AC.2/145, приложение I).</w:t>
      </w:r>
    </w:p>
  </w:footnote>
  <w:footnote w:id="4">
    <w:p w:rsidR="0088675D" w:rsidRPr="00600FA0" w:rsidRDefault="0088675D" w:rsidP="0088675D">
      <w:pPr>
        <w:pStyle w:val="FootnoteText"/>
      </w:pPr>
      <w:r>
        <w:tab/>
      </w:r>
      <w:r>
        <w:rPr>
          <w:rStyle w:val="FootnoteReference"/>
        </w:rPr>
        <w:footnoteRef/>
      </w:r>
      <w:r>
        <w:tab/>
        <w:t>Полные результаты обследования см. в документе ECE/TRANS/WP.30/2019/7/Rev.1.</w:t>
      </w:r>
    </w:p>
  </w:footnote>
  <w:footnote w:id="5">
    <w:p w:rsidR="0088675D" w:rsidRPr="00600FA0" w:rsidRDefault="0088675D" w:rsidP="0088675D">
      <w:pPr>
        <w:pStyle w:val="FootnoteText"/>
      </w:pPr>
      <w:r>
        <w:tab/>
      </w:r>
      <w:r>
        <w:rPr>
          <w:rStyle w:val="FootnoteReference"/>
        </w:rPr>
        <w:footnoteRef/>
      </w:r>
      <w:r>
        <w:tab/>
        <w:t>Полный перечень задач и предварительное расписание см. в документе ECE/TRANS/</w:t>
      </w:r>
      <w:r w:rsidR="008B3027" w:rsidRPr="008B3027">
        <w:t xml:space="preserve"> </w:t>
      </w:r>
      <w:r>
        <w:t>WP.30/2019/8 и Corr.1 (только на английском языке).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5D" w:rsidRPr="0088675D" w:rsidRDefault="001C4E3D">
    <w:pPr>
      <w:pStyle w:val="Header"/>
    </w:pPr>
    <w:r>
      <w:fldChar w:fldCharType="begin"/>
    </w:r>
    <w:r>
      <w:instrText xml:space="preserve"> TITLE  \* MERGEFORMAT </w:instrText>
    </w:r>
    <w:r>
      <w:fldChar w:fldCharType="separate"/>
    </w:r>
    <w:r w:rsidR="00961124">
      <w:t>ECE/TRANS/2020/14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5D" w:rsidRPr="0088675D" w:rsidRDefault="001C4E3D" w:rsidP="0088675D">
    <w:pPr>
      <w:pStyle w:val="Header"/>
      <w:jc w:val="right"/>
    </w:pPr>
    <w:r>
      <w:fldChar w:fldCharType="begin"/>
    </w:r>
    <w:r>
      <w:instrText xml:space="preserve"> TITLE  \* MERGEFORMA</w:instrText>
    </w:r>
    <w:r>
      <w:instrText xml:space="preserve">T </w:instrText>
    </w:r>
    <w:r>
      <w:fldChar w:fldCharType="separate"/>
    </w:r>
    <w:r w:rsidR="00961124">
      <w:t>ECE/TRANS/2020/14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830F0"/>
    <w:multiLevelType w:val="hybridMultilevel"/>
    <w:tmpl w:val="4C8E5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0"/>
  </w:num>
  <w:num w:numId="2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4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7AC7"/>
    <w:rsid w:val="001B3EF6"/>
    <w:rsid w:val="001C4E3D"/>
    <w:rsid w:val="001C7A89"/>
    <w:rsid w:val="001F27EB"/>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1652"/>
    <w:rsid w:val="003A48CE"/>
    <w:rsid w:val="003B00E5"/>
    <w:rsid w:val="003B294C"/>
    <w:rsid w:val="003E0B46"/>
    <w:rsid w:val="00407B78"/>
    <w:rsid w:val="00424203"/>
    <w:rsid w:val="00452493"/>
    <w:rsid w:val="00453318"/>
    <w:rsid w:val="00454AF2"/>
    <w:rsid w:val="00454E07"/>
    <w:rsid w:val="00464A33"/>
    <w:rsid w:val="00472C5C"/>
    <w:rsid w:val="004B3812"/>
    <w:rsid w:val="004E05B7"/>
    <w:rsid w:val="004E3758"/>
    <w:rsid w:val="004F598E"/>
    <w:rsid w:val="0050108D"/>
    <w:rsid w:val="00513081"/>
    <w:rsid w:val="00517901"/>
    <w:rsid w:val="00526683"/>
    <w:rsid w:val="005639C1"/>
    <w:rsid w:val="005709E0"/>
    <w:rsid w:val="00572E19"/>
    <w:rsid w:val="005961C8"/>
    <w:rsid w:val="005966F1"/>
    <w:rsid w:val="005D7914"/>
    <w:rsid w:val="005E2B41"/>
    <w:rsid w:val="005E6B06"/>
    <w:rsid w:val="005F0B42"/>
    <w:rsid w:val="00617A43"/>
    <w:rsid w:val="006345DB"/>
    <w:rsid w:val="00640F49"/>
    <w:rsid w:val="00643186"/>
    <w:rsid w:val="00680D03"/>
    <w:rsid w:val="00681A10"/>
    <w:rsid w:val="006A1ED8"/>
    <w:rsid w:val="006C2031"/>
    <w:rsid w:val="006D03CC"/>
    <w:rsid w:val="006D461A"/>
    <w:rsid w:val="006F35EE"/>
    <w:rsid w:val="007021FF"/>
    <w:rsid w:val="00712895"/>
    <w:rsid w:val="00734ACB"/>
    <w:rsid w:val="00757357"/>
    <w:rsid w:val="00792497"/>
    <w:rsid w:val="007B0252"/>
    <w:rsid w:val="00806737"/>
    <w:rsid w:val="00825F8D"/>
    <w:rsid w:val="00834B71"/>
    <w:rsid w:val="0086445C"/>
    <w:rsid w:val="0088675D"/>
    <w:rsid w:val="00894693"/>
    <w:rsid w:val="008A08D7"/>
    <w:rsid w:val="008A37C8"/>
    <w:rsid w:val="008B3027"/>
    <w:rsid w:val="008B6909"/>
    <w:rsid w:val="008D53B6"/>
    <w:rsid w:val="008F7609"/>
    <w:rsid w:val="00906890"/>
    <w:rsid w:val="00911BE4"/>
    <w:rsid w:val="00951972"/>
    <w:rsid w:val="009608F3"/>
    <w:rsid w:val="00961124"/>
    <w:rsid w:val="009A24AC"/>
    <w:rsid w:val="009C59D7"/>
    <w:rsid w:val="009C6FE6"/>
    <w:rsid w:val="009D7E7D"/>
    <w:rsid w:val="00A14DA8"/>
    <w:rsid w:val="00A312BC"/>
    <w:rsid w:val="00A36D07"/>
    <w:rsid w:val="00A84021"/>
    <w:rsid w:val="00A84D35"/>
    <w:rsid w:val="00A917B3"/>
    <w:rsid w:val="00AB4B51"/>
    <w:rsid w:val="00B10CC7"/>
    <w:rsid w:val="00B36DF7"/>
    <w:rsid w:val="00B539E7"/>
    <w:rsid w:val="00B62458"/>
    <w:rsid w:val="00BC18B2"/>
    <w:rsid w:val="00BD33EE"/>
    <w:rsid w:val="00BE1CC7"/>
    <w:rsid w:val="00C106D6"/>
    <w:rsid w:val="00C119AE"/>
    <w:rsid w:val="00C2065C"/>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4E7E"/>
    <w:rsid w:val="00DF5767"/>
    <w:rsid w:val="00DF71B9"/>
    <w:rsid w:val="00E12C5F"/>
    <w:rsid w:val="00E73F76"/>
    <w:rsid w:val="00EA2C9F"/>
    <w:rsid w:val="00EA420E"/>
    <w:rsid w:val="00ED0BDA"/>
    <w:rsid w:val="00EE142A"/>
    <w:rsid w:val="00EF1360"/>
    <w:rsid w:val="00EF3220"/>
    <w:rsid w:val="00F1323B"/>
    <w:rsid w:val="00F2523A"/>
    <w:rsid w:val="00F43903"/>
    <w:rsid w:val="00F94155"/>
    <w:rsid w:val="00F9783F"/>
    <w:rsid w:val="00FB434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F5ECE5-D49B-4624-BD72-1169238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88675D"/>
    <w:rPr>
      <w:lang w:val="ru-RU" w:eastAsia="en-US"/>
    </w:rPr>
  </w:style>
  <w:style w:type="character" w:customStyle="1" w:styleId="H1GChar">
    <w:name w:val="_ H_1_G Char"/>
    <w:link w:val="H1G"/>
    <w:rsid w:val="0088675D"/>
    <w:rPr>
      <w:b/>
      <w:sz w:val="24"/>
      <w:lang w:val="ru-RU" w:eastAsia="ru-RU"/>
    </w:rPr>
  </w:style>
  <w:style w:type="character" w:customStyle="1" w:styleId="HChGChar">
    <w:name w:val="_ H _Ch_G Char"/>
    <w:link w:val="HChG"/>
    <w:rsid w:val="0088675D"/>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9765-D69E-49A1-8210-D3492DC3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6147</Words>
  <Characters>35044</Characters>
  <Application>Microsoft Office Word</Application>
  <DocSecurity>4</DocSecurity>
  <Lines>292</Lines>
  <Paragraphs>82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ECE/TRANS/2020/14</vt:lpstr>
      <vt:lpstr>ECE/TRANS/2020/14</vt:lpstr>
      <vt:lpstr>A/</vt:lpstr>
    </vt:vector>
  </TitlesOfParts>
  <Company>DCM</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ECE/TRANS/2020/14</dc:title>
  <dc:subject/>
  <dc:creator>Anna KISSELEVA</dc:creator>
  <cp:keywords/>
  <cp:lastModifiedBy>Anastasia Barinova</cp:lastModifiedBy>
  <cp:revision>2</cp:revision>
  <cp:lastPrinted>2020-01-28T12:57:00Z</cp:lastPrinted>
  <dcterms:created xsi:type="dcterms:W3CDTF">2020-01-28T14:00:00Z</dcterms:created>
  <dcterms:modified xsi:type="dcterms:W3CDTF">2020-01-28T14:00:00Z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