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21BA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EBD16E" w14:textId="77777777" w:rsidR="002D5AAC" w:rsidRDefault="002D5AAC" w:rsidP="00FB37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CE31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3F22AA" w14:textId="77777777" w:rsidR="002D5AAC" w:rsidRDefault="00FB3773" w:rsidP="00FB3773">
            <w:pPr>
              <w:jc w:val="right"/>
            </w:pPr>
            <w:r w:rsidRPr="00FB3773">
              <w:rPr>
                <w:sz w:val="40"/>
              </w:rPr>
              <w:t>ECE</w:t>
            </w:r>
            <w:r>
              <w:t>/TRANS/WP.15/AC.2/2020/32</w:t>
            </w:r>
          </w:p>
        </w:tc>
      </w:tr>
      <w:tr w:rsidR="002D5AAC" w:rsidRPr="002775ED" w14:paraId="2510E1D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01C1C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AABCF5" wp14:editId="0E1FA3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72C7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6EAAF2" w14:textId="77777777" w:rsidR="002D5AAC" w:rsidRDefault="00FB37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A0D9AE" w14:textId="77777777" w:rsidR="00FB3773" w:rsidRDefault="00FB3773" w:rsidP="00FB37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65CBEB42" w14:textId="77777777" w:rsidR="00FB3773" w:rsidRDefault="00FB3773" w:rsidP="00FB37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0D3757" w14:textId="77777777" w:rsidR="00FB3773" w:rsidRPr="008D53B6" w:rsidRDefault="00FB3773" w:rsidP="00FB37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3B3E745" w14:textId="77777777" w:rsidR="00FB377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8F1C2F" w14:textId="77777777" w:rsidR="00FB3773" w:rsidRPr="00B40D6E" w:rsidRDefault="00FB3773" w:rsidP="00FB3773">
      <w:pPr>
        <w:spacing w:before="120"/>
        <w:rPr>
          <w:sz w:val="28"/>
          <w:szCs w:val="28"/>
        </w:rPr>
      </w:pPr>
      <w:r w:rsidRPr="00B40D6E">
        <w:rPr>
          <w:sz w:val="28"/>
          <w:szCs w:val="28"/>
        </w:rPr>
        <w:t>Комитет по внутреннему транспорту</w:t>
      </w:r>
    </w:p>
    <w:p w14:paraId="0F392586" w14:textId="77777777" w:rsidR="00FB3773" w:rsidRPr="00B40D6E" w:rsidRDefault="00FB3773" w:rsidP="00FB3773">
      <w:pPr>
        <w:spacing w:before="120"/>
        <w:rPr>
          <w:rFonts w:eastAsiaTheme="minorEastAsia"/>
          <w:b/>
          <w:sz w:val="24"/>
          <w:szCs w:val="24"/>
        </w:rPr>
      </w:pPr>
      <w:r w:rsidRPr="00B40D6E">
        <w:rPr>
          <w:b/>
          <w:bCs/>
          <w:sz w:val="24"/>
          <w:szCs w:val="24"/>
        </w:rPr>
        <w:t>Рабочая группа по перевозкам опасных грузов</w:t>
      </w:r>
    </w:p>
    <w:p w14:paraId="1E612F1E" w14:textId="6C0AA3B8" w:rsidR="00FB3773" w:rsidRPr="002B1044" w:rsidRDefault="00FB3773" w:rsidP="00FB3773">
      <w:pPr>
        <w:spacing w:before="120"/>
        <w:rPr>
          <w:rFonts w:eastAsiaTheme="minorEastAsia"/>
          <w:b/>
        </w:rPr>
      </w:pPr>
      <w:r w:rsidRPr="002B1044">
        <w:rPr>
          <w:b/>
          <w:bCs/>
        </w:rPr>
        <w:t xml:space="preserve">Совместное совещание экспертов по Правилам, </w:t>
      </w:r>
      <w:r w:rsidR="00B40D6E">
        <w:rPr>
          <w:b/>
          <w:bCs/>
        </w:rPr>
        <w:br/>
      </w:r>
      <w:r w:rsidRPr="002B1044">
        <w:rPr>
          <w:b/>
          <w:bCs/>
        </w:rPr>
        <w:t xml:space="preserve">прилагаемым к Европейскому соглашению </w:t>
      </w:r>
      <w:r w:rsidR="00B40D6E">
        <w:rPr>
          <w:b/>
          <w:bCs/>
        </w:rPr>
        <w:br/>
      </w:r>
      <w:r w:rsidRPr="002B1044">
        <w:rPr>
          <w:b/>
          <w:bCs/>
        </w:rPr>
        <w:t xml:space="preserve">о международной перевозке опасных грузов </w:t>
      </w:r>
      <w:r w:rsidR="00B40D6E">
        <w:rPr>
          <w:b/>
          <w:bCs/>
        </w:rPr>
        <w:br/>
      </w:r>
      <w:r w:rsidRPr="002B1044">
        <w:rPr>
          <w:b/>
          <w:bCs/>
        </w:rPr>
        <w:t xml:space="preserve">по внутренним водным путям (ВОПОГ) </w:t>
      </w:r>
      <w:r w:rsidR="00B40D6E">
        <w:rPr>
          <w:b/>
          <w:bCs/>
        </w:rPr>
        <w:br/>
      </w:r>
      <w:r w:rsidRPr="002B1044">
        <w:rPr>
          <w:b/>
          <w:bCs/>
        </w:rPr>
        <w:t>(Комитет по вопросам безопасности ВОПОГ)</w:t>
      </w:r>
    </w:p>
    <w:p w14:paraId="11595689" w14:textId="77777777" w:rsidR="00FB3773" w:rsidRPr="002B1044" w:rsidRDefault="00FB3773" w:rsidP="00FB3773">
      <w:pPr>
        <w:spacing w:before="120"/>
        <w:rPr>
          <w:rFonts w:eastAsiaTheme="minorEastAsia"/>
          <w:b/>
        </w:rPr>
      </w:pPr>
      <w:r w:rsidRPr="002B1044">
        <w:rPr>
          <w:b/>
          <w:bCs/>
        </w:rPr>
        <w:t>Тридцать седьмая сессия</w:t>
      </w:r>
    </w:p>
    <w:p w14:paraId="2B5987EF" w14:textId="77777777" w:rsidR="00FB3773" w:rsidRPr="002B1044" w:rsidRDefault="00FB3773" w:rsidP="00FB3773">
      <w:pPr>
        <w:rPr>
          <w:rFonts w:eastAsiaTheme="minorEastAsia"/>
        </w:rPr>
      </w:pPr>
      <w:r w:rsidRPr="002B1044">
        <w:t>Женева, 24–28 августа 2020 года</w:t>
      </w:r>
    </w:p>
    <w:p w14:paraId="24C09E36" w14:textId="77777777" w:rsidR="00FB3773" w:rsidRPr="002B1044" w:rsidRDefault="00FB3773" w:rsidP="00FB3773">
      <w:pPr>
        <w:rPr>
          <w:rFonts w:eastAsiaTheme="minorEastAsia"/>
        </w:rPr>
      </w:pPr>
      <w:r w:rsidRPr="002B1044">
        <w:t>Пункт 3 c) предварительной повестки дня</w:t>
      </w:r>
    </w:p>
    <w:p w14:paraId="7F003992" w14:textId="3A29DF8F" w:rsidR="00FB3773" w:rsidRPr="002B1044" w:rsidRDefault="00FB3773" w:rsidP="00FB3773">
      <w:pPr>
        <w:rPr>
          <w:rFonts w:eastAsiaTheme="minorEastAsia"/>
          <w:b/>
          <w:bCs/>
        </w:rPr>
      </w:pPr>
      <w:r w:rsidRPr="002B1044">
        <w:rPr>
          <w:b/>
          <w:bCs/>
        </w:rPr>
        <w:t xml:space="preserve">Применение Европейского соглашения о международной </w:t>
      </w:r>
      <w:r w:rsidR="00B40D6E">
        <w:rPr>
          <w:b/>
          <w:bCs/>
        </w:rPr>
        <w:br/>
      </w:r>
      <w:r w:rsidRPr="002B1044">
        <w:rPr>
          <w:b/>
          <w:bCs/>
        </w:rPr>
        <w:t xml:space="preserve">перевозке опасных грузов по внутренним водным </w:t>
      </w:r>
      <w:r w:rsidR="00B40D6E">
        <w:rPr>
          <w:b/>
          <w:bCs/>
        </w:rPr>
        <w:br/>
      </w:r>
      <w:r w:rsidRPr="002B1044">
        <w:rPr>
          <w:b/>
          <w:bCs/>
        </w:rPr>
        <w:t>путям (ВОПОГ):</w:t>
      </w:r>
      <w:r w:rsidR="00B40D6E">
        <w:rPr>
          <w:b/>
          <w:bCs/>
        </w:rPr>
        <w:t xml:space="preserve"> </w:t>
      </w:r>
      <w:r w:rsidRPr="002B1044">
        <w:rPr>
          <w:b/>
          <w:bCs/>
        </w:rPr>
        <w:t xml:space="preserve">толкование Правил, </w:t>
      </w:r>
      <w:r w:rsidR="00B40D6E">
        <w:rPr>
          <w:b/>
          <w:bCs/>
        </w:rPr>
        <w:br/>
      </w:r>
      <w:r w:rsidRPr="002B1044">
        <w:rPr>
          <w:b/>
          <w:bCs/>
        </w:rPr>
        <w:t>прилагаемых к ВОПОГ</w:t>
      </w:r>
    </w:p>
    <w:p w14:paraId="46AD8874" w14:textId="77777777" w:rsidR="00FB3773" w:rsidRPr="002B1044" w:rsidRDefault="00FB3773" w:rsidP="00FB3773">
      <w:pPr>
        <w:pStyle w:val="HChG"/>
      </w:pPr>
      <w:r w:rsidRPr="002B1044">
        <w:tab/>
      </w:r>
      <w:r w:rsidRPr="002B1044">
        <w:tab/>
      </w:r>
      <w:r>
        <w:rPr>
          <w:bCs/>
        </w:rPr>
        <w:t>Призна</w:t>
      </w:r>
      <w:r w:rsidRPr="002B1044">
        <w:rPr>
          <w:bCs/>
        </w:rPr>
        <w:t xml:space="preserve">ние классификационных обществ </w:t>
      </w:r>
      <w:r w:rsidRPr="00626857">
        <w:rPr>
          <w:bCs/>
        </w:rPr>
        <w:t>–</w:t>
      </w:r>
      <w:r w:rsidRPr="002B1044">
        <w:rPr>
          <w:bCs/>
        </w:rPr>
        <w:t xml:space="preserve"> толкование раздела 1.15.1 и п</w:t>
      </w:r>
      <w:r>
        <w:rPr>
          <w:bCs/>
        </w:rPr>
        <w:t xml:space="preserve">ункта </w:t>
      </w:r>
      <w:r w:rsidRPr="002B1044">
        <w:rPr>
          <w:bCs/>
        </w:rPr>
        <w:t>1.15.3.8</w:t>
      </w:r>
    </w:p>
    <w:p w14:paraId="0A58B212" w14:textId="73FC78DC" w:rsidR="00FB3773" w:rsidRDefault="00FB3773" w:rsidP="00FB3773">
      <w:pPr>
        <w:pStyle w:val="H1G"/>
        <w:rPr>
          <w:b w:val="0"/>
          <w:bCs/>
          <w:snapToGrid w:val="0"/>
          <w:sz w:val="20"/>
        </w:rPr>
      </w:pPr>
      <w:r w:rsidRPr="002B1044">
        <w:tab/>
      </w:r>
      <w:r w:rsidRPr="002B1044">
        <w:tab/>
      </w:r>
      <w:r w:rsidRPr="002B1044">
        <w:rPr>
          <w:bCs/>
        </w:rPr>
        <w:t>Передано правительством Франции</w:t>
      </w:r>
      <w:r w:rsidRPr="00B40D6E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="00B40D6E">
        <w:rPr>
          <w:snapToGrid w:val="0"/>
          <w:sz w:val="20"/>
        </w:rPr>
        <w:t xml:space="preserve"> </w:t>
      </w:r>
      <w:r w:rsidRPr="00B40D6E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40D6E" w:rsidRPr="00B40D6E" w14:paraId="30A26BF4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82438C3" w14:textId="77777777" w:rsidR="00B40D6E" w:rsidRPr="00B40D6E" w:rsidRDefault="00B40D6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40D6E">
              <w:rPr>
                <w:rFonts w:cs="Times New Roman"/>
              </w:rPr>
              <w:tab/>
            </w:r>
            <w:r w:rsidRPr="00B40D6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40D6E" w:rsidRPr="00B40D6E" w14:paraId="3E9BCDA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21444AF" w14:textId="33EE5FEA" w:rsidR="00B40D6E" w:rsidRPr="00B40D6E" w:rsidRDefault="00B40D6E" w:rsidP="00B40D6E">
            <w:pPr>
              <w:pStyle w:val="SingleTxtG"/>
              <w:tabs>
                <w:tab w:val="left" w:pos="3645"/>
              </w:tabs>
              <w:ind w:left="3645" w:hanging="2511"/>
            </w:pPr>
            <w:r w:rsidRPr="002B1044"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 w:rsidRPr="002B1044">
              <w:t xml:space="preserve">Для выяснения позиции других государств </w:t>
            </w:r>
            <w:r w:rsidR="0078167E">
              <w:t>–</w:t>
            </w:r>
            <w:r w:rsidRPr="002B1044">
              <w:t xml:space="preserve"> участников ВОПОГ в этом документе изучается ряд возможных толкований или прочтений для различных аспектов главы 1.15 Правил, прилагаемых к ВОПОГ.</w:t>
            </w:r>
          </w:p>
        </w:tc>
      </w:tr>
      <w:tr w:rsidR="00B40D6E" w:rsidRPr="00B40D6E" w14:paraId="27391B6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32395DE" w14:textId="5AE26574" w:rsidR="00B40D6E" w:rsidRPr="00B40D6E" w:rsidRDefault="00B40D6E" w:rsidP="00B40D6E">
            <w:pPr>
              <w:pStyle w:val="SingleTxtG"/>
              <w:tabs>
                <w:tab w:val="left" w:pos="3645"/>
              </w:tabs>
              <w:ind w:left="3645" w:hanging="2511"/>
            </w:pPr>
            <w:r w:rsidRPr="002B1044">
              <w:rPr>
                <w:b/>
                <w:bCs/>
              </w:rPr>
              <w:t>Предлагаемое решение:</w:t>
            </w:r>
            <w:r w:rsidRPr="002B1044">
              <w:tab/>
              <w:t>См. пункт 14.</w:t>
            </w:r>
          </w:p>
        </w:tc>
      </w:tr>
      <w:tr w:rsidR="00B40D6E" w:rsidRPr="00B40D6E" w14:paraId="1043969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03DDC91" w14:textId="163FDD90" w:rsidR="00B40D6E" w:rsidRPr="00B40D6E" w:rsidRDefault="00B40D6E" w:rsidP="00B40D6E">
            <w:pPr>
              <w:pStyle w:val="SingleTxtG"/>
              <w:tabs>
                <w:tab w:val="left" w:pos="3645"/>
              </w:tabs>
              <w:ind w:left="3645" w:hanging="2511"/>
            </w:pPr>
            <w:r w:rsidRPr="002B1044">
              <w:rPr>
                <w:b/>
                <w:bCs/>
              </w:rPr>
              <w:t>Справочные документы:</w:t>
            </w:r>
            <w:r w:rsidRPr="002B1044">
              <w:tab/>
            </w:r>
            <w:r>
              <w:t>О</w:t>
            </w:r>
            <w:r w:rsidRPr="002B1044">
              <w:t>тсутствуют</w:t>
            </w:r>
            <w:r w:rsidR="00C51948">
              <w:t>.</w:t>
            </w:r>
          </w:p>
        </w:tc>
      </w:tr>
      <w:tr w:rsidR="00B40D6E" w:rsidRPr="00B40D6E" w14:paraId="1B47B60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A2C9471" w14:textId="77777777" w:rsidR="00B40D6E" w:rsidRPr="00B40D6E" w:rsidRDefault="00B40D6E" w:rsidP="00850215">
            <w:pPr>
              <w:rPr>
                <w:rFonts w:cs="Times New Roman"/>
              </w:rPr>
            </w:pPr>
          </w:p>
        </w:tc>
      </w:tr>
    </w:tbl>
    <w:p w14:paraId="6CB562F1" w14:textId="77777777" w:rsidR="005D3CDC" w:rsidRDefault="005D3CDC" w:rsidP="00B40D6E">
      <w:pPr>
        <w:rPr>
          <w:lang w:eastAsia="ru-RU"/>
        </w:rPr>
      </w:pPr>
    </w:p>
    <w:p w14:paraId="1D36979D" w14:textId="77777777" w:rsidR="00FB3773" w:rsidRPr="002B1044" w:rsidRDefault="00FB3773" w:rsidP="00FB3773">
      <w:pPr>
        <w:pStyle w:val="HChG"/>
      </w:pPr>
      <w:r w:rsidRPr="002B1044">
        <w:lastRenderedPageBreak/>
        <w:tab/>
      </w:r>
      <w:r w:rsidRPr="002B1044">
        <w:tab/>
      </w:r>
      <w:r w:rsidRPr="002B1044">
        <w:rPr>
          <w:bCs/>
        </w:rPr>
        <w:t>Введение</w:t>
      </w:r>
    </w:p>
    <w:p w14:paraId="52632AF1" w14:textId="06A41289" w:rsidR="00FB3773" w:rsidRPr="002B1044" w:rsidRDefault="00FB3773" w:rsidP="00FB3773">
      <w:pPr>
        <w:pStyle w:val="SingleTxtG"/>
        <w:keepNext/>
        <w:keepLines/>
      </w:pPr>
      <w:r w:rsidRPr="002B1044">
        <w:t>1.</w:t>
      </w:r>
      <w:r w:rsidRPr="002B1044">
        <w:tab/>
        <w:t>Франция считает необходимым уточнить некоторые положения главы 1.15, касающиеся признания классификационных обществ, и с этой целью хотела бы узнать позицию других государств</w:t>
      </w:r>
      <w:r w:rsidR="0078167E">
        <w:t xml:space="preserve"> – </w:t>
      </w:r>
      <w:r w:rsidRPr="002B1044">
        <w:t>участников ВОПОГ и неправительственных организаций.</w:t>
      </w:r>
    </w:p>
    <w:p w14:paraId="41732F46" w14:textId="4430B773" w:rsidR="00FB3773" w:rsidRPr="002B1044" w:rsidRDefault="00FB3773" w:rsidP="00FB3773">
      <w:pPr>
        <w:pStyle w:val="HChG"/>
      </w:pPr>
      <w:r w:rsidRPr="002B1044">
        <w:tab/>
      </w:r>
      <w:r w:rsidRPr="002B1044">
        <w:tab/>
      </w:r>
      <w:r w:rsidRPr="002B1044">
        <w:rPr>
          <w:bCs/>
        </w:rPr>
        <w:t xml:space="preserve">Обсуждение положений раздела 1.15.1 </w:t>
      </w:r>
      <w:r w:rsidR="002024A0">
        <w:rPr>
          <w:bCs/>
        </w:rPr>
        <w:br/>
      </w:r>
      <w:r w:rsidR="0078167E">
        <w:rPr>
          <w:bCs/>
        </w:rPr>
        <w:t>«</w:t>
      </w:r>
      <w:r w:rsidRPr="002B1044">
        <w:rPr>
          <w:bCs/>
        </w:rPr>
        <w:t>Общие положения</w:t>
      </w:r>
      <w:r w:rsidR="0078167E">
        <w:rPr>
          <w:bCs/>
        </w:rPr>
        <w:t>»</w:t>
      </w:r>
      <w:r w:rsidRPr="002B1044">
        <w:rPr>
          <w:bCs/>
        </w:rPr>
        <w:t xml:space="preserve"> Правил, прилагаемых к ВОПОГ</w:t>
      </w:r>
    </w:p>
    <w:p w14:paraId="7AE97475" w14:textId="77777777" w:rsidR="00FB3773" w:rsidRPr="002B1044" w:rsidRDefault="00FB3773" w:rsidP="00FB3773">
      <w:pPr>
        <w:pStyle w:val="SingleTxtG"/>
      </w:pPr>
      <w:r w:rsidRPr="002B1044">
        <w:t>2.</w:t>
      </w:r>
      <w:r w:rsidRPr="002B1044">
        <w:tab/>
        <w:t xml:space="preserve">Первое предложение </w:t>
      </w:r>
      <w:r>
        <w:t>раздела</w:t>
      </w:r>
      <w:r w:rsidRPr="002B1044">
        <w:t xml:space="preserve"> 1.15.1 Правил, прилагаемых к ВОПОГ, сформулировано следующим образом:</w:t>
      </w:r>
    </w:p>
    <w:p w14:paraId="69259926" w14:textId="77777777" w:rsidR="00FB3773" w:rsidRPr="002B1044" w:rsidRDefault="00FB3773" w:rsidP="00FB3773">
      <w:pPr>
        <w:pStyle w:val="SingleTxtG"/>
        <w:ind w:left="1701"/>
        <w:rPr>
          <w:i/>
        </w:rPr>
      </w:pPr>
      <w:r w:rsidRPr="0078167E">
        <w:t>«</w:t>
      </w:r>
      <w:r w:rsidRPr="002B1044">
        <w:rPr>
          <w:b/>
          <w:bCs/>
          <w:i/>
          <w:iCs/>
        </w:rPr>
        <w:t>1.15.1</w:t>
      </w:r>
      <w:r w:rsidRPr="002B1044">
        <w:t xml:space="preserve"> </w:t>
      </w:r>
      <w:r w:rsidRPr="002B1044">
        <w:tab/>
      </w:r>
      <w:r w:rsidRPr="002B1044">
        <w:rPr>
          <w:b/>
          <w:bCs/>
          <w:i/>
          <w:iCs/>
        </w:rPr>
        <w:t>Общие положения</w:t>
      </w:r>
    </w:p>
    <w:p w14:paraId="62712F54" w14:textId="77777777" w:rsidR="00FB3773" w:rsidRPr="002B1044" w:rsidRDefault="00FB3773" w:rsidP="00FB3773">
      <w:pPr>
        <w:pStyle w:val="SingleTxtG"/>
        <w:ind w:left="1701"/>
        <w:rPr>
          <w:i/>
        </w:rPr>
      </w:pPr>
      <w:r w:rsidRPr="002B1044">
        <w:rPr>
          <w:i/>
          <w:iCs/>
        </w:rPr>
        <w:t>В случае заключения международного соглашения, регламентирующего более общие вопросы судоходства по внутренним водным путям и содержащего положения, касающиеся всей сферы деятельности классификационных обществ и их признания, любое положение настоящей главы, противоречащее какому-либо положению такого международного соглашения, автоматически теряет силу в отношениях между Сторонами настоящего Соглашения, ставшими сторонами такого международного соглашения, начиная с даты вступления последнего в силу, и заменяется ipso facto соответствующим положением международного соглашения</w:t>
      </w:r>
      <w:r w:rsidRPr="002B1044">
        <w:t>».</w:t>
      </w:r>
    </w:p>
    <w:p w14:paraId="2B319244" w14:textId="67815387" w:rsidR="00FB3773" w:rsidRPr="002B1044" w:rsidRDefault="00FB3773" w:rsidP="00FB3773">
      <w:pPr>
        <w:pStyle w:val="SingleTxtG"/>
      </w:pPr>
      <w:r w:rsidRPr="002B1044">
        <w:t>3.</w:t>
      </w:r>
      <w:r w:rsidRPr="002B1044">
        <w:tab/>
        <w:t xml:space="preserve">Для 13 государств </w:t>
      </w:r>
      <w:r w:rsidR="00B40D6E">
        <w:t>–</w:t>
      </w:r>
      <w:r w:rsidRPr="002B1044">
        <w:t xml:space="preserve"> членов Европейского союза, являющихся также Договаривающимися сторонами ВОПОГ, такое международное соглашение, </w:t>
      </w:r>
      <w:r w:rsidR="0078167E">
        <w:t>«</w:t>
      </w:r>
      <w:r w:rsidRPr="002B1044">
        <w:t>регламентирующее более общие вопросы судоходства по внутренним водным путям</w:t>
      </w:r>
      <w:r w:rsidR="0078167E">
        <w:t>»</w:t>
      </w:r>
      <w:r w:rsidRPr="002B1044">
        <w:t>, существует, а именно Директива (ЕС) 2016/1629 Европейского парламента и Совета от 14 сентября 2016 года, устанавливающая технические требования к судам внутреннего плавания, вносящая поправки в Директиву 2009/100/EC и отменяющая Директиву 2006/87/ЕС.</w:t>
      </w:r>
    </w:p>
    <w:p w14:paraId="27C511FF" w14:textId="77777777" w:rsidR="00FB3773" w:rsidRPr="002B1044" w:rsidRDefault="00FB3773" w:rsidP="00FB3773">
      <w:pPr>
        <w:pStyle w:val="SingleTxtG"/>
      </w:pPr>
      <w:r w:rsidRPr="002B1044">
        <w:t>4.</w:t>
      </w:r>
      <w:r w:rsidRPr="002B1044">
        <w:tab/>
        <w:t xml:space="preserve">В статье 21 и приложении VI к этой директиве изложены условия признания классификационных обществ. </w:t>
      </w:r>
      <w:r>
        <w:t xml:space="preserve">В приложении </w:t>
      </w:r>
      <w:r w:rsidRPr="002B1044">
        <w:t xml:space="preserve">к настоящему документу </w:t>
      </w:r>
      <w:r>
        <w:t>содержится с</w:t>
      </w:r>
      <w:r w:rsidRPr="002B1044">
        <w:t>равнение положений этой директивы с положениями главы 1.15 ВОПОГ.</w:t>
      </w:r>
    </w:p>
    <w:p w14:paraId="4E502E91" w14:textId="0D9700C6" w:rsidR="00FB3773" w:rsidRPr="002B1044" w:rsidRDefault="00FB3773" w:rsidP="00FB3773">
      <w:pPr>
        <w:pStyle w:val="SingleTxtG"/>
      </w:pPr>
      <w:r w:rsidRPr="002B1044">
        <w:t>5.</w:t>
      </w:r>
      <w:r w:rsidRPr="002B1044">
        <w:tab/>
        <w:t>Такое сравнение показывает наличие много общего между положениями главы</w:t>
      </w:r>
      <w:r w:rsidR="0078167E">
        <w:t> </w:t>
      </w:r>
      <w:r w:rsidRPr="002B1044">
        <w:t xml:space="preserve">1.15 Правил, прилагаемых к ВОПОГ, и положениями Директивы (ЕС) 2016/1629. Однако существуют некоторые весьма значительные различия между </w:t>
      </w:r>
      <w:r>
        <w:t xml:space="preserve">пунктом </w:t>
      </w:r>
      <w:r w:rsidRPr="002B1044">
        <w:t>1.15.3.8 Правил, прилагаемых к ВОПОГ, и</w:t>
      </w:r>
      <w:r>
        <w:t>,</w:t>
      </w:r>
      <w:r w:rsidRPr="002B1044">
        <w:t xml:space="preserve"> </w:t>
      </w:r>
      <w:r>
        <w:t xml:space="preserve">в </w:t>
      </w:r>
      <w:r w:rsidRPr="002B1044">
        <w:t>совокупност</w:t>
      </w:r>
      <w:r>
        <w:t>и,</w:t>
      </w:r>
      <w:r w:rsidRPr="002B1044">
        <w:t xml:space="preserve"> пункт</w:t>
      </w:r>
      <w:r>
        <w:t>ами</w:t>
      </w:r>
      <w:r w:rsidRPr="002B1044">
        <w:t xml:space="preserve"> 10, 11 и 12 приложения VI к Директиве (ЕС) 2016/1629.</w:t>
      </w:r>
    </w:p>
    <w:p w14:paraId="75173CBA" w14:textId="0FFAE07A" w:rsidR="00FB3773" w:rsidRPr="002B1044" w:rsidRDefault="00FB3773" w:rsidP="00FB3773">
      <w:pPr>
        <w:pStyle w:val="SingleTxtG"/>
      </w:pPr>
      <w:r w:rsidRPr="002B1044">
        <w:t>6.</w:t>
      </w:r>
      <w:r w:rsidRPr="002B1044">
        <w:tab/>
        <w:t xml:space="preserve">С учетом приведенной выше формулировки раздела 1.15.1 Франция вынуждена задаться следующими вопросами, которые касаются только 13 государств </w:t>
      </w:r>
      <w:r w:rsidR="00B40D6E">
        <w:t>–</w:t>
      </w:r>
      <w:r w:rsidRPr="002B1044">
        <w:t xml:space="preserve"> членов Европейского союза, являющихся также Договаривающимися сторонами ВОПОГ:</w:t>
      </w:r>
    </w:p>
    <w:p w14:paraId="1781936C" w14:textId="77777777" w:rsidR="00FB3773" w:rsidRPr="002B1044" w:rsidRDefault="00FB3773" w:rsidP="00FB3773">
      <w:pPr>
        <w:pStyle w:val="SingleTxtG"/>
        <w:tabs>
          <w:tab w:val="left" w:pos="2268"/>
        </w:tabs>
        <w:ind w:firstLine="567"/>
      </w:pPr>
      <w:r w:rsidRPr="002B1044">
        <w:t>a)</w:t>
      </w:r>
      <w:r w:rsidRPr="002B1044">
        <w:tab/>
        <w:t xml:space="preserve">можно </w:t>
      </w:r>
      <w:r>
        <w:t xml:space="preserve">ли </w:t>
      </w:r>
      <w:r w:rsidRPr="002B1044">
        <w:t xml:space="preserve">и следует ли заменить положения главы 1.15 Правил, прилагаемых к ВОПОГ, условиями признания классификационных обществ, содержащимися в Директиве (ЕС) 2016/1629? </w:t>
      </w:r>
      <w:r>
        <w:t xml:space="preserve">По </w:t>
      </w:r>
      <w:r w:rsidRPr="002B1044">
        <w:t>логике раздела 1.15.1, ответ мог бы заключаться в том, что положения главы 1.15 должны быть заменены положениями Директивы</w:t>
      </w:r>
      <w:r>
        <w:t>;</w:t>
      </w:r>
    </w:p>
    <w:p w14:paraId="610166C8" w14:textId="3ADC9A22" w:rsidR="00FB3773" w:rsidRDefault="00FB3773" w:rsidP="00FB3773">
      <w:pPr>
        <w:pStyle w:val="SingleTxtG"/>
        <w:tabs>
          <w:tab w:val="left" w:pos="2268"/>
        </w:tabs>
        <w:ind w:firstLine="567"/>
      </w:pPr>
      <w:r w:rsidRPr="002B1044">
        <w:t>b)</w:t>
      </w:r>
      <w:r w:rsidRPr="002B1044">
        <w:tab/>
        <w:t xml:space="preserve">должна ли такая замена (или замещение) привести к тому, чтобы </w:t>
      </w:r>
      <w:r>
        <w:t xml:space="preserve">можно было бы отказаться </w:t>
      </w:r>
      <w:r w:rsidRPr="002B1044">
        <w:t>о</w:t>
      </w:r>
      <w:r>
        <w:t xml:space="preserve">т </w:t>
      </w:r>
      <w:r w:rsidRPr="002B1044">
        <w:t>процедур, услови</w:t>
      </w:r>
      <w:r>
        <w:t>й</w:t>
      </w:r>
      <w:r w:rsidRPr="002B1044">
        <w:t xml:space="preserve"> и критери</w:t>
      </w:r>
      <w:r>
        <w:t>ев</w:t>
      </w:r>
      <w:r w:rsidRPr="002B1044">
        <w:t xml:space="preserve"> </w:t>
      </w:r>
      <w:r>
        <w:t>п</w:t>
      </w:r>
      <w:r w:rsidRPr="002B1044">
        <w:t>р</w:t>
      </w:r>
      <w:r>
        <w:t>изна</w:t>
      </w:r>
      <w:r w:rsidRPr="002B1044">
        <w:t>ния, изложенны</w:t>
      </w:r>
      <w:r>
        <w:t>х</w:t>
      </w:r>
      <w:r w:rsidRPr="002B1044">
        <w:t xml:space="preserve"> в разделах 1.15.2 и 1.15.3 Правил, прилагаемых к ВОПОГ? Опять же, по логике раздела</w:t>
      </w:r>
      <w:r w:rsidR="0078167E">
        <w:t> </w:t>
      </w:r>
      <w:r w:rsidRPr="002B1044">
        <w:t>1.15.1, ответ может быть положительным</w:t>
      </w:r>
      <w:r>
        <w:t>;</w:t>
      </w:r>
    </w:p>
    <w:p w14:paraId="0DD0EA9D" w14:textId="66220F9F" w:rsidR="00FB3773" w:rsidRPr="0034306D" w:rsidRDefault="00FB3773" w:rsidP="00FB3773">
      <w:pPr>
        <w:pStyle w:val="SingleTxtG"/>
        <w:tabs>
          <w:tab w:val="left" w:pos="2268"/>
        </w:tabs>
        <w:ind w:firstLine="567"/>
      </w:pPr>
      <w:r w:rsidRPr="002B1044">
        <w:t>c)</w:t>
      </w:r>
      <w:r w:rsidRPr="002B1044">
        <w:tab/>
      </w:r>
      <w:r>
        <w:t>е</w:t>
      </w:r>
      <w:r w:rsidRPr="002B1044">
        <w:t xml:space="preserve">сли ответ </w:t>
      </w:r>
      <w:r>
        <w:t xml:space="preserve">и на данный вопрос </w:t>
      </w:r>
      <w:r w:rsidRPr="002B1044">
        <w:t>будет положительным, то это может привести, в частности, к тому, что 13 затронутых государств откажутся от концепции классификационного общества, рекомендованной для признания в пункте 1.15.2.3</w:t>
      </w:r>
      <w:r w:rsidR="0034306D" w:rsidRPr="0034306D">
        <w:t>.</w:t>
      </w:r>
    </w:p>
    <w:p w14:paraId="22C5485A" w14:textId="72512A75" w:rsidR="00FB3773" w:rsidRPr="002B1044" w:rsidRDefault="00FB3773" w:rsidP="0034306D">
      <w:pPr>
        <w:pStyle w:val="SingleTxtG"/>
        <w:tabs>
          <w:tab w:val="left" w:pos="2268"/>
        </w:tabs>
        <w:ind w:left="1701" w:right="1140"/>
      </w:pPr>
      <w:bookmarkStart w:id="0" w:name="_GoBack"/>
      <w:bookmarkEnd w:id="0"/>
      <w:r w:rsidRPr="002B1044">
        <w:lastRenderedPageBreak/>
        <w:t>i)</w:t>
      </w:r>
      <w:r w:rsidRPr="002B1044">
        <w:tab/>
      </w:r>
      <w:r w:rsidR="0034306D">
        <w:t>С</w:t>
      </w:r>
      <w:r>
        <w:t xml:space="preserve">огласно такой </w:t>
      </w:r>
      <w:r w:rsidRPr="002B1044">
        <w:t>логик</w:t>
      </w:r>
      <w:r>
        <w:t>е</w:t>
      </w:r>
      <w:r w:rsidRPr="002B1044">
        <w:t>, могло бы одно или несколько из этих 13</w:t>
      </w:r>
      <w:r w:rsidR="00B40D6E">
        <w:t> </w:t>
      </w:r>
      <w:r w:rsidRPr="002B1044">
        <w:t xml:space="preserve">государств </w:t>
      </w:r>
      <w:r w:rsidR="00B40D6E">
        <w:t>–</w:t>
      </w:r>
      <w:r w:rsidRPr="002B1044">
        <w:t xml:space="preserve"> членов Европейского союза, соответственно, признать классификационное общество, которое не фигурирует в списке, составляемом Административным комитетом ВОПОГ?</w:t>
      </w:r>
    </w:p>
    <w:p w14:paraId="05756AD5" w14:textId="3C8F917E" w:rsidR="00FB3773" w:rsidRPr="002B1044" w:rsidRDefault="00FB3773" w:rsidP="00FB3773">
      <w:pPr>
        <w:pStyle w:val="SingleTxtG"/>
        <w:tabs>
          <w:tab w:val="left" w:pos="2268"/>
        </w:tabs>
        <w:ind w:left="1701"/>
      </w:pPr>
      <w:r w:rsidRPr="002B1044">
        <w:t>ii)</w:t>
      </w:r>
      <w:r w:rsidRPr="002B1044">
        <w:tab/>
      </w:r>
      <w:r w:rsidR="0034306D">
        <w:t>М</w:t>
      </w:r>
      <w:r w:rsidRPr="002B1044">
        <w:t>ожно ли считать, что классификационные общества, включенные в список, упомянутый в статье 21</w:t>
      </w:r>
      <w:r w:rsidR="0078167E">
        <w:t xml:space="preserve"> </w:t>
      </w:r>
      <w:r w:rsidRPr="002B1044">
        <w:t xml:space="preserve">(5) Директивы (ЕС) 2016/1629, автоматически уполномочены действовать на территории Европейского </w:t>
      </w:r>
      <w:r w:rsidR="0034306D">
        <w:t>с</w:t>
      </w:r>
      <w:r w:rsidRPr="002B1044">
        <w:t>оюза, в том числе</w:t>
      </w:r>
      <w:r>
        <w:t xml:space="preserve"> на основании</w:t>
      </w:r>
      <w:r w:rsidRPr="002B1044">
        <w:t xml:space="preserve"> ВОПОГ?</w:t>
      </w:r>
    </w:p>
    <w:p w14:paraId="04902175" w14:textId="77777777" w:rsidR="00FB3773" w:rsidRPr="002B1044" w:rsidRDefault="00FB3773" w:rsidP="00FB3773">
      <w:pPr>
        <w:pStyle w:val="HChG"/>
      </w:pPr>
      <w:r w:rsidRPr="002B1044">
        <w:tab/>
      </w:r>
      <w:r w:rsidRPr="002B1044">
        <w:tab/>
      </w:r>
      <w:r w:rsidRPr="002B1044">
        <w:rPr>
          <w:bCs/>
        </w:rPr>
        <w:t>Обсуждение положений пункта 1.15.3.8 Правил, прилагаемых к ВОПОГ</w:t>
      </w:r>
    </w:p>
    <w:p w14:paraId="28604233" w14:textId="7F5EAA9D" w:rsidR="00FB3773" w:rsidRPr="002B1044" w:rsidRDefault="00FB3773" w:rsidP="00FB3773">
      <w:pPr>
        <w:pStyle w:val="SingleTxtG"/>
      </w:pPr>
      <w:r w:rsidRPr="002B1044">
        <w:t>7.</w:t>
      </w:r>
      <w:r w:rsidRPr="002B1044">
        <w:tab/>
        <w:t>Независимо от пунктов 1</w:t>
      </w:r>
      <w:r w:rsidR="003E1AD4">
        <w:t>–</w:t>
      </w:r>
      <w:r w:rsidRPr="002B1044">
        <w:t xml:space="preserve">5 выше, пункт 1.15.3.8 Правил, прилагаемых к ВОПОГ, в его нынешней редакции, оставляет много возможностей для толкования </w:t>
      </w:r>
      <w:r>
        <w:t xml:space="preserve">странами </w:t>
      </w:r>
      <w:r w:rsidRPr="002B1044">
        <w:t xml:space="preserve">и </w:t>
      </w:r>
      <w:r>
        <w:t xml:space="preserve">требует </w:t>
      </w:r>
      <w:r w:rsidRPr="002B1044">
        <w:t>разъяснения его положений</w:t>
      </w:r>
      <w:r>
        <w:t>:</w:t>
      </w:r>
    </w:p>
    <w:p w14:paraId="0FD856F4" w14:textId="54C95340" w:rsidR="00FB3773" w:rsidRPr="002B1044" w:rsidRDefault="00FB3773" w:rsidP="00FB3773">
      <w:pPr>
        <w:pStyle w:val="SingleTxtG"/>
        <w:ind w:left="1701"/>
        <w:rPr>
          <w:i/>
        </w:rPr>
      </w:pPr>
      <w:r w:rsidRPr="003E1AD4">
        <w:t>«</w:t>
      </w:r>
      <w:r w:rsidRPr="002B1044">
        <w:rPr>
          <w:b/>
          <w:bCs/>
          <w:i/>
          <w:iCs/>
        </w:rPr>
        <w:t>1.15.3.8</w:t>
      </w:r>
      <w:r w:rsidRPr="002B1044">
        <w:tab/>
      </w:r>
      <w:r w:rsidRPr="002B1044">
        <w:rPr>
          <w:i/>
          <w:iCs/>
        </w:rPr>
        <w:t xml:space="preserve">Классификационное общество должно разработать, внедрить и поддерживать эффективную внутреннюю систему качества, основанную на соответствующих аспектах международно признанных стандартов качества и удовлетворяющую стандартам EN ISO/IEС 17020:2012 (за исключением пункта 8.1.3) (органы по освидетельствованию) и ISO 9001 или </w:t>
      </w:r>
      <w:r w:rsidR="00B40D6E">
        <w:rPr>
          <w:i/>
          <w:iCs/>
        </w:rPr>
        <w:br/>
      </w:r>
      <w:r w:rsidRPr="002B1044">
        <w:rPr>
          <w:i/>
          <w:iCs/>
        </w:rPr>
        <w:t>EN ISO 9001:2015.</w:t>
      </w:r>
      <w:r w:rsidRPr="002B1044">
        <w:t xml:space="preserve"> </w:t>
      </w:r>
      <w:r w:rsidRPr="002B1044">
        <w:rPr>
          <w:i/>
          <w:iCs/>
        </w:rPr>
        <w:t>Такая система качества классификационного общества подлежит сертификации независимым органом аудиторов, признанным администрацией государства его местонахождения</w:t>
      </w:r>
      <w:r w:rsidRPr="002B1044">
        <w:t>».</w:t>
      </w:r>
    </w:p>
    <w:p w14:paraId="798C797F" w14:textId="2E0EBF2B" w:rsidR="00FB3773" w:rsidRPr="002B1044" w:rsidRDefault="00FB3773" w:rsidP="00FB3773">
      <w:pPr>
        <w:pStyle w:val="SingleTxtG"/>
      </w:pPr>
      <w:r w:rsidRPr="002B1044">
        <w:t>8.</w:t>
      </w:r>
      <w:r w:rsidRPr="002B1044">
        <w:tab/>
        <w:t>Необходимо ли ссылаться на два стандарта (EN ISO/IEC 17020 и ISO 9001 или</w:t>
      </w:r>
      <w:r w:rsidR="003E1AD4">
        <w:t> </w:t>
      </w:r>
      <w:r w:rsidRPr="002B1044">
        <w:t>EN ISO 9001), в то время как требования стандарта ISO 9001 охватываются разделами</w:t>
      </w:r>
      <w:r w:rsidR="003E1AD4">
        <w:t> </w:t>
      </w:r>
      <w:r w:rsidRPr="002B1044">
        <w:t>3</w:t>
      </w:r>
      <w:r w:rsidR="00B40D6E">
        <w:t>–</w:t>
      </w:r>
      <w:r w:rsidRPr="002B1044">
        <w:t>7 EN ISO/IEC 17020?</w:t>
      </w:r>
    </w:p>
    <w:p w14:paraId="1D1DF972" w14:textId="5858DEE3" w:rsidR="00FB3773" w:rsidRPr="002B1044" w:rsidRDefault="00FB3773" w:rsidP="00FB3773">
      <w:pPr>
        <w:pStyle w:val="SingleTxtG"/>
      </w:pPr>
      <w:r w:rsidRPr="002B1044">
        <w:t>9.</w:t>
      </w:r>
      <w:r w:rsidRPr="002B1044">
        <w:tab/>
        <w:t>Согласно приложению А (нормативные положения) стандарта EN ISO/IEC</w:t>
      </w:r>
      <w:r w:rsidR="003E1AD4">
        <w:t> </w:t>
      </w:r>
      <w:r w:rsidRPr="002B1044">
        <w:t>17020, какие типы органов являются классификационными обществами? Франция считает, что классификационные общества должны быть типа А, как это определено в разделе А-1 приложения А к стандарту EN ISO/IEC 17020.</w:t>
      </w:r>
    </w:p>
    <w:p w14:paraId="21F74B14" w14:textId="79F5AE4B" w:rsidR="00FB3773" w:rsidRPr="002B1044" w:rsidRDefault="00FB3773" w:rsidP="00FB3773">
      <w:pPr>
        <w:pStyle w:val="SingleTxtG"/>
      </w:pPr>
      <w:r w:rsidRPr="002B1044">
        <w:t>10.</w:t>
      </w:r>
      <w:r w:rsidRPr="002B1044">
        <w:tab/>
        <w:t xml:space="preserve">Каково значение термина </w:t>
      </w:r>
      <w:r w:rsidR="003E1AD4">
        <w:t>«</w:t>
      </w:r>
      <w:r w:rsidRPr="006F05AE">
        <w:rPr>
          <w:i/>
        </w:rPr>
        <w:t>соответствующие аспекты</w:t>
      </w:r>
      <w:r w:rsidR="003E1AD4">
        <w:t>»</w:t>
      </w:r>
      <w:r w:rsidRPr="002B1044">
        <w:t>? Во Франции, как и во многих других государствах, доказательством соответствия стандарту EN ISO/</w:t>
      </w:r>
      <w:r w:rsidR="003E1AD4">
        <w:br/>
      </w:r>
      <w:r w:rsidRPr="002B1044">
        <w:t xml:space="preserve">IEC 17020, как правило, может служить только аккредитация. Если признается, что доказательство соответствия может быть предоставлено без аккредитации, то, как минимум, должны быть перечислены все </w:t>
      </w:r>
      <w:r w:rsidR="003E1AD4">
        <w:t>«</w:t>
      </w:r>
      <w:r w:rsidRPr="006F05AE">
        <w:rPr>
          <w:i/>
        </w:rPr>
        <w:t>соответствующие аспекты</w:t>
      </w:r>
      <w:r w:rsidR="003E1AD4">
        <w:t>»</w:t>
      </w:r>
      <w:r w:rsidRPr="002B1044">
        <w:t>, а также должны быть сопоставлены соответствующие процессы или процедуры классификационного общества.</w:t>
      </w:r>
    </w:p>
    <w:p w14:paraId="27080EBE" w14:textId="49A9495D" w:rsidR="00FB3773" w:rsidRPr="002B1044" w:rsidRDefault="00FB3773" w:rsidP="00FB3773">
      <w:pPr>
        <w:pStyle w:val="SingleTxtG"/>
      </w:pPr>
      <w:r w:rsidRPr="002B1044">
        <w:t>11.</w:t>
      </w:r>
      <w:r w:rsidRPr="002B1044">
        <w:tab/>
        <w:t>Следует отметить, что в Директиве (ЕС) 2016/1629 (</w:t>
      </w:r>
      <w:r>
        <w:t>п</w:t>
      </w:r>
      <w:r w:rsidRPr="002B1044">
        <w:t xml:space="preserve">риложение VI </w:t>
      </w:r>
      <w:r>
        <w:t>–</w:t>
      </w:r>
      <w:r w:rsidRPr="002B1044">
        <w:t xml:space="preserve"> пункт 11) понятие </w:t>
      </w:r>
      <w:r w:rsidR="003E1AD4">
        <w:t>«</w:t>
      </w:r>
      <w:r w:rsidRPr="0068233E">
        <w:rPr>
          <w:i/>
        </w:rPr>
        <w:t>соответствующие аспекты</w:t>
      </w:r>
      <w:r w:rsidR="003E1AD4">
        <w:t>»</w:t>
      </w:r>
      <w:r w:rsidRPr="002B1044">
        <w:t xml:space="preserve"> заменено на соответствие стандарту EN ISO/</w:t>
      </w:r>
      <w:r w:rsidR="003E1AD4">
        <w:br/>
      </w:r>
      <w:r w:rsidRPr="002B1044">
        <w:t xml:space="preserve">IEC 17020, </w:t>
      </w:r>
      <w:r w:rsidR="003E1AD4">
        <w:t>«</w:t>
      </w:r>
      <w:r w:rsidRPr="0068233E">
        <w:rPr>
          <w:i/>
        </w:rPr>
        <w:t>в толковании требований схемы сертификации качества МАКО</w:t>
      </w:r>
      <w:r w:rsidR="003E1AD4">
        <w:t>»</w:t>
      </w:r>
      <w:r w:rsidRPr="002B1044">
        <w:t>.</w:t>
      </w:r>
    </w:p>
    <w:p w14:paraId="7B2A45A5" w14:textId="1632EB9B" w:rsidR="00FB3773" w:rsidRPr="002B1044" w:rsidRDefault="00FB3773" w:rsidP="00FB3773">
      <w:pPr>
        <w:pStyle w:val="SingleTxtG"/>
      </w:pPr>
      <w:r w:rsidRPr="002B1044">
        <w:t>12.</w:t>
      </w:r>
      <w:r w:rsidRPr="002B1044">
        <w:tab/>
        <w:t xml:space="preserve">Такое толкование приведено в публикации Международной ассоциации классификационных обществ (МАКО) </w:t>
      </w:r>
      <w:r w:rsidR="003E1AD4">
        <w:t>«</w:t>
      </w:r>
      <w:r w:rsidRPr="002B1044">
        <w:t xml:space="preserve">IACS PROCEDURES </w:t>
      </w:r>
      <w:r>
        <w:t>–</w:t>
      </w:r>
      <w:r w:rsidRPr="002B1044">
        <w:t xml:space="preserve"> Volume 3: IACS QUALITY SYSTEM CERTIFICATION SCHEME (QSCS)</w:t>
      </w:r>
      <w:r w:rsidR="003E1AD4">
        <w:t>»</w:t>
      </w:r>
      <w:r w:rsidRPr="002B1044">
        <w:t xml:space="preserve"> (</w:t>
      </w:r>
      <w:r w:rsidR="003E1AD4">
        <w:t>«</w:t>
      </w:r>
      <w:r w:rsidRPr="002B1044">
        <w:t xml:space="preserve">ПРОЦЕДУРЫ МАКО </w:t>
      </w:r>
      <w:r>
        <w:t>–</w:t>
      </w:r>
      <w:r w:rsidRPr="002B1044">
        <w:t xml:space="preserve"> Том 3: СХЕМА СЕРТИФИКАЦИИ СИСТЕМЫ КАЧЕСТВА МАКО (СССК)</w:t>
      </w:r>
      <w:r w:rsidR="003E1AD4">
        <w:t>»</w:t>
      </w:r>
      <w:r w:rsidRPr="002B1044">
        <w:t xml:space="preserve">), доступной по ссылке: </w:t>
      </w:r>
      <w:hyperlink r:id="rId8" w:history="1">
        <w:r w:rsidR="003E1AD4" w:rsidRPr="00AE7FF7">
          <w:rPr>
            <w:rStyle w:val="Hyperlink"/>
            <w:color w:val="000000" w:themeColor="text1"/>
          </w:rPr>
          <w:t>http://www.iacs.org.uk/download/1790</w:t>
        </w:r>
      </w:hyperlink>
      <w:r w:rsidRPr="002B1044">
        <w:t xml:space="preserve">, при этом данная схема сертификации распространяется только </w:t>
      </w:r>
      <w:r>
        <w:t xml:space="preserve">на </w:t>
      </w:r>
      <w:r w:rsidRPr="002B1044">
        <w:t>морские перевозки (</w:t>
      </w:r>
      <w:r>
        <w:t>р</w:t>
      </w:r>
      <w:r w:rsidRPr="002B1044">
        <w:t xml:space="preserve">езолюция ИМО MSC.349(92) </w:t>
      </w:r>
      <w:r w:rsidR="003E1AD4">
        <w:t>–</w:t>
      </w:r>
      <w:r w:rsidRPr="002B1044">
        <w:t xml:space="preserve"> Кодекс РО ИМО, различные требования МАКО и единые толкования и т.</w:t>
      </w:r>
      <w:r w:rsidR="003E1AD4">
        <w:t xml:space="preserve"> </w:t>
      </w:r>
      <w:r w:rsidRPr="002B1044">
        <w:t>д.).</w:t>
      </w:r>
    </w:p>
    <w:p w14:paraId="1FBEB4BE" w14:textId="7B4A64D3" w:rsidR="00FB3773" w:rsidRPr="002B1044" w:rsidRDefault="00FB3773" w:rsidP="00FB3773">
      <w:pPr>
        <w:pStyle w:val="SingleTxtG"/>
      </w:pPr>
      <w:r w:rsidRPr="002B1044">
        <w:t>13.</w:t>
      </w:r>
      <w:r w:rsidRPr="002B1044">
        <w:tab/>
        <w:t xml:space="preserve">Что означает выражение </w:t>
      </w:r>
      <w:r w:rsidR="008C5695">
        <w:t>«</w:t>
      </w:r>
      <w:r w:rsidRPr="00A50B6A">
        <w:rPr>
          <w:i/>
        </w:rPr>
        <w:t>такая система качества классификационного общества подлежит сертификации независимым органом аудиторов, признанным администрацией государства его местонахождения</w:t>
      </w:r>
      <w:r w:rsidR="008C5695">
        <w:t>»</w:t>
      </w:r>
      <w:r w:rsidRPr="002B1044">
        <w:t>?</w:t>
      </w:r>
    </w:p>
    <w:p w14:paraId="7228A2C7" w14:textId="63803613" w:rsidR="00FB3773" w:rsidRPr="002B1044" w:rsidRDefault="00FB3773" w:rsidP="00FB3773">
      <w:pPr>
        <w:pStyle w:val="SingleTxt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left="1134" w:firstLine="567"/>
      </w:pPr>
      <w:r w:rsidRPr="002B1044">
        <w:t xml:space="preserve">Что понимается под </w:t>
      </w:r>
      <w:r w:rsidR="008C5695">
        <w:t>«</w:t>
      </w:r>
      <w:r w:rsidRPr="00A50B6A">
        <w:rPr>
          <w:i/>
        </w:rPr>
        <w:t>соответствующим государством</w:t>
      </w:r>
      <w:r w:rsidR="008C5695">
        <w:t>»</w:t>
      </w:r>
      <w:r w:rsidRPr="002B1044">
        <w:t xml:space="preserve">? Это то государство, в котором находится орган аудиторов? Или это </w:t>
      </w:r>
      <w:r>
        <w:t xml:space="preserve">то </w:t>
      </w:r>
      <w:r w:rsidRPr="002B1044">
        <w:t>государство, в котором действует классификационное общество? Франция склоняется к второму прочтению.</w:t>
      </w:r>
    </w:p>
    <w:p w14:paraId="1BF9B09E" w14:textId="4B5EAFE1" w:rsidR="00FB3773" w:rsidRPr="002B1044" w:rsidRDefault="00FB3773" w:rsidP="00FB3773">
      <w:pPr>
        <w:pStyle w:val="SingleTxtG"/>
        <w:ind w:firstLine="567"/>
      </w:pPr>
      <w:r w:rsidRPr="002B1044">
        <w:lastRenderedPageBreak/>
        <w:t>В связи с этим варианты Правил</w:t>
      </w:r>
      <w:r>
        <w:t>,</w:t>
      </w:r>
      <w:r w:rsidRPr="002B1044">
        <w:t xml:space="preserve"> прилагаемых </w:t>
      </w:r>
      <w:r>
        <w:t xml:space="preserve">к ВОПОГ, </w:t>
      </w:r>
      <w:r w:rsidRPr="002B1044">
        <w:t xml:space="preserve">на французском и английском языках могут пониматься по-разному. Во французском тексте </w:t>
      </w:r>
      <w:r>
        <w:t xml:space="preserve">под </w:t>
      </w:r>
      <w:r w:rsidR="008C5695">
        <w:t>«</w:t>
      </w:r>
      <w:r w:rsidRPr="007017B8">
        <w:rPr>
          <w:i/>
        </w:rPr>
        <w:t>соответствующ</w:t>
      </w:r>
      <w:r>
        <w:rPr>
          <w:i/>
        </w:rPr>
        <w:t>им</w:t>
      </w:r>
      <w:r w:rsidRPr="007017B8">
        <w:rPr>
          <w:i/>
        </w:rPr>
        <w:t xml:space="preserve"> государство</w:t>
      </w:r>
      <w:r>
        <w:rPr>
          <w:i/>
        </w:rPr>
        <w:t>м</w:t>
      </w:r>
      <w:r w:rsidR="008C5695">
        <w:t>»</w:t>
      </w:r>
      <w:r w:rsidRPr="002B1044">
        <w:t xml:space="preserve">, по-видимому, </w:t>
      </w:r>
      <w:r>
        <w:t xml:space="preserve">понимается </w:t>
      </w:r>
      <w:r w:rsidRPr="002B1044">
        <w:t>скорее государство, в</w:t>
      </w:r>
      <w:r w:rsidR="008C5695">
        <w:t> </w:t>
      </w:r>
      <w:r w:rsidRPr="002B1044">
        <w:t>котором находится орган аудиторов (которое необязательно является Договаривающейся стороной ВОПОГ). В английском тексте это могло бы быть государство, в котором находится классификационное общество (Договаривающаяся сторона ВОПОГ), что представляется более целесообразным и в большей степени соответству</w:t>
      </w:r>
      <w:r>
        <w:t>ющим</w:t>
      </w:r>
      <w:r w:rsidRPr="002B1044">
        <w:t xml:space="preserve"> принципам Европейской директивы.</w:t>
      </w:r>
    </w:p>
    <w:p w14:paraId="54F96ED8" w14:textId="6C3AAC93" w:rsidR="00FB3773" w:rsidRPr="002B1044" w:rsidRDefault="00FB3773" w:rsidP="00FB3773">
      <w:pPr>
        <w:pStyle w:val="SingleTxtG"/>
        <w:ind w:firstLine="567"/>
      </w:pPr>
      <w:r w:rsidRPr="002B1044">
        <w:t xml:space="preserve">В Директиве (ЕС) 2016/1629 этот момент изложен яснее, поскольку в ней говорится о </w:t>
      </w:r>
      <w:r w:rsidR="00E24D5B">
        <w:t>«</w:t>
      </w:r>
      <w:r w:rsidRPr="002B1D62">
        <w:rPr>
          <w:i/>
          <w:iCs/>
        </w:rPr>
        <w:t>государстве, в котором классификационное общество учредило свою штаб-квартиру или филиал ..., уполномоченные и компетентные принимать решения и действовать во всех относящихся к его компетенции областях в рамках правил, регулирующих внутреннее судоходство</w:t>
      </w:r>
      <w:r w:rsidR="00E24D5B">
        <w:t>»</w:t>
      </w:r>
      <w:r w:rsidRPr="002B1044">
        <w:t>.</w:t>
      </w:r>
    </w:p>
    <w:p w14:paraId="001E3F52" w14:textId="3F315437" w:rsidR="00FB3773" w:rsidRPr="002B1044" w:rsidRDefault="00FB3773" w:rsidP="00FB3773">
      <w:pPr>
        <w:pStyle w:val="SingleTxt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left="1134" w:firstLine="567"/>
      </w:pPr>
      <w:r w:rsidRPr="002B1044">
        <w:t xml:space="preserve">Что означает термин </w:t>
      </w:r>
      <w:r w:rsidR="00E24D5B">
        <w:t>«</w:t>
      </w:r>
      <w:r w:rsidRPr="00952890">
        <w:rPr>
          <w:i/>
        </w:rPr>
        <w:t>независимый орган аудиторов</w:t>
      </w:r>
      <w:r w:rsidR="00E24D5B">
        <w:t>»</w:t>
      </w:r>
      <w:r w:rsidRPr="002B1044">
        <w:t>? Согласно пункту</w:t>
      </w:r>
      <w:r w:rsidR="00E24D5B">
        <w:t> </w:t>
      </w:r>
      <w:r w:rsidRPr="002B1044">
        <w:t>1.15.3.8 в его нынешней редакции, это понятие независимости, по-видимому, в</w:t>
      </w:r>
      <w:r w:rsidR="00E24D5B">
        <w:t> </w:t>
      </w:r>
      <w:r w:rsidRPr="002B1044">
        <w:t>значительной степени оставлено на усмотрение</w:t>
      </w:r>
      <w:r>
        <w:t xml:space="preserve"> </w:t>
      </w:r>
      <w:r w:rsidRPr="002B1044">
        <w:t xml:space="preserve">каждой Договаривающейся стороны, которая может проявить инициативу в его толковании. Согласно толкованию Франции, под </w:t>
      </w:r>
      <w:r w:rsidR="00E24D5B">
        <w:t>«</w:t>
      </w:r>
      <w:r w:rsidRPr="002775ED">
        <w:rPr>
          <w:i/>
          <w:iCs/>
        </w:rPr>
        <w:t>независимым органом аудиторов</w:t>
      </w:r>
      <w:r w:rsidR="00E24D5B">
        <w:t>»</w:t>
      </w:r>
      <w:r w:rsidRPr="002B1044">
        <w:t xml:space="preserve"> должен пониматься орган аудиторов, признанный в качестве такового аккредитационным органом, например, подписавшим Европейское соглашение об аккредитации (ЕА).</w:t>
      </w:r>
    </w:p>
    <w:p w14:paraId="236FE104" w14:textId="77777777" w:rsidR="00FB3773" w:rsidRPr="002B1044" w:rsidRDefault="00FB3773" w:rsidP="00FB3773">
      <w:pPr>
        <w:pStyle w:val="HChG"/>
      </w:pPr>
      <w:r w:rsidRPr="002B1044">
        <w:tab/>
      </w:r>
      <w:r w:rsidRPr="002B1044">
        <w:tab/>
      </w:r>
      <w:r>
        <w:t>Дальней</w:t>
      </w:r>
      <w:r w:rsidRPr="002B1044">
        <w:rPr>
          <w:bCs/>
        </w:rPr>
        <w:t>шие действия</w:t>
      </w:r>
    </w:p>
    <w:p w14:paraId="16182116" w14:textId="19F2A90D" w:rsidR="00FB3773" w:rsidRPr="002B1044" w:rsidRDefault="00FB3773" w:rsidP="00FB3773">
      <w:pPr>
        <w:pStyle w:val="SingleTxtG"/>
      </w:pPr>
      <w:r w:rsidRPr="002B1044">
        <w:t>14.</w:t>
      </w:r>
      <w:r w:rsidRPr="002B1044">
        <w:tab/>
        <w:t>Как указано во введении к настоящему документу, Франция хотела бы выяснить позицию других государств</w:t>
      </w:r>
      <w:r w:rsidR="00E24D5B">
        <w:t xml:space="preserve"> – </w:t>
      </w:r>
      <w:r w:rsidRPr="002B1044">
        <w:t>участников ВОПОГ, а также позицию неправительственных организаций по вопросам толкования, поднятым в пунктах</w:t>
      </w:r>
      <w:r w:rsidR="00E24D5B">
        <w:t> </w:t>
      </w:r>
      <w:r w:rsidRPr="002B1044">
        <w:t>2</w:t>
      </w:r>
      <w:r w:rsidR="00B40D6E">
        <w:t>–</w:t>
      </w:r>
      <w:r w:rsidRPr="002B1044">
        <w:t>10 выше.</w:t>
      </w:r>
    </w:p>
    <w:p w14:paraId="36BA078F" w14:textId="77777777" w:rsidR="00FB3773" w:rsidRPr="002B1044" w:rsidRDefault="00FB3773" w:rsidP="00FB3773">
      <w:pPr>
        <w:pStyle w:val="SingleTxtG"/>
      </w:pPr>
      <w:r w:rsidRPr="002B1044">
        <w:t>15.</w:t>
      </w:r>
      <w:r w:rsidRPr="002B1044">
        <w:tab/>
        <w:t>Если удастся согласовать разъяснения на основе консенсуса, то можно было бы предусмотреть внесение предложений о поправках к Правилам, прилагаемым к ВОПОГ, на одной из предстоящих сессий Комитета по вопросам безопасности.</w:t>
      </w:r>
    </w:p>
    <w:p w14:paraId="19C0C621" w14:textId="77777777" w:rsidR="00FB3773" w:rsidRPr="002B1044" w:rsidRDefault="00FB3773" w:rsidP="00FB3773">
      <w:pPr>
        <w:pStyle w:val="SingleTxtG"/>
      </w:pPr>
      <w:r w:rsidRPr="002B1044">
        <w:t>16.</w:t>
      </w:r>
      <w:r w:rsidRPr="002B1044">
        <w:tab/>
        <w:t xml:space="preserve">Франция либо самостоятельно, либо в рамках </w:t>
      </w:r>
      <w:r>
        <w:t xml:space="preserve">созданной </w:t>
      </w:r>
      <w:r w:rsidRPr="002B1044">
        <w:t>неофициальной рабочей группы могла бы внести такие предложения о поправках.</w:t>
      </w:r>
    </w:p>
    <w:p w14:paraId="3E902354" w14:textId="77777777" w:rsidR="006A166B" w:rsidRDefault="00FB3773" w:rsidP="00FB3773">
      <w:pPr>
        <w:pStyle w:val="SingleTxtG"/>
        <w:sectPr w:rsidR="006A166B" w:rsidSect="00FB37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 w:rsidRPr="002B1044">
        <w:t>17.</w:t>
      </w:r>
      <w:r w:rsidRPr="002B1044">
        <w:tab/>
        <w:t>Комитету по вопросам безопасности предлагается принять к сведению предложение, содержащееся в пунктах 12 и 13 выше, и принять решение, которое он сочтет целесообразным.</w:t>
      </w:r>
    </w:p>
    <w:p w14:paraId="57AEC77F" w14:textId="77777777" w:rsidR="00B40D6E" w:rsidRPr="002B1044" w:rsidRDefault="00B40D6E" w:rsidP="00B40D6E">
      <w:pPr>
        <w:pStyle w:val="HChG"/>
      </w:pPr>
      <w:r w:rsidRPr="002B1044">
        <w:rPr>
          <w:bCs/>
        </w:rPr>
        <w:lastRenderedPageBreak/>
        <w:t>Приложение</w:t>
      </w:r>
    </w:p>
    <w:p w14:paraId="67283F8E" w14:textId="0D4C0A74" w:rsidR="00B40D6E" w:rsidRPr="002B1044" w:rsidRDefault="00B40D6E" w:rsidP="00B40D6E">
      <w:pPr>
        <w:pStyle w:val="HChG"/>
      </w:pPr>
      <w:r w:rsidRPr="002B1044">
        <w:tab/>
      </w:r>
      <w:r w:rsidRPr="002B1044">
        <w:tab/>
      </w:r>
      <w:r w:rsidRPr="002B1044">
        <w:rPr>
          <w:bCs/>
        </w:rPr>
        <w:t xml:space="preserve">Сравнение положений главы 1.15 Правил, прилагаемых к ВОПОГ, </w:t>
      </w:r>
      <w:r w:rsidR="00E24D5B">
        <w:rPr>
          <w:bCs/>
        </w:rPr>
        <w:br/>
      </w:r>
      <w:r w:rsidRPr="002B1044">
        <w:rPr>
          <w:bCs/>
        </w:rPr>
        <w:t>и Директивы (ЕС) 2016/1629 в отношении признания классификационных обществ</w:t>
      </w:r>
    </w:p>
    <w:tbl>
      <w:tblPr>
        <w:tblStyle w:val="TableGrid"/>
        <w:tblW w:w="14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4619"/>
        <w:gridCol w:w="1254"/>
        <w:gridCol w:w="4359"/>
        <w:gridCol w:w="2329"/>
      </w:tblGrid>
      <w:tr w:rsidR="00B40D6E" w:rsidRPr="00B40D6E" w14:paraId="7A4A404F" w14:textId="77777777" w:rsidTr="0097773D">
        <w:trPr>
          <w:cantSplit/>
          <w:tblHeader/>
        </w:trPr>
        <w:tc>
          <w:tcPr>
            <w:tcW w:w="6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B246C" w14:textId="77777777" w:rsidR="00B40D6E" w:rsidRPr="00E24D5B" w:rsidRDefault="00B40D6E" w:rsidP="00B40D6E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24D5B">
              <w:rPr>
                <w:i/>
                <w:iCs/>
                <w:sz w:val="16"/>
                <w:szCs w:val="16"/>
              </w:rPr>
              <w:t>ВОПОГ 2019 года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51040C" w14:textId="77777777" w:rsidR="00B40D6E" w:rsidRPr="00E24D5B" w:rsidRDefault="00B40D6E" w:rsidP="00B40D6E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24D5B">
              <w:rPr>
                <w:i/>
                <w:iCs/>
                <w:sz w:val="16"/>
                <w:szCs w:val="16"/>
              </w:rPr>
              <w:t>Директива (ЕС) 2016/1629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51EC5" w14:textId="77777777" w:rsidR="00B40D6E" w:rsidRPr="00E24D5B" w:rsidRDefault="00B40D6E" w:rsidP="00B40D6E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24D5B">
              <w:rPr>
                <w:i/>
                <w:iCs/>
                <w:sz w:val="16"/>
                <w:szCs w:val="16"/>
              </w:rPr>
              <w:t>Замечания</w:t>
            </w:r>
          </w:p>
        </w:tc>
      </w:tr>
      <w:tr w:rsidR="00B40D6E" w:rsidRPr="00B40D6E" w14:paraId="13B76F4C" w14:textId="77777777" w:rsidTr="0097773D">
        <w:trPr>
          <w:cantSplit/>
          <w:tblHeader/>
        </w:trPr>
        <w:tc>
          <w:tcPr>
            <w:tcW w:w="615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920140" w14:textId="40ACE9F9" w:rsidR="00B40D6E" w:rsidRPr="00E24D5B" w:rsidRDefault="00B40D6E" w:rsidP="00B40D6E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24D5B">
              <w:rPr>
                <w:i/>
                <w:iCs/>
                <w:sz w:val="16"/>
                <w:szCs w:val="16"/>
              </w:rPr>
              <w:t xml:space="preserve">Глава 1.15 </w:t>
            </w:r>
            <w:r w:rsidR="00E24D5B">
              <w:rPr>
                <w:i/>
                <w:iCs/>
                <w:sz w:val="16"/>
                <w:szCs w:val="16"/>
              </w:rPr>
              <w:br/>
            </w:r>
            <w:r w:rsidRPr="00E24D5B">
              <w:rPr>
                <w:i/>
                <w:iCs/>
                <w:sz w:val="16"/>
                <w:szCs w:val="16"/>
              </w:rPr>
              <w:t>Признание классификационных обществ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46B31E" w14:textId="4498C255" w:rsidR="00B40D6E" w:rsidRPr="00E24D5B" w:rsidRDefault="00B40D6E" w:rsidP="00B40D6E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24D5B">
              <w:rPr>
                <w:i/>
                <w:iCs/>
                <w:sz w:val="16"/>
                <w:szCs w:val="16"/>
              </w:rPr>
              <w:t xml:space="preserve">Глава 21 </w:t>
            </w:r>
            <w:r w:rsidR="00E24D5B">
              <w:rPr>
                <w:i/>
                <w:iCs/>
                <w:sz w:val="16"/>
                <w:szCs w:val="16"/>
              </w:rPr>
              <w:br/>
            </w:r>
            <w:r w:rsidRPr="00E24D5B">
              <w:rPr>
                <w:i/>
                <w:iCs/>
                <w:sz w:val="16"/>
                <w:szCs w:val="16"/>
              </w:rPr>
              <w:t>Признание классификационных обществ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524895" w14:textId="77777777" w:rsidR="00B40D6E" w:rsidRPr="00E24D5B" w:rsidRDefault="00B40D6E" w:rsidP="00B40D6E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B40D6E" w:rsidRPr="00B40D6E" w14:paraId="456DD958" w14:textId="77777777" w:rsidTr="0097773D">
        <w:trPr>
          <w:cantSplit/>
        </w:trPr>
        <w:tc>
          <w:tcPr>
            <w:tcW w:w="61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357120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41D382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21.1</w:t>
            </w:r>
          </w:p>
        </w:tc>
        <w:tc>
          <w:tcPr>
            <w:tcW w:w="43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5BF7DF" w14:textId="5D1B7972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Комиссия принимает исполнительные акты в целях предоставления признания классификационным обществам, отвечающим критериям, перечисленным в приложении VI, или отзыва такого признания в соответствии с процедурой, изложенной в пунктах 2 и</w:t>
            </w:r>
            <w:r w:rsidR="00E24D5B">
              <w:rPr>
                <w:sz w:val="18"/>
                <w:szCs w:val="18"/>
              </w:rPr>
              <w:t> </w:t>
            </w:r>
            <w:r w:rsidRPr="00B40D6E">
              <w:rPr>
                <w:sz w:val="18"/>
                <w:szCs w:val="18"/>
              </w:rPr>
              <w:t>3 настоящей статьи. Эти исполнительные акты принимаются в соответствии с консультативной процедурой, упомянутой в пункте 2 статьи 33.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40F117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3257461C" w14:textId="77777777" w:rsidTr="0097773D">
        <w:trPr>
          <w:cantSplit/>
        </w:trPr>
        <w:tc>
          <w:tcPr>
            <w:tcW w:w="6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7E494" w14:textId="77777777" w:rsidR="00B40D6E" w:rsidRPr="00E24D5B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E24D5B">
              <w:rPr>
                <w:sz w:val="18"/>
                <w:szCs w:val="18"/>
              </w:rPr>
              <w:t>1.15.1 Общие положения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8D2E9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029FB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76D41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7C65F049" w14:textId="77777777" w:rsidTr="0097773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95E70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8C65B" w14:textId="13C13BF9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iCs/>
                <w:sz w:val="18"/>
                <w:szCs w:val="18"/>
              </w:rPr>
              <w:t xml:space="preserve">В случае заключения международного соглашения, регламентирующего более общие вопросы судоходства </w:t>
            </w:r>
            <w:r w:rsidR="00E24D5B">
              <w:rPr>
                <w:iCs/>
                <w:sz w:val="18"/>
                <w:szCs w:val="18"/>
              </w:rPr>
              <w:br/>
            </w:r>
            <w:r w:rsidRPr="00B40D6E">
              <w:rPr>
                <w:iCs/>
                <w:sz w:val="18"/>
                <w:szCs w:val="18"/>
              </w:rPr>
              <w:t xml:space="preserve">по внутренним водным путям и содержащего </w:t>
            </w:r>
            <w:r w:rsidR="00E24D5B">
              <w:rPr>
                <w:iCs/>
                <w:sz w:val="18"/>
                <w:szCs w:val="18"/>
              </w:rPr>
              <w:br/>
            </w:r>
            <w:r w:rsidRPr="00B40D6E">
              <w:rPr>
                <w:iCs/>
                <w:sz w:val="18"/>
                <w:szCs w:val="18"/>
              </w:rPr>
              <w:t>положения, касающиеся всей сферы деятельности классификационных обществ и их признания, любое положение настоящей главы, противоречащее какому-либо положению такого международного соглашения, автоматически теряет силу в отношениях между Сторонами настоящего Соглашения, ставшими сторонами такого международного соглашения, начиная с даты вступления последнего в силу, и заменяется ipso facto соответствующим положением международного соглашения.</w:t>
            </w:r>
            <w:r w:rsidRPr="00B40D6E">
              <w:rPr>
                <w:sz w:val="18"/>
                <w:szCs w:val="18"/>
              </w:rPr>
              <w:t xml:space="preserve"> После вступления в силу такого международного соглашения настоящая глава становится недействительной, если все Стороны настоящего Соглашения стали сторонами международного соглашения.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E5878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4AB0A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2885C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1A6C4C4A" w14:textId="77777777" w:rsidTr="0097773D">
        <w:trPr>
          <w:cantSplit/>
        </w:trPr>
        <w:tc>
          <w:tcPr>
            <w:tcW w:w="6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00991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lastRenderedPageBreak/>
              <w:t>1.15.2 Процедура признания классификационных обществ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BF2FD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C2BB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34C87862" w14:textId="77777777" w:rsidTr="0097773D">
        <w:trPr>
          <w:cantSplit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69E1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1.15.2.1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5C303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Классификационное общество, желающее быть рекомендованным для признания по смыслу настоящего Соглашения, направляет ходатайство о признании в соответствии с положениями настоящей главы в компетентный орган одной из Договаривающихся сторон.</w:t>
            </w:r>
          </w:p>
          <w:p w14:paraId="74F747F7" w14:textId="25E599D6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Классификационное общество подготавливает требующуюся информацию в соответствии с положениями настоящей главы. Оно представляет ее по крайней мере на одном официальном языке государства, где подано ходатайство, и на английском языке. Договаривающаяся сторона препровождает ходатайство Административному комитету за исключением тех случаев, когда, по ее мнению, условия и критерии, предусмотренные в разделе 1.15.3, явно не соблюдены.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0D4ED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21.2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56E3A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Заявление о признании должно быть подано в Комиссию государством-членом, в котором классификационное общество имеет свою штаб-квартиру или филиал, уполномоченные выдавать свидетельства, подтверждающие, что суда соответствуют требованиям, указанным в приложениях II и V в соответствии с настоящей директивой. Данное заявление должно сопровождаться всей информацией и документами, необходимыми для проверки соответствия критериям признания.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270A7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25FC4F5B" w14:textId="77777777" w:rsidTr="0097773D">
        <w:trPr>
          <w:cantSplit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F068C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1.15.2.2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CC28" w14:textId="744B5DE3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 xml:space="preserve">Административный комитет назначает комитет экспертов. Состав и правила процедуры комитета экспертов определяются Административным комитетом. Комитет экспертов рассматривает ходатайство, определяет, удовлетворяет ли классификационное общество критериям, предусмотренным в разделе 1.15.3, и в </w:t>
            </w:r>
            <w:r w:rsidR="00374B4E">
              <w:rPr>
                <w:sz w:val="18"/>
                <w:szCs w:val="18"/>
              </w:rPr>
              <w:br/>
            </w:r>
            <w:r w:rsidRPr="00B40D6E">
              <w:rPr>
                <w:sz w:val="18"/>
                <w:szCs w:val="18"/>
              </w:rPr>
              <w:t>течение шести месяцев выносит рекомендацию Административному комитету.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6BCDA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B205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518FC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34E96A74" w14:textId="77777777" w:rsidTr="0097773D">
        <w:trPr>
          <w:cantSplit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D230C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1.15.2.3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66267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После ознакомления с докладом экспертов Административный комитет в соответствии с процедурой, предусмотренной в пункте 7 с) статьи 17, принимает в течение срока, не превышающего одного года, решение о том, рекомендовать ли Договаривающимся сторонам признать соответствующее классификационное общество. Административный комитет составляет список классификационных обществ, рекомендованных для признания Договаривающимися сторонами.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A063F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E9041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0E0B5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5DC3194F" w14:textId="77777777" w:rsidTr="0097773D"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5B0CA" w14:textId="77777777" w:rsidR="00B40D6E" w:rsidRPr="00B40D6E" w:rsidRDefault="00B40D6E" w:rsidP="00B40D6E">
            <w:pPr>
              <w:spacing w:before="40" w:after="120"/>
              <w:ind w:right="115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lastRenderedPageBreak/>
              <w:t>1.15.2.4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C2E9D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Каждая Договаривающаяся сторона может принять решение о признании или непризнании соответствующих классификационных обществ только на основе списка, упомянутого в пункте 1.15.2.3. Она сообщает о своем решении Административному комитету и другим Договаривающимся сторонам.</w:t>
            </w:r>
          </w:p>
          <w:p w14:paraId="0B153958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Секретариат Административного комитета обновляет список признанных Договаривающимися сторонами классификационных обществ.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5A58F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21.4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D2874" w14:textId="49DBFF8F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Классификационные общества, которые не позднее 6</w:t>
            </w:r>
            <w:r w:rsidR="00374B4E">
              <w:rPr>
                <w:sz w:val="18"/>
                <w:szCs w:val="18"/>
              </w:rPr>
              <w:t> </w:t>
            </w:r>
            <w:r w:rsidRPr="00B40D6E">
              <w:rPr>
                <w:sz w:val="18"/>
                <w:szCs w:val="18"/>
              </w:rPr>
              <w:t>октября 2016 года получили признание в соответствии с Директивой 2006/87/EC, сохраняют это признание.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5CB3F" w14:textId="2AFB4987" w:rsidR="00B40D6E" w:rsidRPr="00B40D6E" w:rsidRDefault="00B40D6E" w:rsidP="00B40D6E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В этих двух текстах фигурируют весьма схожие понятия.</w:t>
            </w:r>
          </w:p>
        </w:tc>
      </w:tr>
      <w:tr w:rsidR="00B40D6E" w:rsidRPr="00B40D6E" w14:paraId="12471B69" w14:textId="77777777" w:rsidTr="0097773D">
        <w:tc>
          <w:tcPr>
            <w:tcW w:w="1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EDB58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6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18B2B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4E668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21.5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8124E" w14:textId="17E7F881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Начиная с 7 октября 2017 года Комиссия публикует на соответствующем веб-сайте перечень классификационных обществ, признанных в соответствии с настоящей статьей, и постоянно обновляет этот перечень. Государства-члены сообщают Комиссии о любых изменениях в названиях или адресах классификационных обществ, в отношении которых они направили заявление о признании.</w:t>
            </w:r>
          </w:p>
        </w:tc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2EAD1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75EDDA8B" w14:textId="77777777" w:rsidTr="0097773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498F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1.15.2.5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9D88E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Если какая-либо Договаривающаяся сторона считает, что то или иное признанное классификационное общество более не удовлетворяет условиям и критериям, установленным в разделе 1.15.3, она может представить в Административный комитет предложение о его исключении из списка обществ, рекомендованных для признания. Такое предложение должно подкрепляться убедительными доказательствами несоблюдения установленных условий и критериев.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57EC1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21.3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C6A4F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Любое государство-член, считающее, что классификационное общество более не отвечает критериям, изложенным в приложении VI, может обратиться в Комиссию с заявлением об отмене признания. К такому заявлению прилагают сопроводительные документы.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73B62" w14:textId="77777777" w:rsidR="00B40D6E" w:rsidRPr="00B40D6E" w:rsidRDefault="00B40D6E" w:rsidP="00B40D6E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В этих двух текстах фигурируют весьма схожие понятия.</w:t>
            </w:r>
          </w:p>
        </w:tc>
      </w:tr>
      <w:tr w:rsidR="00B40D6E" w:rsidRPr="00B40D6E" w14:paraId="59ED54E4" w14:textId="77777777" w:rsidTr="0097773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5EC53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1.15.2.6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8004C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Административный комитет учреждает новый комитет экспертов в соответствии с процедурой, изложенной в пункте 1.15.2.2, который должен в течение шести месяцев представить доклад Административному комитету. Комитет экспертов информирует соответствующее классификационное общество о своих выводах и предлагает ему представить по ним свои замечания.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03CC5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8579E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5FA3B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B40D6E" w14:paraId="5F3BFC40" w14:textId="77777777" w:rsidTr="0097773D"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DE9629" w14:textId="77777777" w:rsidR="00B40D6E" w:rsidRPr="00B40D6E" w:rsidRDefault="00B40D6E" w:rsidP="00514C18">
            <w:pPr>
              <w:pageBreakBefore/>
              <w:spacing w:before="40" w:after="120"/>
              <w:ind w:right="115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lastRenderedPageBreak/>
              <w:t>1.15.2.7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334283" w14:textId="77777777" w:rsidR="00B40D6E" w:rsidRPr="00B40D6E" w:rsidRDefault="00B40D6E" w:rsidP="00514C18">
            <w:pPr>
              <w:pageBreakBefore/>
              <w:spacing w:before="40" w:after="120"/>
              <w:ind w:right="115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Административный комитет может в случае несоблюдения условий и критериев, установленных в разделе 1.15.3, принять решение предоставить соответствующему классификационному обществу возможность представить план по устранению выявленного(ых) недостатка(ов) в течение шести месяцев и недопущению его (их) повторения в будущем или в соответствии с пунктом 7 с) статьи 17 принять решение об исключении названия соответствующего общества из списка обществ, рекомендованных для признания.</w:t>
            </w:r>
          </w:p>
          <w:p w14:paraId="278B8E75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40D6E">
              <w:rPr>
                <w:sz w:val="18"/>
                <w:szCs w:val="18"/>
              </w:rPr>
              <w:t>В таком случае соответствующее общество немедленно уведомляется об этом. Административный комитет уведомляет все Договаривающиеся стороны о том, что данное классификационное общество более не удовлетворяет требованиям, чтобы действовать в качестве классификационного общества в рамках настоящего Соглашения, и предлагает им принять необходимые меры, с тем чтобы и впредь обеспечить соответствие требованиям настоящего Соглашения.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E4EF0E" w14:textId="77777777" w:rsidR="00B40D6E" w:rsidRPr="00B40D6E" w:rsidRDefault="00B40D6E" w:rsidP="00B40D6E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B3A9AC" w14:textId="77777777" w:rsidR="00B40D6E" w:rsidRPr="00B40D6E" w:rsidRDefault="00B40D6E" w:rsidP="00B40D6E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813787" w14:textId="77777777" w:rsidR="00B40D6E" w:rsidRPr="00B40D6E" w:rsidRDefault="00B40D6E" w:rsidP="00B40D6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</w:tbl>
    <w:p w14:paraId="5B447FF7" w14:textId="77777777" w:rsidR="00B40D6E" w:rsidRPr="002B1044" w:rsidRDefault="00B40D6E" w:rsidP="00B40D6E">
      <w:pPr>
        <w:suppressAutoHyphens w:val="0"/>
        <w:spacing w:after="200" w:line="276" w:lineRule="auto"/>
      </w:pPr>
      <w:r w:rsidRPr="002B1044">
        <w:br w:type="page"/>
      </w:r>
    </w:p>
    <w:tbl>
      <w:tblPr>
        <w:tblStyle w:val="TableGrid"/>
        <w:tblW w:w="14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5058"/>
        <w:gridCol w:w="1395"/>
        <w:gridCol w:w="4359"/>
        <w:gridCol w:w="2329"/>
      </w:tblGrid>
      <w:tr w:rsidR="00B40D6E" w:rsidRPr="002B1044" w14:paraId="26C86CB8" w14:textId="77777777" w:rsidTr="004A1423">
        <w:trPr>
          <w:tblHeader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EE05E3" w14:textId="55793A9C" w:rsidR="00B40D6E" w:rsidRPr="00514C18" w:rsidRDefault="00B40D6E" w:rsidP="004A1423">
            <w:pPr>
              <w:spacing w:before="40" w:after="120"/>
              <w:ind w:right="288"/>
              <w:jc w:val="center"/>
              <w:rPr>
                <w:i/>
                <w:iCs/>
                <w:sz w:val="16"/>
                <w:szCs w:val="16"/>
              </w:rPr>
            </w:pPr>
            <w:r w:rsidRPr="00514C18">
              <w:rPr>
                <w:i/>
                <w:iCs/>
                <w:sz w:val="16"/>
                <w:szCs w:val="16"/>
              </w:rPr>
              <w:lastRenderedPageBreak/>
              <w:t xml:space="preserve">1.15.3 Условия и критерии признания классификационного общества, </w:t>
            </w:r>
            <w:r w:rsidR="00514C18">
              <w:rPr>
                <w:i/>
                <w:iCs/>
                <w:sz w:val="16"/>
                <w:szCs w:val="16"/>
              </w:rPr>
              <w:br/>
            </w:r>
            <w:r w:rsidRPr="00514C18">
              <w:rPr>
                <w:i/>
                <w:iCs/>
                <w:sz w:val="16"/>
                <w:szCs w:val="16"/>
              </w:rPr>
              <w:t>ходатайствующего о признании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64C987" w14:textId="73245FB9" w:rsidR="00B40D6E" w:rsidRPr="00514C18" w:rsidRDefault="00B40D6E" w:rsidP="00514C18">
            <w:pPr>
              <w:spacing w:before="40" w:after="120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514C18">
              <w:rPr>
                <w:i/>
                <w:iCs/>
                <w:sz w:val="16"/>
                <w:szCs w:val="16"/>
              </w:rPr>
              <w:t xml:space="preserve">ПРИЛОЖЕНИЕ VI КЛАССИФИКАЦИОННЫЕ ОБЩЕСТВА </w:t>
            </w:r>
            <w:r w:rsidR="00514C18">
              <w:rPr>
                <w:i/>
                <w:iCs/>
                <w:sz w:val="16"/>
                <w:szCs w:val="16"/>
              </w:rPr>
              <w:br/>
            </w:r>
            <w:r w:rsidRPr="00514C18">
              <w:rPr>
                <w:i/>
                <w:iCs/>
                <w:sz w:val="16"/>
                <w:szCs w:val="16"/>
              </w:rPr>
              <w:t>Критерии признания классификационных обществ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9427D2" w14:textId="77777777" w:rsidR="00B40D6E" w:rsidRPr="00514C18" w:rsidRDefault="00B40D6E" w:rsidP="00514C18">
            <w:pPr>
              <w:spacing w:before="40" w:after="120"/>
              <w:ind w:left="140" w:right="113"/>
              <w:jc w:val="center"/>
              <w:rPr>
                <w:i/>
                <w:iCs/>
                <w:sz w:val="16"/>
                <w:szCs w:val="16"/>
              </w:rPr>
            </w:pPr>
            <w:r w:rsidRPr="00514C18">
              <w:rPr>
                <w:i/>
                <w:iCs/>
                <w:sz w:val="16"/>
                <w:szCs w:val="16"/>
              </w:rPr>
              <w:t>Замечания</w:t>
            </w:r>
          </w:p>
        </w:tc>
      </w:tr>
      <w:tr w:rsidR="00B40D6E" w:rsidRPr="002B1044" w14:paraId="15683FA6" w14:textId="77777777" w:rsidTr="004A1423">
        <w:tc>
          <w:tcPr>
            <w:tcW w:w="60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FFA8FB" w14:textId="77777777" w:rsidR="00B40D6E" w:rsidRPr="00514C18" w:rsidRDefault="00B40D6E" w:rsidP="004A1423">
            <w:pPr>
              <w:spacing w:before="40" w:after="120"/>
              <w:ind w:right="288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общество, ходатайствующее о признании в рамках настоящего Соглашения, должно удовлетворять всем перечисленным ниже условиям и критериям:</w:t>
            </w:r>
          </w:p>
        </w:tc>
        <w:tc>
          <w:tcPr>
            <w:tcW w:w="575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0292BA" w14:textId="77777777" w:rsidR="00B40D6E" w:rsidRPr="00514C18" w:rsidRDefault="00B40D6E" w:rsidP="00514C18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общество, преследующее цель получить признание по смыслу статьи 21 настоящей Директивы, должно отвечать следующим критериям: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C3D8FE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</w:p>
        </w:tc>
      </w:tr>
      <w:tr w:rsidR="00B40D6E" w:rsidRPr="002B1044" w14:paraId="38C03AAD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E7FB2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1.15.3.1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5B8F0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должно быть способно продемонстрировать обширные знания и опыт в области оценки, проектирования и постройки судов внутреннего плавания. Общество должно иметь полный комплекс правил и норм, касающихся проектирования, постройки и периодического осмотра судов. Эти правила и нормы должны публиковаться и постоянно обновляться и совершенствоваться с помощью программ исследований и разработок.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B0E6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pacing w:val="-4"/>
                <w:sz w:val="18"/>
                <w:szCs w:val="18"/>
              </w:rPr>
              <w:t xml:space="preserve">Приложение VI, </w:t>
            </w:r>
            <w:r w:rsidRPr="00514C18">
              <w:rPr>
                <w:sz w:val="18"/>
                <w:szCs w:val="18"/>
              </w:rPr>
              <w:t>пункт 1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15A3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Классификационное общество должно быть способно продемонстрировать обширные знания в области оценки проектирования и постройки судов внутреннего плавания. Классификационное общество должно иметь полный комплекс правил и норм, касающихся проектирования, постройки и периодического осмотра судов внутреннего плавания, в частности, для расчета остойчивости в соответствии с частью 9 Правил, прилагаемых к ВОПОГ, как это указано в приложении II. Эти правила и нормы должны публиковаться, по крайней мере, на английском, немецком, французском </w:t>
            </w:r>
            <w:r w:rsidRPr="004A1423">
              <w:rPr>
                <w:b/>
                <w:bCs/>
                <w:sz w:val="18"/>
                <w:szCs w:val="18"/>
              </w:rPr>
              <w:t>и</w:t>
            </w:r>
            <w:r w:rsidRPr="00514C18">
              <w:rPr>
                <w:b/>
                <w:bCs/>
                <w:sz w:val="18"/>
                <w:szCs w:val="18"/>
              </w:rPr>
              <w:t xml:space="preserve"> </w:t>
            </w:r>
            <w:r w:rsidRPr="00514C18">
              <w:rPr>
                <w:sz w:val="18"/>
                <w:szCs w:val="18"/>
              </w:rPr>
              <w:t>нидерландском языках и постоянно обновляться и совершенствоваться с помощью программ исследований и разработок. Эти правила и нормы не должны противоречить положениям законодательства Союза и действующим международным соглашениям.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A92D9" w14:textId="77777777" w:rsidR="005D3CDC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весьма схожие понятия.</w:t>
            </w:r>
          </w:p>
          <w:p w14:paraId="0374964D" w14:textId="40F64ED2" w:rsidR="005D3CDC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В английском варианте Директивы указаны </w:t>
            </w:r>
            <w:r w:rsidR="004A1423">
              <w:rPr>
                <w:sz w:val="18"/>
                <w:szCs w:val="18"/>
              </w:rPr>
              <w:t>«</w:t>
            </w:r>
            <w:r w:rsidRPr="00514C18">
              <w:rPr>
                <w:sz w:val="18"/>
                <w:szCs w:val="18"/>
              </w:rPr>
              <w:t>Dutch, English, French or German</w:t>
            </w:r>
            <w:r w:rsidR="004A1423">
              <w:rPr>
                <w:sz w:val="18"/>
                <w:szCs w:val="18"/>
              </w:rPr>
              <w:t>»</w:t>
            </w:r>
            <w:r w:rsidRPr="00514C18">
              <w:rPr>
                <w:sz w:val="18"/>
                <w:szCs w:val="18"/>
              </w:rPr>
              <w:t xml:space="preserve"> (</w:t>
            </w:r>
            <w:r w:rsidR="004A1423">
              <w:rPr>
                <w:sz w:val="18"/>
                <w:szCs w:val="18"/>
              </w:rPr>
              <w:t>«</w:t>
            </w:r>
            <w:r w:rsidRPr="00514C18">
              <w:rPr>
                <w:sz w:val="18"/>
                <w:szCs w:val="18"/>
              </w:rPr>
              <w:t>английском, немецком, нидерландском или французском</w:t>
            </w:r>
            <w:r w:rsidR="004A1423">
              <w:rPr>
                <w:sz w:val="18"/>
                <w:szCs w:val="18"/>
              </w:rPr>
              <w:t>»</w:t>
            </w:r>
            <w:r w:rsidRPr="00514C18">
              <w:rPr>
                <w:sz w:val="18"/>
                <w:szCs w:val="18"/>
              </w:rPr>
              <w:t>).</w:t>
            </w:r>
          </w:p>
          <w:p w14:paraId="458920E8" w14:textId="5F3B5D3B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(Вероятно, ошибка в тексте на французском языке).</w:t>
            </w:r>
          </w:p>
        </w:tc>
      </w:tr>
      <w:tr w:rsidR="00B40D6E" w:rsidRPr="002B1044" w14:paraId="21FF95F4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7C2E2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1.15.3.2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2F3D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Регистр судов, классифицированных классификационным обществом, должен публиковаться ежегодно.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D40E1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2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ECC2E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Регистр судов, классифицированных классификационным обществом, должен публиковаться ежегодно.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BF5C0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идентичные понятия.</w:t>
            </w:r>
          </w:p>
        </w:tc>
      </w:tr>
      <w:tr w:rsidR="00B40D6E" w:rsidRPr="002B1044" w14:paraId="2D34D10F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864E4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1.15.3.3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361F5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не должно находиться под контролем собственников судов или судостроителей или других лиц, осуществляющих коммерческую деятельность в области постройки, оборудования, ремонта или эксплуатации судов. Доходы классификационного общества не должны зависеть в значительной степени от какого-либо одного коммерческого предприятия.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1D9C1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3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BB495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– это организация, независимая от любого судовладельца, компании или третьего лица, занимающаяся коммерческой деятельностью в области проектирования, постройки, оборудования, ремонта, эксплуатации или страхования судов. Оборот классификационного общества не должен приходиться на одну компанию.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B6815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идентичные понятия.</w:t>
            </w:r>
          </w:p>
        </w:tc>
      </w:tr>
      <w:tr w:rsidR="00B40D6E" w:rsidRPr="002B1044" w14:paraId="43C416BC" w14:textId="77777777" w:rsidTr="004A1423">
        <w:trPr>
          <w:cantSplit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507B6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lastRenderedPageBreak/>
              <w:t>1.15.3.4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5B41A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Штаб-квартира или любой филиал классификационного общества, уполномоченные и компетентные принимать решения и действовать во всех относящихся к его компетенции областях в рамках правил, регулирующих внутреннее судоходство, должны находиться в одной из Договаривающихся сторон.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AFAE6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4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81EE7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Штаб-квартира или любой филиал классификационного общества, уполномоченные и компетентные принимать решения и действовать во всех относящихся к его компетенции областях в рамках правил, регулирующих внутреннее судоходство, должны находиться в одном из государств-членов.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63320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весьма схожие понятия.</w:t>
            </w:r>
          </w:p>
        </w:tc>
      </w:tr>
      <w:tr w:rsidR="00B40D6E" w:rsidRPr="002B1044" w14:paraId="2720F40C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9160B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1.15.3.5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F857A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Классификационное общество, а также его эксперты должны пользоваться признанным авторитетом в области внутреннего судоходства; эксперты должны быть способны подтвердить свою профессиональную квалификацию.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07F39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5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D88BF" w14:textId="1648F2DE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общество, а также его эксперты должны пользоваться признанным авторитетом в области внутреннего судоходства; эксперты должны быть способны подтвердить свою профессиональную квалификацию. Они должны действовать в рамках ответственности классификационного общества</w:t>
            </w:r>
            <w:r w:rsidR="00B7441B">
              <w:rPr>
                <w:sz w:val="18"/>
                <w:szCs w:val="18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3D576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весьма схожие понятия.</w:t>
            </w:r>
          </w:p>
        </w:tc>
      </w:tr>
      <w:tr w:rsidR="00B40D6E" w:rsidRPr="002B1044" w14:paraId="1BEF575C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F4494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1.15.3.6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6C1E6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должно:</w:t>
            </w:r>
          </w:p>
          <w:p w14:paraId="33B9701E" w14:textId="37B7D29F" w:rsidR="00B40D6E" w:rsidRPr="00514C18" w:rsidRDefault="00A84831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40D6E" w:rsidRPr="00514C18">
              <w:rPr>
                <w:sz w:val="18"/>
                <w:szCs w:val="18"/>
              </w:rPr>
              <w:t xml:space="preserve"> располагать таким числом сотрудников и инженеров для выполнения технических задач по надзору и инспектированию, а также управленческих, вспомогательных и исследовательских задач, которое является соизмеримым с масштабами задач и числом классифицированных судов и, кроме того, достаточным для обновления предписаний и их развития в свете требований качества;</w:t>
            </w:r>
          </w:p>
          <w:p w14:paraId="6C0F0763" w14:textId="09E1FEE2" w:rsidR="00B40D6E" w:rsidRPr="00514C18" w:rsidRDefault="00A84831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40D6E" w:rsidRPr="00514C18">
              <w:rPr>
                <w:sz w:val="18"/>
                <w:szCs w:val="18"/>
              </w:rPr>
              <w:t xml:space="preserve"> иметь экспертов по крайней мере в двух Договаривающихся сторонах.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B4EAA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6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5803D" w14:textId="166612CE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должно иметь в своем распоряжении достаточное число сотрудников, соизмеримое с масштабами задач и числом классифицированных судов, для выполнения технической работы по управлению, поддержке, контролю, обследованию, проведению исследований и для обеспечения непрерывной адаптации потенциала и норм. Оно обеспечивает присутствие инспекторов по крайней мере в одном государстве-члене</w:t>
            </w:r>
            <w:r w:rsidR="00E12316">
              <w:rPr>
                <w:sz w:val="18"/>
                <w:szCs w:val="18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56BA5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весьма схожие понятия.</w:t>
            </w:r>
          </w:p>
        </w:tc>
      </w:tr>
      <w:tr w:rsidR="00B40D6E" w:rsidRPr="002B1044" w14:paraId="5A41D907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723A9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1.15.3.7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FEFEB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должно руководствоваться кодексом этики.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0F4B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7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B9314" w14:textId="20D71518" w:rsidR="00B40D6E" w:rsidRPr="00514C18" w:rsidRDefault="00B40D6E" w:rsidP="002B1D62">
            <w:pPr>
              <w:spacing w:before="40" w:after="120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</w:t>
            </w:r>
            <w:r w:rsidR="00A56644">
              <w:rPr>
                <w:sz w:val="18"/>
                <w:szCs w:val="18"/>
              </w:rPr>
              <w:t> </w:t>
            </w:r>
            <w:r w:rsidRPr="00514C18">
              <w:rPr>
                <w:sz w:val="18"/>
                <w:szCs w:val="18"/>
              </w:rPr>
              <w:t>общество</w:t>
            </w:r>
            <w:r w:rsidR="00A56644">
              <w:rPr>
                <w:sz w:val="18"/>
                <w:szCs w:val="18"/>
              </w:rPr>
              <w:t> </w:t>
            </w:r>
            <w:r w:rsidRPr="00514C18">
              <w:rPr>
                <w:sz w:val="18"/>
                <w:szCs w:val="18"/>
              </w:rPr>
              <w:t>действует</w:t>
            </w:r>
            <w:r w:rsidR="00A56644">
              <w:rPr>
                <w:sz w:val="18"/>
                <w:szCs w:val="18"/>
              </w:rPr>
              <w:t> </w:t>
            </w:r>
            <w:r w:rsidRPr="00514C18">
              <w:rPr>
                <w:sz w:val="18"/>
                <w:szCs w:val="18"/>
              </w:rPr>
              <w:t>в соответствии с принципами кодекса этики.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63025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идентичные понятия.</w:t>
            </w:r>
          </w:p>
        </w:tc>
      </w:tr>
      <w:tr w:rsidR="00B40D6E" w:rsidRPr="002B1044" w14:paraId="3200E400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FB65D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3D8F0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65025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8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D76EE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Управление и руководство классификационным обществом должны осуществляться таким образом, чтобы гарантировать конфиденциальность информации, требуемой государством-членом.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859FC" w14:textId="77777777" w:rsidR="00B40D6E" w:rsidRPr="00514C18" w:rsidRDefault="00B40D6E" w:rsidP="00514C18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2B1044" w14:paraId="54BCE621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7AA77" w14:textId="77777777" w:rsidR="00B40D6E" w:rsidRPr="00514C18" w:rsidRDefault="00B40D6E" w:rsidP="00A56644">
            <w:pPr>
              <w:pageBreakBefore/>
              <w:spacing w:before="40" w:after="120"/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38898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C2899" w14:textId="77777777" w:rsidR="00B40D6E" w:rsidRPr="00514C18" w:rsidRDefault="00B40D6E" w:rsidP="00A56644">
            <w:pPr>
              <w:pageBreakBefore/>
              <w:spacing w:before="40" w:after="120"/>
              <w:ind w:right="115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10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E7FAD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Руководство классификационного общества определяет и документально отражает свою политику и цели в области качества и свою приверженность этим целям, а также обеспечивает понимание, применение и поддержание этой политики на всех уровнях классификационного общества.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4E0B1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Очень близко к общим требованиям стандарта ISO 9001.</w:t>
            </w:r>
          </w:p>
        </w:tc>
      </w:tr>
      <w:tr w:rsidR="00B40D6E" w:rsidRPr="002B1044" w14:paraId="42789C4C" w14:textId="77777777" w:rsidTr="004A1423">
        <w:tc>
          <w:tcPr>
            <w:tcW w:w="9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55554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1.15.3.8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6EEF1" w14:textId="77777777" w:rsidR="005D3CDC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iCs/>
                <w:sz w:val="18"/>
                <w:szCs w:val="18"/>
              </w:rPr>
              <w:t>Классификационное общество должно разработать, внедрить и поддерживать эффективную внутреннюю систему качества, основанную на соответствующих аспектах международно признанных стандартов качества и удовлетворяющую стандартам EN ISO/IEС 17020:2012 (за исключением пункта</w:t>
            </w:r>
            <w:r w:rsidR="00A56644">
              <w:rPr>
                <w:iCs/>
                <w:sz w:val="18"/>
                <w:szCs w:val="18"/>
              </w:rPr>
              <w:t> </w:t>
            </w:r>
            <w:r w:rsidRPr="00514C18">
              <w:rPr>
                <w:iCs/>
                <w:sz w:val="18"/>
                <w:szCs w:val="18"/>
              </w:rPr>
              <w:t>8.1.3) (органы по освидетельствованию) и ISO 9001 или EN</w:t>
            </w:r>
            <w:r w:rsidR="00A56644">
              <w:rPr>
                <w:iCs/>
                <w:sz w:val="18"/>
                <w:szCs w:val="18"/>
              </w:rPr>
              <w:t> </w:t>
            </w:r>
            <w:r w:rsidRPr="00514C18">
              <w:rPr>
                <w:iCs/>
                <w:sz w:val="18"/>
                <w:szCs w:val="18"/>
              </w:rPr>
              <w:t>ISO</w:t>
            </w:r>
            <w:r w:rsidR="00A56644">
              <w:rPr>
                <w:iCs/>
                <w:sz w:val="18"/>
                <w:szCs w:val="18"/>
              </w:rPr>
              <w:t> </w:t>
            </w:r>
            <w:r w:rsidRPr="00514C18">
              <w:rPr>
                <w:iCs/>
                <w:sz w:val="18"/>
                <w:szCs w:val="18"/>
              </w:rPr>
              <w:t>9001:2015.</w:t>
            </w:r>
            <w:r w:rsidRPr="00514C18">
              <w:rPr>
                <w:sz w:val="18"/>
                <w:szCs w:val="18"/>
              </w:rPr>
              <w:t xml:space="preserve"> </w:t>
            </w:r>
            <w:r w:rsidRPr="00514C18">
              <w:rPr>
                <w:iCs/>
                <w:sz w:val="18"/>
                <w:szCs w:val="18"/>
              </w:rPr>
              <w:t>Такая система качества классификационного общества подлежит сертификации независимым органом аудиторов, признанным администрацией государства его местонахождения.</w:t>
            </w:r>
          </w:p>
          <w:p w14:paraId="5D649051" w14:textId="2AB6B0BC" w:rsidR="00B40D6E" w:rsidRPr="00514C18" w:rsidRDefault="00B40D6E" w:rsidP="004A1423">
            <w:pPr>
              <w:spacing w:before="40" w:after="120"/>
              <w:ind w:right="28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14A6A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11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C04A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разрабатывает, внедряет и поддерживает эффективную внутреннюю систему качества, основанную на соответствующих элементах международно признанных стандартов качества и удовлетворяющую стандартам EN ISO/IEC 17020:2004, согласно толкованию требований программы сертификации качества МАКО. Такая система обеспечения качества подлежит сертификации независимым органом, признанным администрацией государства, в котором классификационное общество создало свою штаб-квартиру или филиал, как указано в пункте 4, и должна, в частности, гарантировать следующее:</w:t>
            </w:r>
          </w:p>
          <w:p w14:paraId="0E2DB36C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a) </w:t>
            </w:r>
            <w:r w:rsidRPr="00514C18">
              <w:rPr>
                <w:sz w:val="18"/>
                <w:szCs w:val="18"/>
              </w:rPr>
              <w:tab/>
              <w:t>устанавливаются и поддерживаются на систематической основе правила и положения классификационного общества,</w:t>
            </w:r>
          </w:p>
          <w:p w14:paraId="0A48F63A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b) </w:t>
            </w:r>
            <w:r w:rsidRPr="00514C18">
              <w:rPr>
                <w:sz w:val="18"/>
                <w:szCs w:val="18"/>
              </w:rPr>
              <w:tab/>
              <w:t>соблюдаются правила и положения классификационного общества,</w:t>
            </w:r>
          </w:p>
          <w:p w14:paraId="2C1AC731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c) </w:t>
            </w:r>
            <w:r w:rsidRPr="00514C18">
              <w:rPr>
                <w:sz w:val="18"/>
                <w:szCs w:val="18"/>
              </w:rPr>
              <w:tab/>
              <w:t>соблюдаются установленные законом трудовые нормы, на которые уполномочено классификационное общество,</w:t>
            </w:r>
          </w:p>
          <w:p w14:paraId="1A587E84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d) </w:t>
            </w:r>
            <w:r w:rsidRPr="00514C18">
              <w:rPr>
                <w:sz w:val="18"/>
                <w:szCs w:val="18"/>
              </w:rPr>
              <w:tab/>
              <w:t>определяются и документируются обязанности, полномочия и взаимоотношения между сотрудниками, чья работа влияет на качество услуг, предоставляемых классификационным обществом,</w:t>
            </w:r>
          </w:p>
          <w:p w14:paraId="4FFA4E04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e) </w:t>
            </w:r>
            <w:r w:rsidRPr="00514C18">
              <w:rPr>
                <w:sz w:val="18"/>
                <w:szCs w:val="18"/>
              </w:rPr>
              <w:tab/>
              <w:t>все работы выполняются под контролем,</w:t>
            </w:r>
          </w:p>
          <w:p w14:paraId="508FD4E8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lastRenderedPageBreak/>
              <w:t xml:space="preserve">f) </w:t>
            </w:r>
            <w:r w:rsidRPr="00514C18">
              <w:rPr>
                <w:sz w:val="18"/>
                <w:szCs w:val="18"/>
              </w:rPr>
              <w:tab/>
              <w:t>создана надзорная система для контроля за принятыми мерами и работой инспекторов, а также технического и административного персонала, непосредственно нанятого классификационным обществом,</w:t>
            </w:r>
          </w:p>
          <w:p w14:paraId="38E79FE0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g) </w:t>
            </w:r>
            <w:r w:rsidRPr="00514C18">
              <w:rPr>
                <w:sz w:val="18"/>
                <w:szCs w:val="18"/>
              </w:rPr>
              <w:tab/>
              <w:t>стандарты основной нормативной работы, на которую уполномочено классификационное общество, применяются или непосредственно контролируются только его собственными инспекторами или собственными инспекторами других признанных классификационных обществ,</w:t>
            </w:r>
          </w:p>
          <w:p w14:paraId="28ED14D1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h) </w:t>
            </w:r>
            <w:r w:rsidRPr="00514C18">
              <w:rPr>
                <w:sz w:val="18"/>
                <w:szCs w:val="18"/>
              </w:rPr>
              <w:tab/>
              <w:t>существует система проверки квалификации инспекторов и их регулярной переподготовки,</w:t>
            </w:r>
          </w:p>
          <w:p w14:paraId="2A44517F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i) </w:t>
            </w:r>
            <w:r w:rsidRPr="00514C18">
              <w:rPr>
                <w:sz w:val="18"/>
                <w:szCs w:val="18"/>
              </w:rPr>
              <w:tab/>
              <w:t>ведется учет, показывающий, что предписанные стандарты соблюдаются в различных областях оказания услуг, и что система качества функционирует эффективно,</w:t>
            </w:r>
          </w:p>
          <w:p w14:paraId="19F73820" w14:textId="77777777" w:rsidR="00B40D6E" w:rsidRPr="00514C18" w:rsidRDefault="00B40D6E" w:rsidP="00514C18">
            <w:pPr>
              <w:tabs>
                <w:tab w:val="left" w:pos="536"/>
              </w:tabs>
              <w:spacing w:before="40" w:after="120"/>
              <w:ind w:right="113" w:firstLine="252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 xml:space="preserve">j) </w:t>
            </w:r>
            <w:r w:rsidRPr="00514C18">
              <w:rPr>
                <w:sz w:val="18"/>
                <w:szCs w:val="18"/>
              </w:rPr>
              <w:tab/>
              <w:t>существует общая система запланированных и документально подтвержденных внутренних аудиторских проверок деятельности, связанной с качеством, где бы они ни проводились.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8EFD9" w14:textId="1A3F5526" w:rsidR="005D3CDC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lastRenderedPageBreak/>
              <w:t>Перечень критериев а)</w:t>
            </w:r>
            <w:r w:rsidR="00A56644">
              <w:rPr>
                <w:sz w:val="18"/>
                <w:szCs w:val="18"/>
              </w:rPr>
              <w:t>–</w:t>
            </w:r>
            <w:r w:rsidRPr="00514C18">
              <w:rPr>
                <w:sz w:val="18"/>
                <w:szCs w:val="18"/>
              </w:rPr>
              <w:t xml:space="preserve">j) Директивы охватывает пункты 8.1.1, 8.1.2 и </w:t>
            </w:r>
            <w:r w:rsidR="009E5A6C">
              <w:rPr>
                <w:sz w:val="18"/>
                <w:szCs w:val="18"/>
              </w:rPr>
              <w:br/>
            </w:r>
            <w:r w:rsidRPr="00514C18">
              <w:rPr>
                <w:sz w:val="18"/>
                <w:szCs w:val="18"/>
              </w:rPr>
              <w:t>8.2</w:t>
            </w:r>
            <w:r w:rsidR="00A56644">
              <w:rPr>
                <w:sz w:val="18"/>
                <w:szCs w:val="18"/>
              </w:rPr>
              <w:t>–</w:t>
            </w:r>
            <w:r w:rsidRPr="00514C18">
              <w:rPr>
                <w:sz w:val="18"/>
                <w:szCs w:val="18"/>
              </w:rPr>
              <w:t xml:space="preserve">8.6 стандарта </w:t>
            </w:r>
            <w:r w:rsidR="009E5A6C">
              <w:rPr>
                <w:sz w:val="18"/>
                <w:szCs w:val="18"/>
              </w:rPr>
              <w:br/>
            </w:r>
            <w:r w:rsidRPr="00514C18">
              <w:rPr>
                <w:sz w:val="18"/>
                <w:szCs w:val="18"/>
              </w:rPr>
              <w:t>ISO 17020.</w:t>
            </w:r>
          </w:p>
          <w:p w14:paraId="0D007403" w14:textId="48297ACD" w:rsidR="00A56644" w:rsidRDefault="00B40D6E" w:rsidP="005D3CDC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Основное очевидное различие между этими двумя текстами заключается в том, к чему относится независимый орган аудиторов:</w:t>
            </w:r>
          </w:p>
          <w:p w14:paraId="3AA1C742" w14:textId="3C1A4060" w:rsidR="00B40D6E" w:rsidRPr="00514C18" w:rsidRDefault="005D3CDC" w:rsidP="00A56644">
            <w:pPr>
              <w:spacing w:before="120" w:after="120"/>
              <w:ind w:left="144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40D6E" w:rsidRPr="00514C18">
              <w:rPr>
                <w:sz w:val="18"/>
                <w:szCs w:val="18"/>
              </w:rPr>
              <w:t xml:space="preserve"> к государству органа аудиторов (ОО в ВОПОГ, при этом в английском тексте ВОПОГ существует некоторая неопределенность);</w:t>
            </w:r>
          </w:p>
          <w:p w14:paraId="6B65F422" w14:textId="5A2A11A7" w:rsidR="00B40D6E" w:rsidRPr="00514C18" w:rsidRDefault="005D3CDC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40D6E" w:rsidRPr="00514C18">
              <w:rPr>
                <w:sz w:val="18"/>
                <w:szCs w:val="18"/>
              </w:rPr>
              <w:t xml:space="preserve"> к государству, в котором расположено КО, в тексте Директивы.</w:t>
            </w:r>
          </w:p>
          <w:p w14:paraId="4153AF4B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Текст Директивы представляется более ясным и более последовательным, чем текст ВОПОГ на французском языке.</w:t>
            </w:r>
          </w:p>
        </w:tc>
      </w:tr>
      <w:tr w:rsidR="00B40D6E" w:rsidRPr="002B1044" w14:paraId="225167FA" w14:textId="77777777" w:rsidTr="004A1423">
        <w:tc>
          <w:tcPr>
            <w:tcW w:w="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0F776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23A44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218B9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12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B38C4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Такая система обеспечения качества подлежит сертификации независимым органом, признанным администрацией государства-члена, в котором классификационное общество создало свою штаб-квартиру или филиал, как указано в пункте 4.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D7C97" w14:textId="64EC2FDE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Повторяет пункт 11 приложения VI</w:t>
            </w:r>
            <w:r w:rsidR="00E12316">
              <w:rPr>
                <w:sz w:val="18"/>
                <w:szCs w:val="18"/>
              </w:rPr>
              <w:t>.</w:t>
            </w:r>
          </w:p>
        </w:tc>
      </w:tr>
      <w:tr w:rsidR="00B40D6E" w:rsidRPr="00514C18" w14:paraId="477D79F1" w14:textId="77777777" w:rsidTr="004A1423">
        <w:trPr>
          <w:gridAfter w:val="2"/>
          <w:wAfter w:w="6688" w:type="dxa"/>
        </w:trPr>
        <w:tc>
          <w:tcPr>
            <w:tcW w:w="6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EA15C" w14:textId="4605EF2D" w:rsidR="00B40D6E" w:rsidRPr="00514C18" w:rsidRDefault="00B40D6E" w:rsidP="004A1423">
            <w:pPr>
              <w:pageBreakBefore/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lastRenderedPageBreak/>
              <w:t>1.15.4 Обязанности рекомендованных классификационных обществ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12175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B40D6E" w:rsidRPr="002B1044" w14:paraId="5B0D0E7D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F6BB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1.15.4.1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53827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Рекомендованные классификационные общества обязуются сотрудничать между собой в целях обеспечения эквивалентности с точки зрения уровня безопасности используемых ими технических стандартов, имеющих отношение к применению положений настоящего Соглашения.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8104C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14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63588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обязуется проводить регулярные консультации с классификационными обществами, уже получившими признание, с тем чтобы обеспечить эквивалентность своих технических стандартов и их применения, а также предоставить представителям государства-члена и другим заинтересованным сторонам возможность участвовать в разработке его правил и положений.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0A169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весьма схожие понятия.</w:t>
            </w:r>
          </w:p>
        </w:tc>
      </w:tr>
      <w:tr w:rsidR="00B40D6E" w:rsidRPr="002B1044" w14:paraId="03959997" w14:textId="77777777" w:rsidTr="004A1423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1A6FB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1.15.4.2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FAF4B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Они обмениваются опытом на совместных совещаниях по меньшей мере один раз в год и ежегодно отчитываются перед Комитетом по вопросам безопасности. Секретариат Комитета по вопросам безопасности информируется о проводимых совещаниях. Договаривающимся сторонам будет предоставляться возможность участвовать в этих совещаниях в качестве наблюдателей.</w:t>
            </w:r>
          </w:p>
        </w:tc>
        <w:tc>
          <w:tcPr>
            <w:tcW w:w="13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4AE5C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1B84B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7E9EB" w14:textId="77777777" w:rsidR="00B40D6E" w:rsidRPr="00514C18" w:rsidRDefault="00B40D6E" w:rsidP="00514C18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  <w:tr w:rsidR="00B40D6E" w:rsidRPr="002B1044" w14:paraId="3294F884" w14:textId="77777777" w:rsidTr="004A1423">
        <w:trPr>
          <w:cantSplit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31F8B2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1.15.4.3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1E790B" w14:textId="758472D5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Рекомендованные классификационные общества обязуются применять существующие и будущие положения настоящего Соглашения с учетом даты их вступления в силу. По</w:t>
            </w:r>
            <w:r w:rsidR="005D3CDC">
              <w:rPr>
                <w:sz w:val="18"/>
                <w:szCs w:val="18"/>
              </w:rPr>
              <w:t> </w:t>
            </w:r>
            <w:r w:rsidRPr="00514C18">
              <w:rPr>
                <w:sz w:val="18"/>
                <w:szCs w:val="18"/>
              </w:rPr>
              <w:t>требованию компетентного органа рекомендованные классификационные общества предоставляют все соответствующие сведения об их технических предписаниях.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14:paraId="29164D33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13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14:paraId="579C6BD4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обязуется адаптировать свои правила с учетом соответствующих директив Союза и предоставлять всю необходимую информацию Комиссии в соответствующие сроки.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E176BD" w14:textId="77777777" w:rsidR="00B40D6E" w:rsidRPr="00514C18" w:rsidRDefault="00B40D6E" w:rsidP="00514C18">
            <w:pPr>
              <w:spacing w:before="40" w:after="120"/>
              <w:ind w:left="140" w:right="113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В этих двух текстах фигурируют весьма схожие понятия.</w:t>
            </w:r>
          </w:p>
        </w:tc>
      </w:tr>
      <w:tr w:rsidR="00B40D6E" w:rsidRPr="002B1044" w14:paraId="45F4E9AD" w14:textId="77777777" w:rsidTr="004A1423">
        <w:tc>
          <w:tcPr>
            <w:tcW w:w="95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0EC136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505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17059E" w14:textId="77777777" w:rsidR="00B40D6E" w:rsidRPr="00514C18" w:rsidRDefault="00B40D6E" w:rsidP="004A1423">
            <w:pPr>
              <w:spacing w:before="40" w:after="120"/>
              <w:ind w:right="288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</w:tcPr>
          <w:p w14:paraId="533F3F6F" w14:textId="77777777" w:rsidR="00B40D6E" w:rsidRPr="00514C18" w:rsidRDefault="00B40D6E" w:rsidP="00514C18">
            <w:pPr>
              <w:spacing w:before="40" w:after="120"/>
              <w:ind w:right="113"/>
              <w:jc w:val="center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Приложение VI, пункт 9</w:t>
            </w:r>
          </w:p>
        </w:tc>
        <w:tc>
          <w:tcPr>
            <w:tcW w:w="4359" w:type="dxa"/>
            <w:tcBorders>
              <w:bottom w:val="single" w:sz="12" w:space="0" w:color="auto"/>
            </w:tcBorders>
            <w:shd w:val="clear" w:color="auto" w:fill="auto"/>
          </w:tcPr>
          <w:p w14:paraId="3C7178A4" w14:textId="77777777" w:rsidR="00B40D6E" w:rsidRPr="00514C18" w:rsidRDefault="00B40D6E" w:rsidP="00514C18">
            <w:pPr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514C18">
              <w:rPr>
                <w:sz w:val="18"/>
                <w:szCs w:val="18"/>
              </w:rPr>
              <w:t>Классификационное общество обязуется предоставлять любую полезную информацию государству-члену.</w:t>
            </w:r>
          </w:p>
        </w:tc>
        <w:tc>
          <w:tcPr>
            <w:tcW w:w="232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82DF3F5" w14:textId="77777777" w:rsidR="00B40D6E" w:rsidRPr="00514C18" w:rsidRDefault="00B40D6E" w:rsidP="00514C18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</w:tr>
    </w:tbl>
    <w:p w14:paraId="713555A6" w14:textId="37D734CE" w:rsidR="00FB3773" w:rsidRPr="006A166B" w:rsidRDefault="00B40D6E" w:rsidP="00B40D6E">
      <w:pPr>
        <w:suppressAutoHyphens w:val="0"/>
        <w:spacing w:before="240" w:line="240" w:lineRule="auto"/>
        <w:jc w:val="center"/>
        <w:rPr>
          <w:rFonts w:eastAsia="Times New Roman" w:cs="Times New Roman"/>
          <w:szCs w:val="20"/>
        </w:rPr>
      </w:pPr>
      <w:r w:rsidRPr="00B40D6E">
        <w:rPr>
          <w:u w:val="single"/>
        </w:rPr>
        <w:tab/>
      </w:r>
      <w:r w:rsidRPr="00B40D6E">
        <w:rPr>
          <w:u w:val="single"/>
        </w:rPr>
        <w:tab/>
      </w:r>
      <w:r w:rsidRPr="00B40D6E">
        <w:rPr>
          <w:u w:val="single"/>
        </w:rPr>
        <w:tab/>
      </w:r>
    </w:p>
    <w:sectPr w:rsidR="00FB3773" w:rsidRPr="006A166B" w:rsidSect="006A166B">
      <w:headerReference w:type="even" r:id="rId15"/>
      <w:headerReference w:type="default" r:id="rId16"/>
      <w:footerReference w:type="even" r:id="rId17"/>
      <w:footerReference w:type="default" r:id="rId18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E554" w14:textId="77777777" w:rsidR="00CC22CB" w:rsidRPr="00A312BC" w:rsidRDefault="00CC22CB" w:rsidP="00A312BC"/>
  </w:endnote>
  <w:endnote w:type="continuationSeparator" w:id="0">
    <w:p w14:paraId="71FB1F4F" w14:textId="77777777" w:rsidR="00CC22CB" w:rsidRPr="00A312BC" w:rsidRDefault="00CC22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91F2" w14:textId="77777777" w:rsidR="00FB3773" w:rsidRPr="00FB3773" w:rsidRDefault="00FB3773">
    <w:pPr>
      <w:pStyle w:val="Footer"/>
    </w:pPr>
    <w:r w:rsidRPr="00FB3773">
      <w:rPr>
        <w:b/>
        <w:sz w:val="18"/>
      </w:rPr>
      <w:fldChar w:fldCharType="begin"/>
    </w:r>
    <w:r w:rsidRPr="00FB3773">
      <w:rPr>
        <w:b/>
        <w:sz w:val="18"/>
      </w:rPr>
      <w:instrText xml:space="preserve"> PAGE  \* MERGEFORMAT </w:instrText>
    </w:r>
    <w:r w:rsidRPr="00FB3773">
      <w:rPr>
        <w:b/>
        <w:sz w:val="18"/>
      </w:rPr>
      <w:fldChar w:fldCharType="separate"/>
    </w:r>
    <w:r w:rsidRPr="00FB3773">
      <w:rPr>
        <w:b/>
        <w:noProof/>
        <w:sz w:val="18"/>
      </w:rPr>
      <w:t>2</w:t>
    </w:r>
    <w:r w:rsidRPr="00FB3773">
      <w:rPr>
        <w:b/>
        <w:sz w:val="18"/>
      </w:rPr>
      <w:fldChar w:fldCharType="end"/>
    </w:r>
    <w:r>
      <w:rPr>
        <w:b/>
        <w:sz w:val="18"/>
      </w:rPr>
      <w:tab/>
    </w:r>
    <w:r>
      <w:t>GE.20-07185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5F33" w14:textId="77777777" w:rsidR="00FB3773" w:rsidRPr="00FB3773" w:rsidRDefault="00FB3773" w:rsidP="00FB3773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GE.20-07185</w:t>
    </w:r>
    <w:r>
      <w:tab/>
    </w:r>
    <w:r w:rsidRPr="00FB3773">
      <w:rPr>
        <w:b/>
        <w:sz w:val="18"/>
      </w:rPr>
      <w:fldChar w:fldCharType="begin"/>
    </w:r>
    <w:r w:rsidRPr="00FB3773">
      <w:rPr>
        <w:b/>
        <w:sz w:val="18"/>
      </w:rPr>
      <w:instrText xml:space="preserve"> PAGE  \* MERGEFORMAT </w:instrText>
    </w:r>
    <w:r w:rsidRPr="00FB3773">
      <w:rPr>
        <w:b/>
        <w:sz w:val="18"/>
      </w:rPr>
      <w:fldChar w:fldCharType="separate"/>
    </w:r>
    <w:r w:rsidRPr="00FB3773">
      <w:rPr>
        <w:b/>
        <w:noProof/>
        <w:sz w:val="18"/>
      </w:rPr>
      <w:t>3</w:t>
    </w:r>
    <w:r w:rsidRPr="00FB37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98A0" w14:textId="784080CC" w:rsidR="00042B72" w:rsidRPr="00FB3773" w:rsidRDefault="00FB3773" w:rsidP="00FB377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F2E309" wp14:editId="02FCB9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20-07185  (R)</w:t>
    </w:r>
    <w:r>
      <w:rPr>
        <w:lang w:val="fr-CA"/>
      </w:rPr>
      <w:t xml:space="preserve">  080620  090620</w:t>
    </w:r>
    <w:r>
      <w:br/>
    </w:r>
    <w:r w:rsidRPr="00FB3773">
      <w:rPr>
        <w:rFonts w:ascii="C39T30Lfz" w:hAnsi="C39T30Lfz"/>
        <w:kern w:val="14"/>
        <w:sz w:val="56"/>
      </w:rPr>
      <w:t></w:t>
    </w:r>
    <w:r w:rsidRPr="00FB3773">
      <w:rPr>
        <w:rFonts w:ascii="C39T30Lfz" w:hAnsi="C39T30Lfz"/>
        <w:kern w:val="14"/>
        <w:sz w:val="56"/>
      </w:rPr>
      <w:t></w:t>
    </w:r>
    <w:r w:rsidRPr="00FB3773">
      <w:rPr>
        <w:rFonts w:ascii="C39T30Lfz" w:hAnsi="C39T30Lfz"/>
        <w:kern w:val="14"/>
        <w:sz w:val="56"/>
      </w:rPr>
      <w:t></w:t>
    </w:r>
    <w:r w:rsidRPr="00FB3773">
      <w:rPr>
        <w:rFonts w:ascii="C39T30Lfz" w:hAnsi="C39T30Lfz"/>
        <w:kern w:val="14"/>
        <w:sz w:val="56"/>
      </w:rPr>
      <w:t></w:t>
    </w:r>
    <w:r w:rsidRPr="00FB3773">
      <w:rPr>
        <w:rFonts w:ascii="C39T30Lfz" w:hAnsi="C39T30Lfz"/>
        <w:kern w:val="14"/>
        <w:sz w:val="56"/>
      </w:rPr>
      <w:t></w:t>
    </w:r>
    <w:r w:rsidRPr="00FB3773">
      <w:rPr>
        <w:rFonts w:ascii="C39T30Lfz" w:hAnsi="C39T30Lfz"/>
        <w:kern w:val="14"/>
        <w:sz w:val="56"/>
      </w:rPr>
      <w:t></w:t>
    </w:r>
    <w:r w:rsidRPr="00FB3773">
      <w:rPr>
        <w:rFonts w:ascii="C39T30Lfz" w:hAnsi="C39T30Lfz"/>
        <w:kern w:val="14"/>
        <w:sz w:val="56"/>
      </w:rPr>
      <w:t></w:t>
    </w:r>
    <w:r w:rsidRPr="00FB3773">
      <w:rPr>
        <w:rFonts w:ascii="C39T30Lfz" w:hAnsi="C39T30Lfz"/>
        <w:kern w:val="14"/>
        <w:sz w:val="56"/>
      </w:rPr>
      <w:t></w:t>
    </w:r>
    <w:r w:rsidRPr="00FB377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720635" wp14:editId="3764FFD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4FCC" w14:textId="25E18EC8" w:rsidR="006A166B" w:rsidRPr="006A166B" w:rsidRDefault="006A166B" w:rsidP="006A16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F4C52" wp14:editId="6EAC1FD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392B57B" w14:textId="77777777" w:rsidR="006A166B" w:rsidRPr="00FB3773" w:rsidRDefault="006A166B" w:rsidP="006A166B">
                          <w:pPr>
                            <w:pStyle w:val="Footer"/>
                          </w:pPr>
                          <w:r w:rsidRPr="00FB377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B377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B377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FB377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GE.20-07185</w:t>
                          </w:r>
                        </w:p>
                        <w:p w14:paraId="5A54B1D7" w14:textId="77777777" w:rsidR="006A166B" w:rsidRDefault="006A166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F4C5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392B57B" w14:textId="77777777" w:rsidR="006A166B" w:rsidRPr="00FB3773" w:rsidRDefault="006A166B" w:rsidP="006A166B">
                    <w:pPr>
                      <w:pStyle w:val="a8"/>
                    </w:pPr>
                    <w:r w:rsidRPr="00FB3773">
                      <w:rPr>
                        <w:b/>
                        <w:sz w:val="18"/>
                      </w:rPr>
                      <w:fldChar w:fldCharType="begin"/>
                    </w:r>
                    <w:r w:rsidRPr="00FB377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B377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FB3773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GE.20-07185</w:t>
                    </w:r>
                  </w:p>
                  <w:p w14:paraId="5A54B1D7" w14:textId="77777777" w:rsidR="006A166B" w:rsidRDefault="006A166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4A8F" w14:textId="313052D2" w:rsidR="006A166B" w:rsidRPr="006A166B" w:rsidRDefault="006A166B" w:rsidP="006A16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E60F78" wp14:editId="6565B37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A862FB" w14:textId="77777777" w:rsidR="006A166B" w:rsidRPr="00FB3773" w:rsidRDefault="006A166B" w:rsidP="006A166B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GE.20-07185</w:t>
                          </w:r>
                          <w:r>
                            <w:tab/>
                          </w:r>
                          <w:r w:rsidRPr="00FB377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B377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B377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FB377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7779DFA" w14:textId="77777777" w:rsidR="006A166B" w:rsidRDefault="006A166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60F78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4A862FB" w14:textId="77777777" w:rsidR="006A166B" w:rsidRPr="00FB3773" w:rsidRDefault="006A166B" w:rsidP="006A166B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GE.20-07185</w:t>
                    </w:r>
                    <w:r>
                      <w:tab/>
                    </w:r>
                    <w:r w:rsidRPr="00FB3773">
                      <w:rPr>
                        <w:b/>
                        <w:sz w:val="18"/>
                      </w:rPr>
                      <w:fldChar w:fldCharType="begin"/>
                    </w:r>
                    <w:r w:rsidRPr="00FB377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B377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FB3773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7779DFA" w14:textId="77777777" w:rsidR="006A166B" w:rsidRDefault="006A166B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4A81" w14:textId="77777777" w:rsidR="00CC22CB" w:rsidRPr="001075E9" w:rsidRDefault="00CC22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665FEB" w14:textId="77777777" w:rsidR="00CC22CB" w:rsidRDefault="00CC22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1347F4" w14:textId="77777777" w:rsidR="00FB3773" w:rsidRPr="002B1044" w:rsidRDefault="00FB3773" w:rsidP="00FB3773">
      <w:pPr>
        <w:pStyle w:val="FootnoteText"/>
      </w:pPr>
      <w:r>
        <w:tab/>
      </w:r>
      <w:r w:rsidRPr="00B40D6E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CCNR/ZKR/ADN/WP.15/AC.2/2020/32.</w:t>
      </w:r>
    </w:p>
  </w:footnote>
  <w:footnote w:id="2">
    <w:p w14:paraId="02BC3748" w14:textId="3BFD968F" w:rsidR="00FB3773" w:rsidRPr="002B1044" w:rsidRDefault="00FB3773" w:rsidP="00FB3773">
      <w:pPr>
        <w:pStyle w:val="FootnoteText"/>
      </w:pPr>
      <w:r>
        <w:tab/>
      </w:r>
      <w:r w:rsidRPr="00B40D6E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 w:rsidR="00B40D6E"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9517" w14:textId="1DBA4F5D" w:rsidR="00FB3773" w:rsidRPr="00FB3773" w:rsidRDefault="004745EC">
    <w:pPr>
      <w:pStyle w:val="Header"/>
    </w:pPr>
    <w:fldSimple w:instr=" TITLE  \* MERGEFORMAT ">
      <w:r>
        <w:t>ECE/TRANS/WP.15/AC.2/2020/32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B913" w14:textId="3C65FBF4" w:rsidR="00FB3773" w:rsidRPr="00FB3773" w:rsidRDefault="004745EC" w:rsidP="00FB3773">
    <w:pPr>
      <w:pStyle w:val="Header"/>
      <w:jc w:val="right"/>
    </w:pPr>
    <w:fldSimple w:instr=" TITLE  \* MERGEFORMAT ">
      <w:r>
        <w:t>ECE/TRANS/WP.15/AC.2/2020/32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27F4" w14:textId="77777777" w:rsidR="00FB3773" w:rsidRDefault="00FB3773" w:rsidP="00FB3773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7688" w14:textId="223CCBB6" w:rsidR="006A166B" w:rsidRPr="006A166B" w:rsidRDefault="006A166B" w:rsidP="006A166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FB766" wp14:editId="03D7127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E07BF41" w14:textId="4AE28FDE" w:rsidR="006A166B" w:rsidRPr="00FB3773" w:rsidRDefault="00416FEA" w:rsidP="006A166B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745EC">
                            <w:t>ECE/TRANS/WP.15/AC.2/2020/32</w:t>
                          </w:r>
                          <w:r>
                            <w:fldChar w:fldCharType="end"/>
                          </w:r>
                        </w:p>
                        <w:p w14:paraId="07B1B4E4" w14:textId="77777777" w:rsidR="006A166B" w:rsidRDefault="006A166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FB76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E07BF41" w14:textId="4AE28FDE" w:rsidR="006A166B" w:rsidRPr="00FB3773" w:rsidRDefault="00BC06F5" w:rsidP="006A166B">
                    <w:pPr>
                      <w:pStyle w:val="a5"/>
                    </w:pPr>
                    <w:fldSimple w:instr=" TITLE  \* MERGEFORMAT ">
                      <w:r w:rsidR="004745EC">
                        <w:t>ECE/TRANS/WP.15/AC.2/2020/32</w:t>
                      </w:r>
                    </w:fldSimple>
                  </w:p>
                  <w:p w14:paraId="07B1B4E4" w14:textId="77777777" w:rsidR="006A166B" w:rsidRDefault="006A166B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56EA" w14:textId="0F70DD10" w:rsidR="006A166B" w:rsidRPr="006A166B" w:rsidRDefault="006A166B" w:rsidP="006A166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D794A" wp14:editId="2CD1A73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A0B5C6" w14:textId="13D81970" w:rsidR="006A166B" w:rsidRPr="00FB3773" w:rsidRDefault="00416FEA" w:rsidP="006A166B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745EC">
                            <w:t>ECE/TRANS/WP.15/AC.2/2020/32</w:t>
                          </w:r>
                          <w:r>
                            <w:fldChar w:fldCharType="end"/>
                          </w:r>
                        </w:p>
                        <w:p w14:paraId="11CF052B" w14:textId="77777777" w:rsidR="006A166B" w:rsidRDefault="006A166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D794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BA0B5C6" w14:textId="13D81970" w:rsidR="006A166B" w:rsidRPr="00FB3773" w:rsidRDefault="00BC06F5" w:rsidP="006A166B">
                    <w:pPr>
                      <w:pStyle w:val="a5"/>
                      <w:jc w:val="right"/>
                    </w:pPr>
                    <w:fldSimple w:instr=" TITLE  \* MERGEFORMAT ">
                      <w:r w:rsidR="004745EC">
                        <w:t>ECE/TRANS/WP.15/AC.2/2020/32</w:t>
                      </w:r>
                    </w:fldSimple>
                  </w:p>
                  <w:p w14:paraId="11CF052B" w14:textId="77777777" w:rsidR="006A166B" w:rsidRDefault="006A166B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0DC32F6"/>
    <w:multiLevelType w:val="hybridMultilevel"/>
    <w:tmpl w:val="D5665752"/>
    <w:lvl w:ilvl="0" w:tplc="E45C1868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E45C1868">
        <w:start w:val="1"/>
        <w:numFmt w:val="lowerLetter"/>
        <w:lvlText w:val="%1)"/>
        <w:lvlJc w:val="left"/>
        <w:pPr>
          <w:ind w:left="2271" w:hanging="57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2A0A"/>
    <w:rsid w:val="00180183"/>
    <w:rsid w:val="0018024D"/>
    <w:rsid w:val="0018649F"/>
    <w:rsid w:val="00196389"/>
    <w:rsid w:val="001B3EF6"/>
    <w:rsid w:val="001C7A89"/>
    <w:rsid w:val="002024A0"/>
    <w:rsid w:val="00255343"/>
    <w:rsid w:val="0027151D"/>
    <w:rsid w:val="002775ED"/>
    <w:rsid w:val="002A2EFC"/>
    <w:rsid w:val="002B0106"/>
    <w:rsid w:val="002B1D62"/>
    <w:rsid w:val="002B74B1"/>
    <w:rsid w:val="002C0E18"/>
    <w:rsid w:val="002C1BF8"/>
    <w:rsid w:val="002D5AAC"/>
    <w:rsid w:val="002E2665"/>
    <w:rsid w:val="002E4136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06D"/>
    <w:rsid w:val="00374B4E"/>
    <w:rsid w:val="00381C24"/>
    <w:rsid w:val="00387CD4"/>
    <w:rsid w:val="003958D0"/>
    <w:rsid w:val="003A0D43"/>
    <w:rsid w:val="003A48CE"/>
    <w:rsid w:val="003B00E5"/>
    <w:rsid w:val="003E0B46"/>
    <w:rsid w:val="003E1AD4"/>
    <w:rsid w:val="00407B78"/>
    <w:rsid w:val="00416FEA"/>
    <w:rsid w:val="00424203"/>
    <w:rsid w:val="00452493"/>
    <w:rsid w:val="00453318"/>
    <w:rsid w:val="00454AF2"/>
    <w:rsid w:val="00454E07"/>
    <w:rsid w:val="00472C5C"/>
    <w:rsid w:val="004745EC"/>
    <w:rsid w:val="004A1423"/>
    <w:rsid w:val="004E05B7"/>
    <w:rsid w:val="0050108D"/>
    <w:rsid w:val="00513081"/>
    <w:rsid w:val="00514C18"/>
    <w:rsid w:val="00517901"/>
    <w:rsid w:val="00526683"/>
    <w:rsid w:val="005639C1"/>
    <w:rsid w:val="005709E0"/>
    <w:rsid w:val="00572E19"/>
    <w:rsid w:val="00576D7F"/>
    <w:rsid w:val="005961C8"/>
    <w:rsid w:val="005966F1"/>
    <w:rsid w:val="005D3CDC"/>
    <w:rsid w:val="005D7914"/>
    <w:rsid w:val="005E2B41"/>
    <w:rsid w:val="005F0B42"/>
    <w:rsid w:val="00617A43"/>
    <w:rsid w:val="006345DB"/>
    <w:rsid w:val="00640F49"/>
    <w:rsid w:val="00680D03"/>
    <w:rsid w:val="00681A10"/>
    <w:rsid w:val="006A166B"/>
    <w:rsid w:val="006A1ED8"/>
    <w:rsid w:val="006C2031"/>
    <w:rsid w:val="006D461A"/>
    <w:rsid w:val="006F35EE"/>
    <w:rsid w:val="007021FF"/>
    <w:rsid w:val="00712895"/>
    <w:rsid w:val="00734ACB"/>
    <w:rsid w:val="00757357"/>
    <w:rsid w:val="0078167E"/>
    <w:rsid w:val="00792497"/>
    <w:rsid w:val="007D287F"/>
    <w:rsid w:val="00806737"/>
    <w:rsid w:val="00825F8D"/>
    <w:rsid w:val="00834B71"/>
    <w:rsid w:val="0086445C"/>
    <w:rsid w:val="00894693"/>
    <w:rsid w:val="008A08D7"/>
    <w:rsid w:val="008A37C8"/>
    <w:rsid w:val="008B6909"/>
    <w:rsid w:val="008C5695"/>
    <w:rsid w:val="008D53B6"/>
    <w:rsid w:val="008F7609"/>
    <w:rsid w:val="00906890"/>
    <w:rsid w:val="00911BE4"/>
    <w:rsid w:val="00951972"/>
    <w:rsid w:val="009608F3"/>
    <w:rsid w:val="009A24AC"/>
    <w:rsid w:val="009B4DC9"/>
    <w:rsid w:val="009C59D7"/>
    <w:rsid w:val="009C6FE6"/>
    <w:rsid w:val="009D7E7D"/>
    <w:rsid w:val="009E5A6C"/>
    <w:rsid w:val="009F7658"/>
    <w:rsid w:val="00A14DA8"/>
    <w:rsid w:val="00A312BC"/>
    <w:rsid w:val="00A56644"/>
    <w:rsid w:val="00A84021"/>
    <w:rsid w:val="00A84831"/>
    <w:rsid w:val="00A84D35"/>
    <w:rsid w:val="00A917B3"/>
    <w:rsid w:val="00AB4B51"/>
    <w:rsid w:val="00AE3483"/>
    <w:rsid w:val="00AE7FF7"/>
    <w:rsid w:val="00B10CC7"/>
    <w:rsid w:val="00B36DF7"/>
    <w:rsid w:val="00B40D6E"/>
    <w:rsid w:val="00B539E7"/>
    <w:rsid w:val="00B62458"/>
    <w:rsid w:val="00B7441B"/>
    <w:rsid w:val="00BA0E6F"/>
    <w:rsid w:val="00BC06F5"/>
    <w:rsid w:val="00BC18B2"/>
    <w:rsid w:val="00BD33EE"/>
    <w:rsid w:val="00BE1CC7"/>
    <w:rsid w:val="00BE7CD0"/>
    <w:rsid w:val="00C106D6"/>
    <w:rsid w:val="00C119AE"/>
    <w:rsid w:val="00C51948"/>
    <w:rsid w:val="00C60F0C"/>
    <w:rsid w:val="00C71E84"/>
    <w:rsid w:val="00C805C9"/>
    <w:rsid w:val="00C92939"/>
    <w:rsid w:val="00CA1679"/>
    <w:rsid w:val="00CB151C"/>
    <w:rsid w:val="00CC22CB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316"/>
    <w:rsid w:val="00E12C5F"/>
    <w:rsid w:val="00E24D5B"/>
    <w:rsid w:val="00E506C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368"/>
    <w:rsid w:val="00FB377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6CAB05"/>
  <w15:docId w15:val="{4CDC19F4-73F4-4CB4-A60D-5625E7F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B3773"/>
    <w:rPr>
      <w:lang w:val="ru-RU" w:eastAsia="en-US"/>
    </w:rPr>
  </w:style>
  <w:style w:type="character" w:customStyle="1" w:styleId="HChGChar">
    <w:name w:val="_ H _Ch_G Char"/>
    <w:link w:val="HChG"/>
    <w:rsid w:val="00FB3773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E1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s.org.uk/download/179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4073</Words>
  <Characters>23219</Characters>
  <Application>Microsoft Office Word</Application>
  <DocSecurity>0</DocSecurity>
  <Lines>193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ECE/TRANS/WP.15/AC.2/2020/32</vt:lpstr>
      <vt:lpstr>ECE/TRANS/WP.15/AC.2/2020/32</vt:lpstr>
      <vt:lpstr>A/</vt:lpstr>
    </vt:vector>
  </TitlesOfParts>
  <Company>DCM</Company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ECE/TRANS/WP.15/AC.2/2020/32</dc:title>
  <dc:subject/>
  <dc:creator>Olga OVTCHINNIKOVA</dc:creator>
  <cp:keywords/>
  <cp:lastModifiedBy>Secretariat</cp:lastModifiedBy>
  <cp:revision>2</cp:revision>
  <cp:lastPrinted>2020-06-09T16:02:00Z</cp:lastPrinted>
  <dcterms:created xsi:type="dcterms:W3CDTF">2020-06-11T15:02:00Z</dcterms:created>
  <dcterms:modified xsi:type="dcterms:W3CDTF">2020-06-11T15:02:00Z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