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D987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D49896" w14:textId="77777777" w:rsidR="002D5AAC" w:rsidRDefault="002D5AAC" w:rsidP="004634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EE684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23C8C2" w14:textId="77777777" w:rsidR="002D5AAC" w:rsidRDefault="004634BE" w:rsidP="004634BE">
            <w:pPr>
              <w:jc w:val="right"/>
            </w:pPr>
            <w:r w:rsidRPr="004634BE">
              <w:rPr>
                <w:sz w:val="40"/>
              </w:rPr>
              <w:t>ECE</w:t>
            </w:r>
            <w:r>
              <w:t>/ADN/54/Add.1</w:t>
            </w:r>
          </w:p>
        </w:tc>
      </w:tr>
      <w:tr w:rsidR="002D5AAC" w:rsidRPr="004634BE" w14:paraId="6D1E9AA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278F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2E39DD" wp14:editId="5A6EBF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BCD4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30E5E8" w14:textId="77777777" w:rsidR="002D5AAC" w:rsidRDefault="004634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F0999F" w14:textId="77777777" w:rsidR="004634BE" w:rsidRDefault="004634BE" w:rsidP="004634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July 2020</w:t>
            </w:r>
          </w:p>
          <w:p w14:paraId="68424645" w14:textId="77777777" w:rsidR="004634BE" w:rsidRDefault="004634BE" w:rsidP="004634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8EC4BE" w14:textId="77777777" w:rsidR="004634BE" w:rsidRPr="008D53B6" w:rsidRDefault="004634BE" w:rsidP="004634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A1F7BD1" w14:textId="77777777" w:rsidR="004634B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DDCCAE" w14:textId="77777777" w:rsidR="004634BE" w:rsidRPr="008470E1" w:rsidRDefault="004634BE" w:rsidP="004634BE">
      <w:pPr>
        <w:spacing w:before="120"/>
        <w:rPr>
          <w:b/>
          <w:bCs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3C01FB30" w14:textId="77777777" w:rsidR="004634BE" w:rsidRPr="008470E1" w:rsidRDefault="004634BE" w:rsidP="004634BE">
      <w:pPr>
        <w:pStyle w:val="HChG"/>
      </w:pPr>
      <w:r>
        <w:tab/>
      </w:r>
      <w:r>
        <w:tab/>
      </w:r>
      <w:r>
        <w:rPr>
          <w:bCs/>
        </w:rPr>
        <w:t>Европейское соглашение о международной перевозке опасных грузов по внутренним водным путям (ВОПОГ)</w:t>
      </w:r>
    </w:p>
    <w:p w14:paraId="330E4152" w14:textId="77777777" w:rsidR="004634BE" w:rsidRPr="008470E1" w:rsidRDefault="004634BE" w:rsidP="004634BE">
      <w:pPr>
        <w:pStyle w:val="H1G"/>
      </w:pPr>
      <w:r>
        <w:tab/>
      </w:r>
      <w:r>
        <w:tab/>
      </w:r>
      <w:r>
        <w:rPr>
          <w:bCs/>
        </w:rPr>
        <w:t>Проекты поправок к Правилам, прилагаемым к ВОПОГ</w:t>
      </w:r>
      <w:r w:rsidRPr="004634B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44ECBB4F" w14:textId="77777777" w:rsidR="004634BE" w:rsidRPr="008470E1" w:rsidRDefault="004634BE" w:rsidP="004634BE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48DA9B58" w14:textId="77777777" w:rsidR="004634BE" w:rsidRPr="008470E1" w:rsidRDefault="004634BE" w:rsidP="004634BE">
      <w:pPr>
        <w:pStyle w:val="H1G"/>
      </w:pPr>
      <w:bookmarkStart w:id="0" w:name="_Hlk516574050"/>
      <w:r>
        <w:tab/>
      </w:r>
      <w:r>
        <w:tab/>
      </w:r>
      <w:r>
        <w:rPr>
          <w:bCs/>
        </w:rPr>
        <w:t>Глава 1.1</w:t>
      </w:r>
    </w:p>
    <w:p w14:paraId="05864A0D" w14:textId="77777777" w:rsidR="004634BE" w:rsidRPr="008470E1" w:rsidRDefault="004634BE" w:rsidP="004634BE">
      <w:pPr>
        <w:pStyle w:val="SingleTxtG"/>
        <w:tabs>
          <w:tab w:val="left" w:pos="2268"/>
        </w:tabs>
        <w:ind w:left="2259" w:hanging="1125"/>
      </w:pPr>
      <w:r>
        <w:t>1.1.3.7 b</w:t>
      </w:r>
      <w:proofErr w:type="gramStart"/>
      <w:r>
        <w:t>)</w:t>
      </w:r>
      <w:proofErr w:type="gramEnd"/>
      <w:r>
        <w:tab/>
        <w:t>В конце добавить слова «, за исключением оборудования, такого как регистраторы данных и устройства отслеживания грузов, прикрепленного к упаковкам, транспортным пакетам, контейнерам или грузовым отделениям или помещенного в них, которое подпадает под действие только требований раздела 5.5.4».</w:t>
      </w:r>
    </w:p>
    <w:p w14:paraId="0BD3885A" w14:textId="77777777" w:rsidR="004634BE" w:rsidRPr="008470E1" w:rsidRDefault="004634BE" w:rsidP="004634BE">
      <w:pPr>
        <w:pStyle w:val="H1G"/>
      </w:pPr>
      <w:r>
        <w:tab/>
      </w:r>
      <w:r>
        <w:tab/>
      </w:r>
      <w:r>
        <w:rPr>
          <w:bCs/>
        </w:rPr>
        <w:t>Глава 1.2</w:t>
      </w:r>
    </w:p>
    <w:p w14:paraId="4D229DF1" w14:textId="77777777" w:rsidR="004634BE" w:rsidRPr="008470E1" w:rsidRDefault="004634BE" w:rsidP="004634BE">
      <w:pPr>
        <w:snapToGrid w:val="0"/>
        <w:spacing w:after="120"/>
        <w:ind w:left="2268" w:right="561" w:hanging="1134"/>
        <w:jc w:val="both"/>
      </w:pPr>
      <w:r>
        <w:t>1.2.1</w:t>
      </w:r>
      <w:r>
        <w:tab/>
        <w:t>Поправка к определению «</w:t>
      </w:r>
      <w:r>
        <w:rPr>
          <w:i/>
          <w:iCs/>
        </w:rPr>
        <w:t>Мембранный танк</w:t>
      </w:r>
      <w:r>
        <w:t>» не касается текста на русском языке.</w:t>
      </w:r>
    </w:p>
    <w:p w14:paraId="4411F7B3" w14:textId="77777777" w:rsidR="004634BE" w:rsidRPr="008470E1" w:rsidRDefault="004634BE" w:rsidP="004634BE">
      <w:pPr>
        <w:pStyle w:val="H1G"/>
      </w:pPr>
      <w:r>
        <w:tab/>
      </w:r>
      <w:r>
        <w:tab/>
      </w:r>
      <w:r>
        <w:rPr>
          <w:bCs/>
        </w:rPr>
        <w:t>Глава 1.4</w:t>
      </w:r>
    </w:p>
    <w:p w14:paraId="00585D02" w14:textId="77777777" w:rsidR="004634BE" w:rsidRPr="008470E1" w:rsidRDefault="004634BE" w:rsidP="004634BE">
      <w:pPr>
        <w:snapToGrid w:val="0"/>
        <w:spacing w:after="120"/>
        <w:ind w:left="2268" w:right="561" w:hanging="1134"/>
        <w:jc w:val="both"/>
      </w:pPr>
      <w:r>
        <w:t>1.4.3.3 b</w:t>
      </w:r>
      <w:proofErr w:type="gramStart"/>
      <w:r>
        <w:t>)</w:t>
      </w:r>
      <w:proofErr w:type="gramEnd"/>
      <w:r>
        <w:t xml:space="preserve"> </w:t>
      </w:r>
      <w:r>
        <w:tab/>
        <w:t>Заменить «следующего испытания» на «следующей проверки».</w:t>
      </w:r>
      <w:bookmarkStart w:id="1" w:name="_Hlk46829026"/>
      <w:bookmarkEnd w:id="1"/>
    </w:p>
    <w:p w14:paraId="58F4B412" w14:textId="77777777" w:rsidR="004634BE" w:rsidRPr="008470E1" w:rsidRDefault="004634BE" w:rsidP="004634BE">
      <w:pPr>
        <w:snapToGrid w:val="0"/>
        <w:spacing w:after="120"/>
        <w:ind w:left="2268" w:right="561" w:hanging="1134"/>
        <w:jc w:val="both"/>
      </w:pPr>
      <w:r>
        <w:t>1.4.3.4 a</w:t>
      </w:r>
      <w:proofErr w:type="gramStart"/>
      <w:r>
        <w:t>)</w:t>
      </w:r>
      <w:proofErr w:type="gramEnd"/>
      <w:r>
        <w:t xml:space="preserve"> </w:t>
      </w:r>
      <w:r>
        <w:tab/>
        <w:t xml:space="preserve">Заменить «испытаний» на «проверок, испытаний». </w:t>
      </w:r>
    </w:p>
    <w:p w14:paraId="3EAD0609" w14:textId="77777777" w:rsidR="004634BE" w:rsidRPr="008470E1" w:rsidRDefault="004634BE" w:rsidP="004634BE">
      <w:pPr>
        <w:pStyle w:val="SingleTxtG"/>
        <w:tabs>
          <w:tab w:val="left" w:pos="2268"/>
        </w:tabs>
        <w:ind w:left="2259" w:hanging="1125"/>
      </w:pPr>
      <w:r>
        <w:t xml:space="preserve">1.4.3.4 b) </w:t>
      </w:r>
      <w:r>
        <w:tab/>
        <w:t>Данная поправка не касается текста на русском языке.</w:t>
      </w:r>
    </w:p>
    <w:p w14:paraId="0ECD53ED" w14:textId="77777777" w:rsidR="004634BE" w:rsidRPr="008470E1" w:rsidRDefault="004634BE" w:rsidP="004634BE">
      <w:pPr>
        <w:pStyle w:val="H1G"/>
      </w:pPr>
      <w:r>
        <w:tab/>
      </w:r>
      <w:r>
        <w:tab/>
      </w:r>
      <w:r>
        <w:rPr>
          <w:bCs/>
        </w:rPr>
        <w:t>Глава 1.10</w:t>
      </w:r>
    </w:p>
    <w:p w14:paraId="7619579A" w14:textId="77777777" w:rsidR="004634BE" w:rsidRPr="008470E1" w:rsidRDefault="004634BE" w:rsidP="004634BE">
      <w:pPr>
        <w:pStyle w:val="SingleTxtG"/>
        <w:tabs>
          <w:tab w:val="left" w:pos="2268"/>
        </w:tabs>
        <w:ind w:left="2259" w:hanging="1125"/>
      </w:pPr>
      <w:r>
        <w:t>Таблица 1.10.3.1.2</w:t>
      </w:r>
    </w:p>
    <w:p w14:paraId="4542AB1A" w14:textId="77777777" w:rsidR="004634BE" w:rsidRPr="008470E1" w:rsidRDefault="004634BE" w:rsidP="004634BE">
      <w:pPr>
        <w:pStyle w:val="SingleTxtG"/>
        <w:tabs>
          <w:tab w:val="left" w:pos="2268"/>
        </w:tabs>
        <w:spacing w:before="120"/>
        <w:ind w:left="2257" w:hanging="1123"/>
      </w:pPr>
      <w:r>
        <w:tab/>
        <w:t>Для класса 6.2 в колонке «Вещества или изделия» в конце добавить «и</w:t>
      </w:r>
      <w:r w:rsidR="001D504D">
        <w:rPr>
          <w:lang w:val="en-US"/>
        </w:rPr>
        <w:t> </w:t>
      </w:r>
      <w:r>
        <w:t>медицинские отходы категории А (№ ООН 3549)».</w:t>
      </w:r>
    </w:p>
    <w:p w14:paraId="29AADD89" w14:textId="77777777" w:rsidR="004634BE" w:rsidRPr="008470E1" w:rsidRDefault="004634BE" w:rsidP="004634BE">
      <w:pPr>
        <w:pStyle w:val="H1G"/>
      </w:pPr>
      <w:r>
        <w:lastRenderedPageBreak/>
        <w:tab/>
      </w:r>
      <w:r>
        <w:tab/>
      </w:r>
      <w:r>
        <w:rPr>
          <w:bCs/>
        </w:rPr>
        <w:t>Глава 2.2</w:t>
      </w:r>
    </w:p>
    <w:p w14:paraId="1B01A97D" w14:textId="77777777" w:rsidR="004634BE" w:rsidRPr="008470E1" w:rsidRDefault="004634BE" w:rsidP="004634BE">
      <w:pPr>
        <w:pStyle w:val="SingleTxtG"/>
      </w:pPr>
      <w:r>
        <w:t>2.2.41.1.10</w:t>
      </w:r>
      <w:r>
        <w:tab/>
        <w:t xml:space="preserve">Данная поправка не касается текста на русском языке. </w:t>
      </w:r>
    </w:p>
    <w:p w14:paraId="29CFD649" w14:textId="77777777" w:rsidR="004634BE" w:rsidRPr="008470E1" w:rsidRDefault="004634BE" w:rsidP="004634BE">
      <w:pPr>
        <w:pStyle w:val="SingleTxtG"/>
        <w:ind w:left="2259" w:hanging="1125"/>
      </w:pPr>
      <w:r>
        <w:t>2.2.62.1.11.1</w:t>
      </w:r>
      <w:r>
        <w:tab/>
        <w:t>Изменить следующим образом:</w:t>
      </w:r>
    </w:p>
    <w:p w14:paraId="255C7900" w14:textId="77777777" w:rsidR="004634BE" w:rsidRPr="008470E1" w:rsidRDefault="004634BE" w:rsidP="004634BE">
      <w:pPr>
        <w:pStyle w:val="SingleTxtG"/>
        <w:tabs>
          <w:tab w:val="left" w:pos="2268"/>
          <w:tab w:val="left" w:pos="2694"/>
        </w:tabs>
        <w:ind w:left="2259" w:hanging="1125"/>
      </w:pPr>
      <w:r>
        <w:t>«2.2.62.1.11.1</w:t>
      </w:r>
      <w:r>
        <w:tab/>
        <w:t>Медицинские или клинические отходы, содержащие:</w:t>
      </w:r>
    </w:p>
    <w:p w14:paraId="679ABD9A" w14:textId="77777777" w:rsidR="004634BE" w:rsidRPr="008470E1" w:rsidRDefault="004634BE" w:rsidP="004634BE">
      <w:pPr>
        <w:pStyle w:val="SingleTxtG"/>
        <w:tabs>
          <w:tab w:val="left" w:pos="2268"/>
        </w:tabs>
        <w:ind w:left="3120" w:hanging="426"/>
      </w:pPr>
      <w:r>
        <w:t>a)</w:t>
      </w:r>
      <w:r>
        <w:tab/>
        <w:t xml:space="preserve">инфекционные вещества категории А, должны быть отнесены к № ООН 2814, 2900 или 3549 в зависимости от конкретного случая. Твердые медицинские отходы, содержащие инфекционные вещества категории А, образующиеся при лечении людей или при ветеринарном лечении животных, могут быть отнесены к № ООН 3549. Позиция под № ООН 3549 не должна использоваться для отходов </w:t>
      </w:r>
      <w:proofErr w:type="spellStart"/>
      <w:r>
        <w:t>биоисследований</w:t>
      </w:r>
      <w:proofErr w:type="spellEnd"/>
      <w:r>
        <w:t xml:space="preserve"> или жидких отходов; </w:t>
      </w:r>
    </w:p>
    <w:p w14:paraId="3668BD86" w14:textId="77777777" w:rsidR="004634BE" w:rsidRPr="008470E1" w:rsidRDefault="004634BE" w:rsidP="004634BE">
      <w:pPr>
        <w:pStyle w:val="SingleTxtG"/>
        <w:tabs>
          <w:tab w:val="left" w:pos="2268"/>
        </w:tabs>
        <w:ind w:left="3120" w:hanging="426"/>
      </w:pPr>
      <w:r>
        <w:t>b)</w:t>
      </w:r>
      <w:r>
        <w:tab/>
        <w:t>инфекционные вещества категории В, должны быть отнесены к № ООН 3291.</w:t>
      </w:r>
    </w:p>
    <w:p w14:paraId="6B3B8BD4" w14:textId="77777777" w:rsidR="004634BE" w:rsidRPr="008470E1" w:rsidRDefault="004634BE" w:rsidP="004634BE">
      <w:pPr>
        <w:pStyle w:val="SingleTxtG"/>
        <w:tabs>
          <w:tab w:val="left" w:pos="2268"/>
        </w:tabs>
        <w:ind w:left="2694"/>
      </w:pPr>
      <w:r>
        <w:rPr>
          <w:b/>
          <w:bCs/>
          <w:i/>
          <w:iCs/>
        </w:rPr>
        <w:t>ПРИМЕЧАНИЕ 1</w:t>
      </w:r>
      <w:r>
        <w:rPr>
          <w:i/>
          <w:iCs/>
        </w:rPr>
        <w:t xml:space="preserve">: Надлежащим отгрузочным наименованием для № ООН 3549 является </w:t>
      </w:r>
      <w:r w:rsidR="001D504D" w:rsidRPr="001D504D">
        <w:rPr>
          <w:i/>
          <w:iCs/>
        </w:rPr>
        <w:t>“</w:t>
      </w:r>
      <w:r>
        <w:rPr>
          <w:i/>
          <w:iCs/>
        </w:rPr>
        <w:t>ОТХОДЫ МЕДИЦИНСКИЕ, КАТЕГОРИЯ</w:t>
      </w:r>
      <w:r>
        <w:rPr>
          <w:i/>
          <w:iCs/>
          <w:lang w:val="en-US"/>
        </w:rPr>
        <w:t> </w:t>
      </w:r>
      <w:r>
        <w:rPr>
          <w:i/>
          <w:iCs/>
        </w:rPr>
        <w:t>A, ОПАСНЫЕ ДЛЯ ЛЮДЕЙ, твердые</w:t>
      </w:r>
      <w:r w:rsidR="001D504D" w:rsidRPr="001D504D">
        <w:rPr>
          <w:i/>
          <w:iCs/>
        </w:rPr>
        <w:t>”</w:t>
      </w:r>
      <w:r>
        <w:rPr>
          <w:i/>
          <w:iCs/>
        </w:rPr>
        <w:t xml:space="preserve"> или </w:t>
      </w:r>
      <w:r w:rsidR="001D504D" w:rsidRPr="001D504D">
        <w:rPr>
          <w:i/>
          <w:iCs/>
        </w:rPr>
        <w:t>“</w:t>
      </w:r>
      <w:r>
        <w:rPr>
          <w:i/>
          <w:iCs/>
        </w:rPr>
        <w:t>ОТХОДЫ МЕДИЦИНСКИЕ, КАТЕГОРИЯ A, ОПАСНЫЕ только ДЛЯ ЖИВОТНЫХ, твердые</w:t>
      </w:r>
      <w:r w:rsidR="001D504D" w:rsidRPr="001D504D">
        <w:rPr>
          <w:i/>
          <w:iCs/>
        </w:rPr>
        <w:t>”</w:t>
      </w:r>
      <w:r>
        <w:t xml:space="preserve">.». </w:t>
      </w:r>
    </w:p>
    <w:p w14:paraId="66702F29" w14:textId="77777777" w:rsidR="004634BE" w:rsidRPr="008470E1" w:rsidRDefault="004634BE" w:rsidP="004634BE">
      <w:pPr>
        <w:pStyle w:val="SingleTxtG"/>
        <w:ind w:left="2259"/>
      </w:pPr>
      <w:r>
        <w:t>Пронумеровать существующее примечание как примечание 2.</w:t>
      </w:r>
    </w:p>
    <w:p w14:paraId="78CE2E81" w14:textId="77777777" w:rsidR="004634BE" w:rsidRPr="008470E1" w:rsidRDefault="004634BE" w:rsidP="004634BE">
      <w:pPr>
        <w:pStyle w:val="H1G"/>
      </w:pPr>
      <w:r>
        <w:tab/>
      </w:r>
      <w:r>
        <w:tab/>
      </w:r>
      <w:r>
        <w:rPr>
          <w:bCs/>
        </w:rPr>
        <w:t>Глава 3.2, таблица A</w:t>
      </w:r>
    </w:p>
    <w:p w14:paraId="18DAF94F" w14:textId="77777777" w:rsidR="004634BE" w:rsidRPr="008470E1" w:rsidRDefault="004634BE" w:rsidP="004634BE">
      <w:pPr>
        <w:pStyle w:val="SingleTxtG"/>
        <w:ind w:left="2259" w:hanging="1125"/>
      </w:pPr>
      <w:r>
        <w:t>Добавить в надлежащем порядке следующие новые позиции: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50"/>
        <w:gridCol w:w="546"/>
        <w:gridCol w:w="569"/>
        <w:gridCol w:w="309"/>
        <w:gridCol w:w="420"/>
        <w:gridCol w:w="558"/>
        <w:gridCol w:w="298"/>
        <w:gridCol w:w="429"/>
        <w:gridCol w:w="273"/>
        <w:gridCol w:w="435"/>
        <w:gridCol w:w="416"/>
        <w:gridCol w:w="595"/>
        <w:gridCol w:w="890"/>
        <w:gridCol w:w="379"/>
        <w:gridCol w:w="566"/>
        <w:gridCol w:w="424"/>
      </w:tblGrid>
      <w:tr w:rsidR="004634BE" w:rsidRPr="00FD3C97" w14:paraId="69F4AF37" w14:textId="77777777" w:rsidTr="008370DE">
        <w:trPr>
          <w:cantSplit/>
          <w:trHeight w:hRule="exact" w:val="370"/>
          <w:tblHeader/>
          <w:jc w:val="right"/>
        </w:trPr>
        <w:tc>
          <w:tcPr>
            <w:tcW w:w="192" w:type="pct"/>
          </w:tcPr>
          <w:p w14:paraId="239B1BA6" w14:textId="77777777" w:rsidR="004634BE" w:rsidRPr="002B15A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B15A6">
              <w:rPr>
                <w:sz w:val="18"/>
                <w:szCs w:val="18"/>
              </w:rPr>
              <w:t>(1)</w:t>
            </w:r>
          </w:p>
        </w:tc>
        <w:tc>
          <w:tcPr>
            <w:tcW w:w="1116" w:type="pct"/>
          </w:tcPr>
          <w:p w14:paraId="108081E1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(2)</w:t>
            </w:r>
          </w:p>
        </w:tc>
        <w:tc>
          <w:tcPr>
            <w:tcW w:w="283" w:type="pct"/>
            <w:vAlign w:val="center"/>
          </w:tcPr>
          <w:p w14:paraId="2D034EA9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(3a)</w:t>
            </w:r>
          </w:p>
        </w:tc>
        <w:tc>
          <w:tcPr>
            <w:tcW w:w="295" w:type="pct"/>
            <w:vAlign w:val="center"/>
          </w:tcPr>
          <w:p w14:paraId="72ED6C87" w14:textId="77777777" w:rsidR="004634BE" w:rsidRPr="001D504D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D504D">
              <w:rPr>
                <w:sz w:val="18"/>
                <w:szCs w:val="18"/>
              </w:rPr>
              <w:t>(3b)</w:t>
            </w:r>
          </w:p>
        </w:tc>
        <w:tc>
          <w:tcPr>
            <w:tcW w:w="160" w:type="pct"/>
            <w:vAlign w:val="center"/>
          </w:tcPr>
          <w:p w14:paraId="19696DA8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(4)</w:t>
            </w:r>
          </w:p>
        </w:tc>
        <w:tc>
          <w:tcPr>
            <w:tcW w:w="218" w:type="pct"/>
            <w:vAlign w:val="center"/>
          </w:tcPr>
          <w:p w14:paraId="7CA08E2F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(5)</w:t>
            </w:r>
          </w:p>
        </w:tc>
        <w:tc>
          <w:tcPr>
            <w:tcW w:w="290" w:type="pct"/>
            <w:vAlign w:val="center"/>
          </w:tcPr>
          <w:p w14:paraId="367B9E35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(6)</w:t>
            </w:r>
          </w:p>
        </w:tc>
        <w:tc>
          <w:tcPr>
            <w:tcW w:w="155" w:type="pct"/>
            <w:vAlign w:val="center"/>
          </w:tcPr>
          <w:p w14:paraId="3F7117EB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(7a)</w:t>
            </w:r>
          </w:p>
        </w:tc>
        <w:tc>
          <w:tcPr>
            <w:tcW w:w="223" w:type="pct"/>
            <w:vAlign w:val="center"/>
          </w:tcPr>
          <w:p w14:paraId="70AF62D7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(7b)</w:t>
            </w:r>
          </w:p>
        </w:tc>
        <w:tc>
          <w:tcPr>
            <w:tcW w:w="142" w:type="pct"/>
            <w:vAlign w:val="center"/>
          </w:tcPr>
          <w:p w14:paraId="136FD575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(8)</w:t>
            </w:r>
          </w:p>
        </w:tc>
        <w:tc>
          <w:tcPr>
            <w:tcW w:w="226" w:type="pct"/>
            <w:vAlign w:val="center"/>
          </w:tcPr>
          <w:p w14:paraId="445CAD04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(9)</w:t>
            </w:r>
          </w:p>
        </w:tc>
        <w:tc>
          <w:tcPr>
            <w:tcW w:w="216" w:type="pct"/>
            <w:vAlign w:val="center"/>
          </w:tcPr>
          <w:p w14:paraId="32663F2E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(10)</w:t>
            </w:r>
          </w:p>
        </w:tc>
        <w:tc>
          <w:tcPr>
            <w:tcW w:w="968" w:type="pct"/>
            <w:gridSpan w:val="3"/>
            <w:vAlign w:val="center"/>
          </w:tcPr>
          <w:p w14:paraId="1792A18E" w14:textId="77777777" w:rsidR="004634BE" w:rsidRPr="008470E1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  <w:lang w:val="es-ES"/>
              </w:rPr>
            </w:pPr>
            <w:r w:rsidRPr="008470E1">
              <w:rPr>
                <w:sz w:val="18"/>
                <w:szCs w:val="18"/>
                <w:lang w:val="es-ES"/>
              </w:rPr>
              <w:t>(11)</w:t>
            </w:r>
          </w:p>
          <w:p w14:paraId="6F4C6FE4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s-ES"/>
              </w:rPr>
            </w:pPr>
            <w:r w:rsidRPr="008470E1">
              <w:rPr>
                <w:rFonts w:asciiTheme="majorBidi" w:eastAsia="Arial" w:hAnsiTheme="majorBidi" w:cstheme="majorBidi"/>
                <w:bCs/>
                <w:sz w:val="18"/>
                <w:szCs w:val="18"/>
                <w:lang w:val="es-ES" w:eastAsia="de-DE" w:bidi="de-DE"/>
              </w:rPr>
              <w:t>HA01,</w:t>
            </w:r>
            <w:r w:rsidRPr="008470E1">
              <w:rPr>
                <w:rFonts w:asciiTheme="majorBidi" w:eastAsia="Arial" w:hAnsiTheme="majorBidi" w:cstheme="majorBidi"/>
                <w:bCs/>
                <w:sz w:val="18"/>
                <w:szCs w:val="18"/>
                <w:lang w:val="es-ES" w:eastAsia="de-DE" w:bidi="de-DE"/>
              </w:rPr>
              <w:br/>
              <w:t>HA02,</w:t>
            </w:r>
            <w:r w:rsidRPr="008470E1">
              <w:rPr>
                <w:rFonts w:asciiTheme="majorBidi" w:eastAsia="Arial" w:hAnsiTheme="majorBidi" w:cstheme="majorBidi"/>
                <w:bCs/>
                <w:sz w:val="18"/>
                <w:szCs w:val="18"/>
                <w:lang w:val="es-ES" w:eastAsia="de-DE" w:bidi="de-DE"/>
              </w:rPr>
              <w:br/>
              <w:t>HA03</w:t>
            </w:r>
          </w:p>
          <w:p w14:paraId="626D7D94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s-ES"/>
              </w:rPr>
            </w:pPr>
            <w:r w:rsidRPr="008470E1">
              <w:rPr>
                <w:rFonts w:asciiTheme="majorBidi" w:eastAsia="Arial" w:hAnsiTheme="majorBidi" w:cstheme="majorBidi"/>
                <w:bCs/>
                <w:sz w:val="18"/>
                <w:szCs w:val="18"/>
                <w:lang w:val="es-ES" w:eastAsia="de-DE" w:bidi="de-DE"/>
              </w:rPr>
              <w:t>HA01,</w:t>
            </w:r>
            <w:r w:rsidRPr="008470E1">
              <w:rPr>
                <w:rFonts w:asciiTheme="majorBidi" w:eastAsia="Arial" w:hAnsiTheme="majorBidi" w:cstheme="majorBidi"/>
                <w:bCs/>
                <w:sz w:val="18"/>
                <w:szCs w:val="18"/>
                <w:lang w:val="es-ES" w:eastAsia="de-DE" w:bidi="de-DE"/>
              </w:rPr>
              <w:br/>
              <w:t>HA02,</w:t>
            </w:r>
            <w:r w:rsidRPr="008470E1">
              <w:rPr>
                <w:rFonts w:asciiTheme="majorBidi" w:eastAsia="Arial" w:hAnsiTheme="majorBidi" w:cstheme="majorBidi"/>
                <w:bCs/>
                <w:sz w:val="18"/>
                <w:szCs w:val="18"/>
                <w:lang w:val="es-ES" w:eastAsia="de-DE" w:bidi="de-DE"/>
              </w:rPr>
              <w:br/>
              <w:t>HA03</w:t>
            </w:r>
          </w:p>
          <w:p w14:paraId="1D778B6E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iCs/>
                <w:sz w:val="18"/>
                <w:szCs w:val="18"/>
                <w:lang w:val="es-ES"/>
              </w:rPr>
            </w:pP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</w:tc>
        <w:tc>
          <w:tcPr>
            <w:tcW w:w="294" w:type="pct"/>
            <w:vAlign w:val="center"/>
          </w:tcPr>
          <w:p w14:paraId="0E2CCDAF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(12)</w:t>
            </w:r>
          </w:p>
        </w:tc>
        <w:tc>
          <w:tcPr>
            <w:tcW w:w="220" w:type="pct"/>
          </w:tcPr>
          <w:p w14:paraId="67DB7A6E" w14:textId="77777777" w:rsidR="004634BE" w:rsidRPr="00575F9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8470E1">
              <w:rPr>
                <w:sz w:val="18"/>
                <w:szCs w:val="18"/>
              </w:rPr>
              <w:t>(13)</w:t>
            </w:r>
          </w:p>
        </w:tc>
      </w:tr>
      <w:tr w:rsidR="004634BE" w:rsidRPr="00FD3C97" w14:paraId="12436211" w14:textId="77777777" w:rsidTr="008370DE">
        <w:trPr>
          <w:trHeight w:val="20"/>
          <w:jc w:val="right"/>
        </w:trPr>
        <w:tc>
          <w:tcPr>
            <w:tcW w:w="192" w:type="pct"/>
          </w:tcPr>
          <w:p w14:paraId="6AF2C857" w14:textId="77777777" w:rsidR="004634BE" w:rsidRPr="002B15A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B15A6">
              <w:rPr>
                <w:sz w:val="17"/>
                <w:szCs w:val="17"/>
              </w:rPr>
              <w:t>0511</w:t>
            </w:r>
          </w:p>
        </w:tc>
        <w:tc>
          <w:tcPr>
            <w:tcW w:w="1116" w:type="pct"/>
          </w:tcPr>
          <w:p w14:paraId="7EFC9901" w14:textId="77777777" w:rsidR="004634BE" w:rsidRPr="008470E1" w:rsidRDefault="004634BE" w:rsidP="002B15A6">
            <w:pPr>
              <w:pStyle w:val="TableParagraph"/>
              <w:suppressAutoHyphens/>
              <w:spacing w:after="60"/>
              <w:ind w:left="57" w:right="6"/>
              <w:jc w:val="left"/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proofErr w:type="gramStart"/>
            <w:r w:rsidRPr="008470E1">
              <w:rPr>
                <w:sz w:val="18"/>
                <w:szCs w:val="18"/>
                <w:lang w:val="ru-RU"/>
              </w:rPr>
              <w:t>ДЕТОНАТОРЫ ЭЛЕКТРОННЫЕ</w:t>
            </w:r>
            <w:proofErr w:type="gramEnd"/>
            <w:r w:rsidRPr="008470E1">
              <w:rPr>
                <w:sz w:val="18"/>
                <w:szCs w:val="18"/>
                <w:lang w:val="ru-RU"/>
              </w:rPr>
              <w:t xml:space="preserve"> программируемые для</w:t>
            </w:r>
            <w:r w:rsidR="001D504D">
              <w:rPr>
                <w:sz w:val="18"/>
                <w:szCs w:val="18"/>
                <w:lang w:val="ru-RU"/>
              </w:rPr>
              <w:t> </w:t>
            </w:r>
            <w:r w:rsidRPr="008470E1">
              <w:rPr>
                <w:sz w:val="18"/>
                <w:szCs w:val="18"/>
                <w:lang w:val="ru-RU"/>
              </w:rPr>
              <w:t>взрывных работ</w:t>
            </w:r>
          </w:p>
        </w:tc>
        <w:tc>
          <w:tcPr>
            <w:tcW w:w="283" w:type="pct"/>
            <w:vAlign w:val="center"/>
          </w:tcPr>
          <w:p w14:paraId="3B86AEAE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27" w:right="126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vAlign w:val="center"/>
          </w:tcPr>
          <w:p w14:paraId="38E811AB" w14:textId="77777777" w:rsidR="004634BE" w:rsidRPr="001D504D" w:rsidRDefault="004634BE" w:rsidP="001D504D">
            <w:pPr>
              <w:pStyle w:val="TableParagraph"/>
              <w:suppressAutoHyphens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7"/>
                <w:szCs w:val="17"/>
                <w:lang w:val="en-GB"/>
              </w:rPr>
            </w:pPr>
            <w:r w:rsidRPr="001D504D">
              <w:rPr>
                <w:rFonts w:asciiTheme="majorBidi" w:hAnsiTheme="majorBidi" w:cstheme="majorBidi"/>
                <w:bCs/>
                <w:sz w:val="17"/>
                <w:szCs w:val="17"/>
                <w:lang w:val="en-GB"/>
              </w:rPr>
              <w:t>1.1B</w:t>
            </w:r>
          </w:p>
        </w:tc>
        <w:tc>
          <w:tcPr>
            <w:tcW w:w="160" w:type="pct"/>
            <w:vAlign w:val="center"/>
          </w:tcPr>
          <w:p w14:paraId="39FA9966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18" w:type="pct"/>
            <w:vAlign w:val="center"/>
          </w:tcPr>
          <w:p w14:paraId="5DDBB472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67" w:right="67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0" w:type="pct"/>
            <w:vAlign w:val="center"/>
          </w:tcPr>
          <w:p w14:paraId="50A663D0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vAlign w:val="center"/>
          </w:tcPr>
          <w:p w14:paraId="1A4FF9B5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-15" w:right="1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  <w:vAlign w:val="center"/>
          </w:tcPr>
          <w:p w14:paraId="092B51C0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E0</w:t>
            </w:r>
          </w:p>
        </w:tc>
        <w:tc>
          <w:tcPr>
            <w:tcW w:w="142" w:type="pct"/>
            <w:vAlign w:val="center"/>
          </w:tcPr>
          <w:p w14:paraId="5DEBE0AE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41" w:right="141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pct"/>
            <w:vAlign w:val="center"/>
          </w:tcPr>
          <w:p w14:paraId="3D175A50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PP</w:t>
            </w:r>
          </w:p>
        </w:tc>
        <w:tc>
          <w:tcPr>
            <w:tcW w:w="216" w:type="pct"/>
            <w:vAlign w:val="center"/>
          </w:tcPr>
          <w:p w14:paraId="43F08681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7" w:right="8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7D64DBBA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56" w:hanging="17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LO01</w:t>
            </w:r>
          </w:p>
        </w:tc>
        <w:tc>
          <w:tcPr>
            <w:tcW w:w="462" w:type="pct"/>
            <w:vAlign w:val="center"/>
          </w:tcPr>
          <w:p w14:paraId="214E58BF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HA02,</w:t>
            </w: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</w:tc>
        <w:tc>
          <w:tcPr>
            <w:tcW w:w="197" w:type="pct"/>
            <w:vAlign w:val="center"/>
          </w:tcPr>
          <w:p w14:paraId="55AF59B2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94" w:type="pct"/>
            <w:vAlign w:val="center"/>
          </w:tcPr>
          <w:p w14:paraId="4310F85A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0" w:type="pct"/>
          </w:tcPr>
          <w:p w14:paraId="7D1463BE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jc w:val="left"/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4634BE" w:rsidRPr="00FD3C97" w14:paraId="1A778616" w14:textId="77777777" w:rsidTr="008370DE">
        <w:trPr>
          <w:trHeight w:val="20"/>
          <w:jc w:val="right"/>
        </w:trPr>
        <w:tc>
          <w:tcPr>
            <w:tcW w:w="192" w:type="pct"/>
          </w:tcPr>
          <w:p w14:paraId="3E15EB56" w14:textId="77777777" w:rsidR="004634BE" w:rsidRPr="002B15A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B15A6">
              <w:rPr>
                <w:sz w:val="17"/>
                <w:szCs w:val="17"/>
              </w:rPr>
              <w:t>0512</w:t>
            </w:r>
          </w:p>
        </w:tc>
        <w:tc>
          <w:tcPr>
            <w:tcW w:w="1116" w:type="pct"/>
          </w:tcPr>
          <w:p w14:paraId="69F20ED1" w14:textId="77777777" w:rsidR="004634BE" w:rsidRPr="008470E1" w:rsidRDefault="004634BE" w:rsidP="002B15A6">
            <w:pPr>
              <w:pStyle w:val="TableParagraph"/>
              <w:suppressAutoHyphens/>
              <w:spacing w:after="60"/>
              <w:ind w:left="57" w:right="6"/>
              <w:jc w:val="lef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gramStart"/>
            <w:r w:rsidRPr="008470E1">
              <w:rPr>
                <w:sz w:val="18"/>
                <w:szCs w:val="18"/>
                <w:lang w:val="ru-RU"/>
              </w:rPr>
              <w:t>ДЕТОНАТОРЫ ЭЛЕКТРОННЫЕ</w:t>
            </w:r>
            <w:proofErr w:type="gramEnd"/>
            <w:r w:rsidRPr="008470E1">
              <w:rPr>
                <w:sz w:val="18"/>
                <w:szCs w:val="18"/>
                <w:lang w:val="ru-RU"/>
              </w:rPr>
              <w:t xml:space="preserve"> программируемые для</w:t>
            </w:r>
            <w:r w:rsidR="002B15A6">
              <w:rPr>
                <w:sz w:val="18"/>
                <w:szCs w:val="18"/>
                <w:lang w:val="ru-RU"/>
              </w:rPr>
              <w:t> </w:t>
            </w:r>
            <w:r w:rsidRPr="008470E1">
              <w:rPr>
                <w:sz w:val="18"/>
                <w:szCs w:val="18"/>
                <w:lang w:val="ru-RU"/>
              </w:rPr>
              <w:t>взрывных работ</w:t>
            </w:r>
          </w:p>
        </w:tc>
        <w:tc>
          <w:tcPr>
            <w:tcW w:w="283" w:type="pct"/>
            <w:vAlign w:val="center"/>
          </w:tcPr>
          <w:p w14:paraId="062F5A32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27" w:right="126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vAlign w:val="center"/>
          </w:tcPr>
          <w:p w14:paraId="61A3E3B7" w14:textId="77777777" w:rsidR="004634BE" w:rsidRPr="001D504D" w:rsidRDefault="004634BE" w:rsidP="001D504D">
            <w:pPr>
              <w:pStyle w:val="TableParagraph"/>
              <w:suppressAutoHyphens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7"/>
                <w:szCs w:val="17"/>
                <w:lang w:val="en-GB"/>
              </w:rPr>
            </w:pPr>
            <w:r w:rsidRPr="001D504D">
              <w:rPr>
                <w:rFonts w:asciiTheme="majorBidi" w:hAnsiTheme="majorBidi" w:cstheme="majorBidi"/>
                <w:bCs/>
                <w:sz w:val="17"/>
                <w:szCs w:val="17"/>
                <w:lang w:val="en-GB"/>
              </w:rPr>
              <w:t>1.4B</w:t>
            </w:r>
          </w:p>
        </w:tc>
        <w:tc>
          <w:tcPr>
            <w:tcW w:w="160" w:type="pct"/>
            <w:vAlign w:val="center"/>
          </w:tcPr>
          <w:p w14:paraId="6763BC1E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18" w:type="pct"/>
            <w:vAlign w:val="center"/>
          </w:tcPr>
          <w:p w14:paraId="7834C687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67" w:right="67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1.4</w:t>
            </w:r>
          </w:p>
        </w:tc>
        <w:tc>
          <w:tcPr>
            <w:tcW w:w="290" w:type="pct"/>
            <w:vAlign w:val="center"/>
          </w:tcPr>
          <w:p w14:paraId="1BB11E02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vAlign w:val="center"/>
          </w:tcPr>
          <w:p w14:paraId="74D8FB08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-15" w:right="1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  <w:vAlign w:val="center"/>
          </w:tcPr>
          <w:p w14:paraId="4323469C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E0</w:t>
            </w:r>
          </w:p>
        </w:tc>
        <w:tc>
          <w:tcPr>
            <w:tcW w:w="142" w:type="pct"/>
            <w:vAlign w:val="center"/>
          </w:tcPr>
          <w:p w14:paraId="3B58AD4F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41" w:right="141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pct"/>
            <w:vAlign w:val="center"/>
          </w:tcPr>
          <w:p w14:paraId="53FD72FC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PP</w:t>
            </w:r>
          </w:p>
        </w:tc>
        <w:tc>
          <w:tcPr>
            <w:tcW w:w="216" w:type="pct"/>
            <w:vAlign w:val="center"/>
          </w:tcPr>
          <w:p w14:paraId="3D310BBB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7" w:right="8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1D9BEB23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56" w:hanging="17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LO01</w:t>
            </w:r>
          </w:p>
        </w:tc>
        <w:tc>
          <w:tcPr>
            <w:tcW w:w="462" w:type="pct"/>
            <w:vAlign w:val="center"/>
          </w:tcPr>
          <w:p w14:paraId="01986E44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HA02,</w:t>
            </w: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</w:tc>
        <w:tc>
          <w:tcPr>
            <w:tcW w:w="197" w:type="pct"/>
            <w:vAlign w:val="center"/>
          </w:tcPr>
          <w:p w14:paraId="4FCAE44B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94" w:type="pct"/>
            <w:vAlign w:val="center"/>
          </w:tcPr>
          <w:p w14:paraId="35A4F6ED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0" w:type="pct"/>
          </w:tcPr>
          <w:p w14:paraId="14A1B3B3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jc w:val="left"/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4634BE" w:rsidRPr="00FD3C97" w14:paraId="65BC7358" w14:textId="77777777" w:rsidTr="008370DE">
        <w:trPr>
          <w:trHeight w:val="20"/>
          <w:jc w:val="right"/>
        </w:trPr>
        <w:tc>
          <w:tcPr>
            <w:tcW w:w="192" w:type="pct"/>
          </w:tcPr>
          <w:p w14:paraId="765FCC56" w14:textId="77777777" w:rsidR="004634BE" w:rsidRPr="002B15A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B15A6">
              <w:rPr>
                <w:sz w:val="17"/>
                <w:szCs w:val="17"/>
              </w:rPr>
              <w:t>0513</w:t>
            </w:r>
          </w:p>
        </w:tc>
        <w:tc>
          <w:tcPr>
            <w:tcW w:w="1116" w:type="pct"/>
          </w:tcPr>
          <w:p w14:paraId="542EF0FC" w14:textId="77777777" w:rsidR="004634BE" w:rsidRPr="008470E1" w:rsidRDefault="004634BE" w:rsidP="002B15A6">
            <w:pPr>
              <w:pStyle w:val="TableParagraph"/>
              <w:suppressAutoHyphens/>
              <w:spacing w:after="60"/>
              <w:ind w:left="57" w:right="6"/>
              <w:jc w:val="lef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gramStart"/>
            <w:r w:rsidRPr="008470E1">
              <w:rPr>
                <w:sz w:val="18"/>
                <w:szCs w:val="18"/>
                <w:lang w:val="ru-RU"/>
              </w:rPr>
              <w:t>ДЕТОНАТОРЫ ЭЛЕКТРОННЫЕ</w:t>
            </w:r>
            <w:proofErr w:type="gramEnd"/>
            <w:r w:rsidRPr="008470E1">
              <w:rPr>
                <w:sz w:val="18"/>
                <w:szCs w:val="18"/>
                <w:lang w:val="ru-RU"/>
              </w:rPr>
              <w:t xml:space="preserve"> программируемые для</w:t>
            </w:r>
            <w:r w:rsidR="002B15A6">
              <w:rPr>
                <w:sz w:val="18"/>
                <w:szCs w:val="18"/>
                <w:lang w:val="ru-RU"/>
              </w:rPr>
              <w:t> </w:t>
            </w:r>
            <w:r w:rsidRPr="008470E1">
              <w:rPr>
                <w:sz w:val="18"/>
                <w:szCs w:val="18"/>
                <w:lang w:val="ru-RU"/>
              </w:rPr>
              <w:t>взрывных работ</w:t>
            </w:r>
          </w:p>
        </w:tc>
        <w:tc>
          <w:tcPr>
            <w:tcW w:w="283" w:type="pct"/>
            <w:vAlign w:val="center"/>
          </w:tcPr>
          <w:p w14:paraId="27DFC333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27" w:right="126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vAlign w:val="center"/>
          </w:tcPr>
          <w:p w14:paraId="4E503239" w14:textId="77777777" w:rsidR="004634BE" w:rsidRPr="001D504D" w:rsidRDefault="004634BE" w:rsidP="001D504D">
            <w:pPr>
              <w:pStyle w:val="TableParagraph"/>
              <w:suppressAutoHyphens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7"/>
                <w:szCs w:val="17"/>
                <w:lang w:val="en-GB"/>
              </w:rPr>
            </w:pPr>
            <w:r w:rsidRPr="001D504D">
              <w:rPr>
                <w:rFonts w:asciiTheme="majorBidi" w:hAnsiTheme="majorBidi" w:cstheme="majorBidi"/>
                <w:bCs/>
                <w:sz w:val="17"/>
                <w:szCs w:val="17"/>
                <w:lang w:val="en-GB"/>
              </w:rPr>
              <w:t>1.4S</w:t>
            </w:r>
          </w:p>
        </w:tc>
        <w:tc>
          <w:tcPr>
            <w:tcW w:w="160" w:type="pct"/>
            <w:vAlign w:val="center"/>
          </w:tcPr>
          <w:p w14:paraId="75A3A579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18" w:type="pct"/>
            <w:vAlign w:val="center"/>
          </w:tcPr>
          <w:p w14:paraId="220FFAF6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67" w:right="67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1.4</w:t>
            </w:r>
          </w:p>
        </w:tc>
        <w:tc>
          <w:tcPr>
            <w:tcW w:w="290" w:type="pct"/>
            <w:vAlign w:val="center"/>
          </w:tcPr>
          <w:p w14:paraId="5A1B6756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347</w:t>
            </w:r>
          </w:p>
        </w:tc>
        <w:tc>
          <w:tcPr>
            <w:tcW w:w="155" w:type="pct"/>
            <w:vAlign w:val="center"/>
          </w:tcPr>
          <w:p w14:paraId="68584261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-15" w:right="1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  <w:vAlign w:val="center"/>
          </w:tcPr>
          <w:p w14:paraId="1CF771E9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E0</w:t>
            </w:r>
          </w:p>
        </w:tc>
        <w:tc>
          <w:tcPr>
            <w:tcW w:w="142" w:type="pct"/>
            <w:vAlign w:val="center"/>
          </w:tcPr>
          <w:p w14:paraId="5BD9B5FC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41" w:right="141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pct"/>
            <w:vAlign w:val="center"/>
          </w:tcPr>
          <w:p w14:paraId="4A27632E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PP</w:t>
            </w:r>
          </w:p>
        </w:tc>
        <w:tc>
          <w:tcPr>
            <w:tcW w:w="216" w:type="pct"/>
            <w:vAlign w:val="center"/>
          </w:tcPr>
          <w:p w14:paraId="6414C55C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7" w:right="8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0BE4389C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56" w:hanging="17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LO01</w:t>
            </w:r>
          </w:p>
        </w:tc>
        <w:tc>
          <w:tcPr>
            <w:tcW w:w="462" w:type="pct"/>
            <w:vAlign w:val="center"/>
          </w:tcPr>
          <w:p w14:paraId="4D5C7883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575F96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</w:tc>
        <w:tc>
          <w:tcPr>
            <w:tcW w:w="197" w:type="pct"/>
            <w:vAlign w:val="center"/>
          </w:tcPr>
          <w:p w14:paraId="6F880A23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94" w:type="pct"/>
            <w:vAlign w:val="center"/>
          </w:tcPr>
          <w:p w14:paraId="50F9C4AB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14:paraId="18FAB9F4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jc w:val="left"/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4634BE" w:rsidRPr="00FD3C97" w14:paraId="2B90D372" w14:textId="77777777" w:rsidTr="008370DE">
        <w:trPr>
          <w:trHeight w:val="20"/>
          <w:jc w:val="right"/>
        </w:trPr>
        <w:tc>
          <w:tcPr>
            <w:tcW w:w="192" w:type="pct"/>
          </w:tcPr>
          <w:p w14:paraId="09A1EF88" w14:textId="77777777" w:rsidR="004634BE" w:rsidRPr="002B15A6" w:rsidRDefault="004634BE" w:rsidP="001D504D">
            <w:pPr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B15A6">
              <w:rPr>
                <w:sz w:val="17"/>
                <w:szCs w:val="17"/>
              </w:rPr>
              <w:t>3549</w:t>
            </w:r>
          </w:p>
        </w:tc>
        <w:tc>
          <w:tcPr>
            <w:tcW w:w="1116" w:type="pct"/>
          </w:tcPr>
          <w:p w14:paraId="246EF1D9" w14:textId="77777777" w:rsidR="004634BE" w:rsidRPr="008470E1" w:rsidRDefault="004634BE" w:rsidP="002B15A6">
            <w:pPr>
              <w:pStyle w:val="TableParagraph"/>
              <w:suppressAutoHyphens/>
              <w:spacing w:after="60"/>
              <w:ind w:left="57" w:right="6"/>
              <w:jc w:val="lef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470E1">
              <w:rPr>
                <w:sz w:val="18"/>
                <w:szCs w:val="18"/>
                <w:lang w:val="ru-RU"/>
              </w:rPr>
              <w:t>ОТХОДЫ МЕДИЦИНСКИЕ, КАТЕГОРИЯ A, ОПАСНЫЕ ДЛЯ ЛЮДЕЙ, твердые или</w:t>
            </w:r>
            <w:r w:rsidR="002B15A6">
              <w:rPr>
                <w:sz w:val="18"/>
                <w:szCs w:val="18"/>
                <w:lang w:val="ru-RU"/>
              </w:rPr>
              <w:t> </w:t>
            </w:r>
            <w:r w:rsidRPr="008470E1">
              <w:rPr>
                <w:sz w:val="18"/>
                <w:szCs w:val="18"/>
                <w:lang w:val="ru-RU"/>
              </w:rPr>
              <w:t>ОТХОДЫ МЕДИЦИНСКИЕ, КАТЕГОРИЯ A, ОПАСНЫЕ только ДЛЯ ЖИВОТНЫХ, твердые</w:t>
            </w:r>
          </w:p>
        </w:tc>
        <w:tc>
          <w:tcPr>
            <w:tcW w:w="283" w:type="pct"/>
            <w:vAlign w:val="center"/>
          </w:tcPr>
          <w:p w14:paraId="4F40E993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27" w:right="126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6.2</w:t>
            </w:r>
          </w:p>
        </w:tc>
        <w:tc>
          <w:tcPr>
            <w:tcW w:w="295" w:type="pct"/>
            <w:vAlign w:val="center"/>
          </w:tcPr>
          <w:p w14:paraId="084D7AC8" w14:textId="77777777" w:rsidR="004634BE" w:rsidRPr="001D504D" w:rsidRDefault="004634BE" w:rsidP="001D504D">
            <w:pPr>
              <w:pStyle w:val="TableParagraph"/>
              <w:suppressAutoHyphens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7"/>
                <w:szCs w:val="17"/>
                <w:lang w:val="en-GB"/>
              </w:rPr>
            </w:pPr>
            <w:r w:rsidRPr="001D504D">
              <w:rPr>
                <w:rFonts w:asciiTheme="majorBidi" w:hAnsiTheme="majorBidi" w:cstheme="majorBidi"/>
                <w:bCs/>
                <w:sz w:val="17"/>
                <w:szCs w:val="17"/>
              </w:rPr>
              <w:t>I3</w:t>
            </w:r>
          </w:p>
        </w:tc>
        <w:tc>
          <w:tcPr>
            <w:tcW w:w="160" w:type="pct"/>
            <w:vAlign w:val="center"/>
          </w:tcPr>
          <w:p w14:paraId="1F6BFDFC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18" w:type="pct"/>
            <w:vAlign w:val="center"/>
          </w:tcPr>
          <w:p w14:paraId="0CFB7049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67" w:right="67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6.2</w:t>
            </w:r>
          </w:p>
        </w:tc>
        <w:tc>
          <w:tcPr>
            <w:tcW w:w="290" w:type="pct"/>
            <w:vAlign w:val="center"/>
          </w:tcPr>
          <w:p w14:paraId="250F5BCA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395 802</w:t>
            </w:r>
          </w:p>
          <w:p w14:paraId="594121DC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vAlign w:val="center"/>
          </w:tcPr>
          <w:p w14:paraId="32BCC7B8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-15" w:right="1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  <w:vAlign w:val="center"/>
          </w:tcPr>
          <w:p w14:paraId="0F46ACAC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hAnsiTheme="majorBidi" w:cstheme="majorBidi"/>
                <w:bCs/>
                <w:sz w:val="18"/>
                <w:szCs w:val="18"/>
              </w:rPr>
              <w:t>E0</w:t>
            </w:r>
          </w:p>
        </w:tc>
        <w:tc>
          <w:tcPr>
            <w:tcW w:w="142" w:type="pct"/>
            <w:vAlign w:val="center"/>
          </w:tcPr>
          <w:p w14:paraId="255AF942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141" w:right="141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pct"/>
            <w:vAlign w:val="center"/>
          </w:tcPr>
          <w:p w14:paraId="2E192A5A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575F96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PP</w:t>
            </w:r>
          </w:p>
        </w:tc>
        <w:tc>
          <w:tcPr>
            <w:tcW w:w="216" w:type="pct"/>
            <w:vAlign w:val="center"/>
          </w:tcPr>
          <w:p w14:paraId="167A7C37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7" w:right="8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73FC0253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62" w:type="pct"/>
            <w:vAlign w:val="center"/>
          </w:tcPr>
          <w:p w14:paraId="25F21AC6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Align w:val="center"/>
          </w:tcPr>
          <w:p w14:paraId="53F9D1B4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94" w:type="pct"/>
            <w:vAlign w:val="center"/>
          </w:tcPr>
          <w:p w14:paraId="31EED3F0" w14:textId="77777777" w:rsidR="004634BE" w:rsidRPr="00575F96" w:rsidRDefault="004634BE" w:rsidP="001D504D">
            <w:pPr>
              <w:pStyle w:val="TableParagraph"/>
              <w:suppressAutoHyphens/>
              <w:spacing w:before="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470E1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14:paraId="32456718" w14:textId="77777777" w:rsidR="004634BE" w:rsidRPr="00575F96" w:rsidRDefault="004634BE" w:rsidP="001D504D">
            <w:pPr>
              <w:pStyle w:val="TableParagraph"/>
              <w:suppressAutoHyphens/>
              <w:spacing w:before="6"/>
              <w:ind w:left="213"/>
              <w:jc w:val="left"/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val="en-GB"/>
              </w:rPr>
            </w:pPr>
          </w:p>
        </w:tc>
      </w:tr>
    </w:tbl>
    <w:p w14:paraId="6E0C7A14" w14:textId="77777777" w:rsidR="004634BE" w:rsidRPr="00F50E6F" w:rsidRDefault="004634BE" w:rsidP="004634BE">
      <w:pPr>
        <w:pStyle w:val="H1G"/>
      </w:pPr>
      <w:r>
        <w:tab/>
      </w:r>
      <w:r>
        <w:tab/>
      </w:r>
      <w:r>
        <w:rPr>
          <w:bCs/>
        </w:rPr>
        <w:t>Глава 3.3</w:t>
      </w:r>
    </w:p>
    <w:p w14:paraId="6FB43DE9" w14:textId="77777777" w:rsidR="004634BE" w:rsidRPr="008470E1" w:rsidRDefault="004634BE" w:rsidP="004634BE">
      <w:pPr>
        <w:pStyle w:val="SingleTxtG"/>
        <w:ind w:left="2268" w:hanging="1134"/>
        <w:rPr>
          <w:lang w:val="es-ES"/>
        </w:rPr>
      </w:pPr>
      <w:r>
        <w:t>СП</w:t>
      </w:r>
      <w:r w:rsidRPr="008470E1">
        <w:rPr>
          <w:lang w:val="es-ES"/>
        </w:rPr>
        <w:t xml:space="preserve"> 658</w:t>
      </w:r>
      <w:r w:rsidRPr="008470E1">
        <w:rPr>
          <w:lang w:val="es-ES"/>
        </w:rPr>
        <w:tab/>
      </w:r>
      <w:r>
        <w:t>Заменить</w:t>
      </w:r>
      <w:r w:rsidRPr="008470E1">
        <w:rPr>
          <w:lang w:val="es-ES"/>
        </w:rPr>
        <w:t xml:space="preserve"> «EN ISO 9994:2006 + A1:2008» </w:t>
      </w:r>
      <w:r>
        <w:t>на</w:t>
      </w:r>
      <w:r w:rsidRPr="008470E1">
        <w:rPr>
          <w:lang w:val="es-ES"/>
        </w:rPr>
        <w:t xml:space="preserve"> «EN ISO 9994:2019».</w:t>
      </w:r>
      <w:bookmarkStart w:id="2" w:name="_Hlk46838933"/>
      <w:bookmarkEnd w:id="2"/>
    </w:p>
    <w:p w14:paraId="70B7FC2B" w14:textId="77777777" w:rsidR="004634BE" w:rsidRPr="008470E1" w:rsidRDefault="004634BE" w:rsidP="004634BE">
      <w:pPr>
        <w:pStyle w:val="SingleTxtG"/>
        <w:ind w:left="2268" w:hanging="1134"/>
      </w:pPr>
      <w:r>
        <w:t>СП 672</w:t>
      </w:r>
      <w:r>
        <w:tab/>
        <w:t xml:space="preserve">В начале заменить «Машины и приборы» на «Изделия, такие как машины, приборы или устройства». Во втором подпункте, </w:t>
      </w:r>
      <w:bookmarkStart w:id="3" w:name="_GoBack"/>
      <w:bookmarkEnd w:id="3"/>
      <w:r>
        <w:lastRenderedPageBreak/>
        <w:t>начинающемся с тире, заменить «машина или прибор сконструированы и изготовлены» на «изделие сконструировано и изготовлено».</w:t>
      </w:r>
      <w:bookmarkStart w:id="4" w:name="_Hlk46838988"/>
      <w:bookmarkEnd w:id="4"/>
    </w:p>
    <w:p w14:paraId="5D51E672" w14:textId="77777777" w:rsidR="004634BE" w:rsidRPr="008470E1" w:rsidRDefault="004634BE" w:rsidP="004634BE">
      <w:pPr>
        <w:pStyle w:val="H1G"/>
      </w:pPr>
      <w:r>
        <w:tab/>
      </w:r>
      <w:r>
        <w:tab/>
      </w:r>
      <w:r>
        <w:rPr>
          <w:bCs/>
        </w:rPr>
        <w:t>Глава 5.4</w:t>
      </w:r>
    </w:p>
    <w:p w14:paraId="2A0281C0" w14:textId="0E609AEA" w:rsidR="004634BE" w:rsidRPr="008470E1" w:rsidRDefault="004634BE" w:rsidP="004634BE">
      <w:pPr>
        <w:pStyle w:val="SingleTxtG"/>
        <w:spacing w:before="120"/>
        <w:ind w:left="2268" w:hanging="1134"/>
        <w:rPr>
          <w:b/>
          <w:bCs/>
        </w:rPr>
      </w:pPr>
      <w:r>
        <w:t>5.4.1.2.2 d</w:t>
      </w:r>
      <w:proofErr w:type="gramStart"/>
      <w:r>
        <w:t>)</w:t>
      </w:r>
      <w:proofErr w:type="gramEnd"/>
      <w:r>
        <w:tab/>
        <w:t>Заменить «контейнерах-цистернах» на «вагонах-цистернах, контейнерах-цистернах или переносных цистернах».</w:t>
      </w:r>
      <w:bookmarkStart w:id="5" w:name="_Hlk46829425"/>
      <w:bookmarkEnd w:id="5"/>
    </w:p>
    <w:p w14:paraId="3D387087" w14:textId="77777777" w:rsidR="004634BE" w:rsidRPr="008470E1" w:rsidRDefault="004634BE" w:rsidP="004634BE">
      <w:pPr>
        <w:pStyle w:val="H1G"/>
      </w:pPr>
      <w:r>
        <w:tab/>
      </w:r>
      <w:r>
        <w:tab/>
      </w:r>
      <w:r>
        <w:rPr>
          <w:bCs/>
        </w:rPr>
        <w:t>Глава 5.5</w:t>
      </w:r>
    </w:p>
    <w:p w14:paraId="3941B359" w14:textId="77777777" w:rsidR="004634BE" w:rsidRPr="008470E1" w:rsidRDefault="004634BE" w:rsidP="004634BE">
      <w:pPr>
        <w:pStyle w:val="SingleTxtG"/>
        <w:ind w:left="2268" w:hanging="1134"/>
      </w:pPr>
      <w:r>
        <w:t>5.5.4</w:t>
      </w:r>
      <w:r>
        <w:tab/>
        <w:t>Добавить новый раздел 5.5.4 следующего содержания:</w:t>
      </w:r>
    </w:p>
    <w:p w14:paraId="288A420A" w14:textId="77777777" w:rsidR="004634BE" w:rsidRPr="008470E1" w:rsidRDefault="004634BE" w:rsidP="004634BE">
      <w:pPr>
        <w:pStyle w:val="SingleTxtG"/>
        <w:ind w:left="2268" w:hanging="1134"/>
        <w:rPr>
          <w:b/>
          <w:bCs/>
        </w:rPr>
      </w:pPr>
      <w:r w:rsidRPr="004634BE">
        <w:t>«</w:t>
      </w:r>
      <w:r>
        <w:rPr>
          <w:b/>
          <w:bCs/>
        </w:rPr>
        <w:t>5.5.4</w:t>
      </w:r>
      <w:r>
        <w:tab/>
      </w:r>
      <w:r>
        <w:rPr>
          <w:b/>
          <w:bCs/>
        </w:rPr>
        <w:t>Опасные грузы, содержащиеся в оборудовании, используемом или предназначенном для использования во время перевозки, прикрепленном к упаковкам, транспортным пакетам, контейнерам или грузовым отделениям или помещенном в них</w:t>
      </w:r>
      <w:bookmarkStart w:id="6" w:name="_Hlk46829692"/>
    </w:p>
    <w:p w14:paraId="5B1431E7" w14:textId="77777777" w:rsidR="004634BE" w:rsidRPr="008470E1" w:rsidRDefault="004634BE" w:rsidP="004634BE">
      <w:pPr>
        <w:pStyle w:val="SingleTxtG"/>
        <w:ind w:left="2268" w:hanging="1134"/>
      </w:pPr>
      <w:r>
        <w:t>5.5.4.1</w:t>
      </w:r>
      <w:r>
        <w:tab/>
        <w:t>Опасные грузы (например, литиевые батареи, кассеты топливных элементов), содержащиеся в оборудовании, таком как регистраторы данных и устройства отслеживания грузов, прикрепленном к упаковкам, транспортным пакетам, контейнерам или грузовым отделениям или помещенном в них, не подпадают под действие каких-либо положений ВОПОГ, кроме следующих:</w:t>
      </w:r>
    </w:p>
    <w:p w14:paraId="30CB5491" w14:textId="77777777" w:rsidR="004634BE" w:rsidRPr="008470E1" w:rsidRDefault="004634BE" w:rsidP="004634BE">
      <w:pPr>
        <w:pStyle w:val="SingleTxtG"/>
        <w:ind w:left="2835" w:hanging="567"/>
      </w:pPr>
      <w:r>
        <w:t>a)</w:t>
      </w:r>
      <w:r>
        <w:tab/>
        <w:t xml:space="preserve">оборудование должно использоваться или предназначаться для использования во время перевозки; </w:t>
      </w:r>
    </w:p>
    <w:p w14:paraId="03781CDD" w14:textId="77777777" w:rsidR="004634BE" w:rsidRPr="008470E1" w:rsidRDefault="004634BE" w:rsidP="004634BE">
      <w:pPr>
        <w:pStyle w:val="SingleTxtG"/>
        <w:ind w:left="2835" w:hanging="567"/>
      </w:pPr>
      <w:r>
        <w:t>b)</w:t>
      </w:r>
      <w:r>
        <w:tab/>
        <w:t>содержащиеся в нем опасные грузы (например, литиевые батареи, кассеты топливных элементов) должны удовлетворять применимым требованиям к конструкции и испытаниям, указанным в ВОПОГ; и</w:t>
      </w:r>
    </w:p>
    <w:p w14:paraId="31F80A20" w14:textId="77777777" w:rsidR="004634BE" w:rsidRPr="008470E1" w:rsidRDefault="004634BE" w:rsidP="004634BE">
      <w:pPr>
        <w:pStyle w:val="SingleTxtG"/>
        <w:ind w:left="2835" w:hanging="567"/>
      </w:pPr>
      <w:r>
        <w:t>с)</w:t>
      </w:r>
      <w:r>
        <w:tab/>
        <w:t>оборудование должно быть способно выдерживать удары и нагрузки, обычно возникающие во время перевозки, и должно быть безопасным для использования в опасных условиях, которым оно может подвергаться.</w:t>
      </w:r>
    </w:p>
    <w:p w14:paraId="13A93E2D" w14:textId="77777777" w:rsidR="004634BE" w:rsidRDefault="004634BE" w:rsidP="004634BE">
      <w:pPr>
        <w:pStyle w:val="SingleTxtG"/>
        <w:ind w:left="2268" w:hanging="1134"/>
      </w:pPr>
      <w:r>
        <w:t>5.5.4.2</w:t>
      </w:r>
      <w:r>
        <w:tab/>
        <w:t>Когда такое оборудование, содержащее опасные грузы, перевозится в качестве груза, должна использоваться соответствующая позиция таблицы А, содержащейся в главе 3.2, и должны выполняться все применимые положения ВОПОГ.».</w:t>
      </w:r>
      <w:bookmarkEnd w:id="6"/>
    </w:p>
    <w:p w14:paraId="5EC301F0" w14:textId="77777777" w:rsidR="00E12C5F" w:rsidRPr="008D53B6" w:rsidRDefault="004634BE" w:rsidP="004634BE">
      <w:pPr>
        <w:pStyle w:val="SingleTxtG"/>
        <w:spacing w:before="240" w:after="0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sectPr w:rsidR="00E12C5F" w:rsidRPr="008D53B6" w:rsidSect="0046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7B0F5" w14:textId="77777777" w:rsidR="00931503" w:rsidRPr="00A312BC" w:rsidRDefault="00931503" w:rsidP="00A312BC"/>
  </w:endnote>
  <w:endnote w:type="continuationSeparator" w:id="0">
    <w:p w14:paraId="60D4DAAC" w14:textId="77777777" w:rsidR="00931503" w:rsidRPr="00A312BC" w:rsidRDefault="009315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885C" w14:textId="77777777" w:rsidR="004634BE" w:rsidRPr="004634BE" w:rsidRDefault="004634BE">
    <w:pPr>
      <w:pStyle w:val="Footer"/>
    </w:pPr>
    <w:r w:rsidRPr="004634BE">
      <w:rPr>
        <w:b/>
        <w:sz w:val="18"/>
      </w:rPr>
      <w:fldChar w:fldCharType="begin"/>
    </w:r>
    <w:r w:rsidRPr="004634BE">
      <w:rPr>
        <w:b/>
        <w:sz w:val="18"/>
      </w:rPr>
      <w:instrText xml:space="preserve"> PAGE  \* MERGEFORMAT </w:instrText>
    </w:r>
    <w:r w:rsidRPr="004634BE">
      <w:rPr>
        <w:b/>
        <w:sz w:val="18"/>
      </w:rPr>
      <w:fldChar w:fldCharType="separate"/>
    </w:r>
    <w:r w:rsidRPr="004634BE">
      <w:rPr>
        <w:b/>
        <w:noProof/>
        <w:sz w:val="18"/>
      </w:rPr>
      <w:t>2</w:t>
    </w:r>
    <w:r w:rsidRPr="004634BE">
      <w:rPr>
        <w:b/>
        <w:sz w:val="18"/>
      </w:rPr>
      <w:fldChar w:fldCharType="end"/>
    </w:r>
    <w:r>
      <w:rPr>
        <w:b/>
        <w:sz w:val="18"/>
      </w:rPr>
      <w:tab/>
    </w:r>
    <w:r>
      <w:t>GE.20-10227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1510" w14:textId="77777777" w:rsidR="004634BE" w:rsidRPr="004634BE" w:rsidRDefault="004634BE" w:rsidP="004634BE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GE.20-10227</w:t>
    </w:r>
    <w:r>
      <w:tab/>
    </w:r>
    <w:r w:rsidRPr="004634BE">
      <w:rPr>
        <w:b/>
        <w:sz w:val="18"/>
      </w:rPr>
      <w:fldChar w:fldCharType="begin"/>
    </w:r>
    <w:r w:rsidRPr="004634BE">
      <w:rPr>
        <w:b/>
        <w:sz w:val="18"/>
      </w:rPr>
      <w:instrText xml:space="preserve"> PAGE  \* MERGEFORMAT </w:instrText>
    </w:r>
    <w:r w:rsidRPr="004634BE">
      <w:rPr>
        <w:b/>
        <w:sz w:val="18"/>
      </w:rPr>
      <w:fldChar w:fldCharType="separate"/>
    </w:r>
    <w:r w:rsidRPr="004634BE">
      <w:rPr>
        <w:b/>
        <w:noProof/>
        <w:sz w:val="18"/>
      </w:rPr>
      <w:t>3</w:t>
    </w:r>
    <w:r w:rsidRPr="004634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9BBA" w14:textId="77777777" w:rsidR="00042B72" w:rsidRPr="004634BE" w:rsidRDefault="004634BE" w:rsidP="004634B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78ECC4" wp14:editId="671FDD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10227  (</w:t>
    </w:r>
    <w:proofErr w:type="gramEnd"/>
    <w:r>
      <w:t>R)</w:t>
    </w:r>
    <w:r>
      <w:rPr>
        <w:lang w:val="en-US"/>
      </w:rPr>
      <w:t xml:space="preserve">  300720  070820</w:t>
    </w:r>
    <w:r>
      <w:br/>
    </w:r>
    <w:r w:rsidRPr="004634BE">
      <w:rPr>
        <w:rFonts w:ascii="C39T30Lfz" w:hAnsi="C39T30Lfz"/>
        <w:kern w:val="14"/>
        <w:sz w:val="56"/>
      </w:rPr>
      <w:t></w:t>
    </w:r>
    <w:r w:rsidRPr="004634BE">
      <w:rPr>
        <w:rFonts w:ascii="C39T30Lfz" w:hAnsi="C39T30Lfz"/>
        <w:kern w:val="14"/>
        <w:sz w:val="56"/>
      </w:rPr>
      <w:t></w:t>
    </w:r>
    <w:r w:rsidRPr="004634BE">
      <w:rPr>
        <w:rFonts w:ascii="C39T30Lfz" w:hAnsi="C39T30Lfz"/>
        <w:kern w:val="14"/>
        <w:sz w:val="56"/>
      </w:rPr>
      <w:t></w:t>
    </w:r>
    <w:r w:rsidRPr="004634BE">
      <w:rPr>
        <w:rFonts w:ascii="C39T30Lfz" w:hAnsi="C39T30Lfz"/>
        <w:kern w:val="14"/>
        <w:sz w:val="56"/>
      </w:rPr>
      <w:t></w:t>
    </w:r>
    <w:r w:rsidRPr="004634BE">
      <w:rPr>
        <w:rFonts w:ascii="C39T30Lfz" w:hAnsi="C39T30Lfz"/>
        <w:kern w:val="14"/>
        <w:sz w:val="56"/>
      </w:rPr>
      <w:t></w:t>
    </w:r>
    <w:r w:rsidRPr="004634BE">
      <w:rPr>
        <w:rFonts w:ascii="C39T30Lfz" w:hAnsi="C39T30Lfz"/>
        <w:kern w:val="14"/>
        <w:sz w:val="56"/>
      </w:rPr>
      <w:t></w:t>
    </w:r>
    <w:r w:rsidRPr="004634BE">
      <w:rPr>
        <w:rFonts w:ascii="C39T30Lfz" w:hAnsi="C39T30Lfz"/>
        <w:kern w:val="14"/>
        <w:sz w:val="56"/>
      </w:rPr>
      <w:t></w:t>
    </w:r>
    <w:r w:rsidRPr="004634BE">
      <w:rPr>
        <w:rFonts w:ascii="C39T30Lfz" w:hAnsi="C39T30Lfz"/>
        <w:kern w:val="14"/>
        <w:sz w:val="56"/>
      </w:rPr>
      <w:t></w:t>
    </w:r>
    <w:r w:rsidRPr="004634B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E16FA0" wp14:editId="5384111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F522" w14:textId="77777777" w:rsidR="00931503" w:rsidRPr="001075E9" w:rsidRDefault="009315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723DB8" w14:textId="77777777" w:rsidR="00931503" w:rsidRDefault="009315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90492B" w14:textId="77777777" w:rsidR="004634BE" w:rsidRPr="008470E1" w:rsidRDefault="004634BE" w:rsidP="004634BE">
      <w:pPr>
        <w:pStyle w:val="FootnoteText"/>
      </w:pPr>
      <w:r>
        <w:tab/>
      </w:r>
      <w:r w:rsidRPr="004634BE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CCNR/ZKR/ADN/54/Add.1.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817B" w14:textId="1E412DB5" w:rsidR="004634BE" w:rsidRPr="004634BE" w:rsidRDefault="00AE105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D0F94">
      <w:t>ECE/ADN/54/Add.1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3F72" w14:textId="55B7746C" w:rsidR="004634BE" w:rsidRPr="004634BE" w:rsidRDefault="00AE1054" w:rsidP="004634B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D0F94">
      <w:t>ECE/ADN/54/Add.1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353C" w14:textId="77777777" w:rsidR="004634BE" w:rsidRDefault="004634BE" w:rsidP="004634B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04D"/>
    <w:rsid w:val="00255343"/>
    <w:rsid w:val="0027151D"/>
    <w:rsid w:val="002A2EFC"/>
    <w:rsid w:val="002B0106"/>
    <w:rsid w:val="002B15A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34BE"/>
    <w:rsid w:val="00472C5C"/>
    <w:rsid w:val="0047590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2B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1503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105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0F9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8808FC"/>
  <w15:docId w15:val="{60D1763F-F7E9-4EEC-ADF6-B6687B4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4634B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4634BE"/>
    <w:rPr>
      <w:lang w:val="ru-RU" w:eastAsia="en-US"/>
    </w:rPr>
  </w:style>
  <w:style w:type="character" w:customStyle="1" w:styleId="H23GChar">
    <w:name w:val="_ H_2/3_G Char"/>
    <w:link w:val="H23G"/>
    <w:rsid w:val="004634BE"/>
    <w:rPr>
      <w:b/>
      <w:lang w:val="ru-RU" w:eastAsia="ru-RU"/>
    </w:rPr>
  </w:style>
  <w:style w:type="character" w:customStyle="1" w:styleId="HChGChar">
    <w:name w:val="_ H _Ch_G Char"/>
    <w:link w:val="HChG"/>
    <w:rsid w:val="004634BE"/>
    <w:rPr>
      <w:b/>
      <w:sz w:val="28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4634BE"/>
    <w:pPr>
      <w:widowControl w:val="0"/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4071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ECE/ADN/54/Add.1</dc:title>
  <dc:subject/>
  <dc:creator>Olga OVTCHINNIKOVA</dc:creator>
  <cp:keywords/>
  <cp:lastModifiedBy>Secretariat</cp:lastModifiedBy>
  <cp:revision>2</cp:revision>
  <cp:lastPrinted>2020-08-07T12:28:00Z</cp:lastPrinted>
  <dcterms:created xsi:type="dcterms:W3CDTF">2020-09-23T07:16:00Z</dcterms:created>
  <dcterms:modified xsi:type="dcterms:W3CDTF">2020-09-23T07:16:00Z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