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A478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A4783" w:rsidP="006A4783">
            <w:pPr>
              <w:jc w:val="right"/>
            </w:pPr>
            <w:r w:rsidRPr="006A4783">
              <w:rPr>
                <w:sz w:val="40"/>
              </w:rPr>
              <w:t>ECE</w:t>
            </w:r>
            <w:r>
              <w:t>/TRANS/WP.29/GRSG/2019/35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A4783" w:rsidP="00C97039">
            <w:pPr>
              <w:spacing w:before="240"/>
            </w:pPr>
            <w:r>
              <w:t>Distr. générale</w:t>
            </w:r>
          </w:p>
          <w:p w:rsidR="006A4783" w:rsidRDefault="006A4783" w:rsidP="006A4783">
            <w:pPr>
              <w:spacing w:line="240" w:lineRule="exact"/>
            </w:pPr>
            <w:r>
              <w:t>2</w:t>
            </w:r>
            <w:r w:rsidR="00D22F30">
              <w:t>9</w:t>
            </w:r>
            <w:r>
              <w:t xml:space="preserve"> juillet 2019</w:t>
            </w:r>
          </w:p>
          <w:p w:rsidR="006A4783" w:rsidRDefault="006A4783" w:rsidP="006A4783">
            <w:pPr>
              <w:spacing w:line="240" w:lineRule="exact"/>
            </w:pPr>
            <w:r>
              <w:t>Français</w:t>
            </w:r>
          </w:p>
          <w:p w:rsidR="006A4783" w:rsidRPr="00DB58B5" w:rsidRDefault="006A4783" w:rsidP="006A4783">
            <w:pPr>
              <w:spacing w:line="240" w:lineRule="exact"/>
            </w:pPr>
            <w:r>
              <w:t>Original</w:t>
            </w:r>
            <w:r w:rsidR="00267D09">
              <w:t> </w:t>
            </w:r>
            <w:r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67D09" w:rsidRPr="004B664F" w:rsidRDefault="00267D09" w:rsidP="00267D09">
      <w:pPr>
        <w:spacing w:before="120"/>
        <w:rPr>
          <w:b/>
          <w:sz w:val="24"/>
          <w:szCs w:val="24"/>
        </w:rPr>
      </w:pPr>
      <w:r w:rsidRPr="004B664F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4B664F">
        <w:rPr>
          <w:b/>
          <w:sz w:val="24"/>
          <w:szCs w:val="24"/>
        </w:rPr>
        <w:t xml:space="preserve">harmonisation des Règlements </w:t>
      </w:r>
      <w:r>
        <w:rPr>
          <w:b/>
          <w:sz w:val="24"/>
          <w:szCs w:val="24"/>
        </w:rPr>
        <w:br/>
      </w:r>
      <w:r w:rsidRPr="004B664F">
        <w:rPr>
          <w:b/>
          <w:sz w:val="24"/>
          <w:szCs w:val="24"/>
        </w:rPr>
        <w:t>concernant les véhicules</w:t>
      </w:r>
    </w:p>
    <w:p w:rsidR="00267D09" w:rsidRDefault="00267D09" w:rsidP="00267D09">
      <w:pPr>
        <w:spacing w:before="120"/>
        <w:rPr>
          <w:b/>
        </w:rPr>
      </w:pPr>
      <w:r w:rsidRPr="006F56D6">
        <w:rPr>
          <w:b/>
        </w:rPr>
        <w:t>Groupe de travail des dispositions générales de sécurité</w:t>
      </w:r>
    </w:p>
    <w:p w:rsidR="00267D09" w:rsidRPr="004B664F" w:rsidRDefault="00267D09" w:rsidP="00267D09">
      <w:pPr>
        <w:spacing w:before="120"/>
        <w:rPr>
          <w:b/>
        </w:rPr>
      </w:pPr>
      <w:r w:rsidRPr="004B664F">
        <w:rPr>
          <w:b/>
        </w:rPr>
        <w:t>11</w:t>
      </w:r>
      <w:r>
        <w:rPr>
          <w:b/>
        </w:rPr>
        <w:t>7</w:t>
      </w:r>
      <w:r w:rsidRPr="004B664F">
        <w:rPr>
          <w:b/>
          <w:vertAlign w:val="superscript"/>
        </w:rPr>
        <w:t>e</w:t>
      </w:r>
      <w:r>
        <w:rPr>
          <w:b/>
        </w:rPr>
        <w:t> </w:t>
      </w:r>
      <w:r w:rsidRPr="004B664F">
        <w:rPr>
          <w:b/>
        </w:rPr>
        <w:t>session</w:t>
      </w:r>
    </w:p>
    <w:p w:rsidR="00267D09" w:rsidRPr="004B664F" w:rsidRDefault="00267D09" w:rsidP="00267D09">
      <w:r w:rsidRPr="004B664F">
        <w:t xml:space="preserve">Genève, </w:t>
      </w:r>
      <w:r>
        <w:rPr>
          <w:lang w:val="fr-FR"/>
        </w:rPr>
        <w:t xml:space="preserve">8-11 octobre </w:t>
      </w:r>
      <w:r w:rsidRPr="004B664F">
        <w:t>2019</w:t>
      </w:r>
    </w:p>
    <w:p w:rsidR="00267D09" w:rsidRPr="004B664F" w:rsidRDefault="00267D09" w:rsidP="00267D09">
      <w:r w:rsidRPr="004B664F">
        <w:t>Point</w:t>
      </w:r>
      <w:r>
        <w:t xml:space="preserve"> </w:t>
      </w:r>
      <w:r w:rsidRPr="004B664F">
        <w:t>6</w:t>
      </w:r>
      <w:r>
        <w:t> </w:t>
      </w:r>
      <w:r w:rsidRPr="004B664F">
        <w:t>a) de l</w:t>
      </w:r>
      <w:r>
        <w:t>’</w:t>
      </w:r>
      <w:r w:rsidRPr="004B664F">
        <w:t>ordre du jour provisoire</w:t>
      </w:r>
    </w:p>
    <w:p w:rsidR="00267D09" w:rsidRPr="004B664F" w:rsidRDefault="00267D09" w:rsidP="00267D09">
      <w:pPr>
        <w:rPr>
          <w:b/>
        </w:rPr>
      </w:pPr>
      <w:r w:rsidRPr="004B664F">
        <w:rPr>
          <w:b/>
        </w:rPr>
        <w:t>Amendements aux Règlements relatifs aux vitrages de sécurité</w:t>
      </w:r>
      <w:r>
        <w:rPr>
          <w:b/>
        </w:rPr>
        <w:t> </w:t>
      </w:r>
      <w:r w:rsidRPr="004B664F">
        <w:rPr>
          <w:b/>
        </w:rPr>
        <w:t>:</w:t>
      </w:r>
    </w:p>
    <w:p w:rsidR="00267D09" w:rsidRPr="004B664F" w:rsidRDefault="00267D09" w:rsidP="00267D09">
      <w:pPr>
        <w:rPr>
          <w:b/>
        </w:rPr>
      </w:pPr>
      <w:r w:rsidRPr="004B664F">
        <w:rPr>
          <w:b/>
        </w:rPr>
        <w:t>Règlement technique mondial ONU n</w:t>
      </w:r>
      <w:r w:rsidRPr="004B664F">
        <w:rPr>
          <w:b/>
          <w:vertAlign w:val="superscript"/>
        </w:rPr>
        <w:t>o</w:t>
      </w:r>
      <w:r>
        <w:rPr>
          <w:b/>
        </w:rPr>
        <w:t> </w:t>
      </w:r>
      <w:r w:rsidRPr="004B664F">
        <w:rPr>
          <w:b/>
        </w:rPr>
        <w:t>6 (Vitrages de sécurité)</w:t>
      </w:r>
    </w:p>
    <w:p w:rsidR="00267D09" w:rsidRPr="004B664F" w:rsidRDefault="00267D09" w:rsidP="00267D09">
      <w:pPr>
        <w:pStyle w:val="HChG"/>
      </w:pPr>
      <w:r w:rsidRPr="004B664F">
        <w:tab/>
      </w:r>
      <w:r w:rsidRPr="004B664F">
        <w:tab/>
        <w:t>Proposition d</w:t>
      </w:r>
      <w:r>
        <w:t>’</w:t>
      </w:r>
      <w:r w:rsidRPr="004B664F">
        <w:t>amendement 2 au Règlement technique mondial ONU n</w:t>
      </w:r>
      <w:r w:rsidRPr="002C53C9">
        <w:rPr>
          <w:vertAlign w:val="superscript"/>
        </w:rPr>
        <w:t>o</w:t>
      </w:r>
      <w:r>
        <w:t> </w:t>
      </w:r>
      <w:r w:rsidRPr="004B664F">
        <w:t>6 (Vitrages de sécurité)</w:t>
      </w:r>
    </w:p>
    <w:p w:rsidR="00267D09" w:rsidRPr="00267D09" w:rsidRDefault="00267D09" w:rsidP="00267D09">
      <w:pPr>
        <w:pStyle w:val="H1G"/>
      </w:pPr>
      <w:r>
        <w:tab/>
      </w:r>
      <w:r>
        <w:tab/>
      </w:r>
      <w:r w:rsidRPr="004B664F">
        <w:t>Communication de l</w:t>
      </w:r>
      <w:r>
        <w:t>’</w:t>
      </w:r>
      <w:r w:rsidRPr="004B664F">
        <w:t>expert de l</w:t>
      </w:r>
      <w:r>
        <w:t>’</w:t>
      </w:r>
      <w:r w:rsidRPr="004B664F">
        <w:t>Inde</w:t>
      </w:r>
      <w:r w:rsidRPr="00386B7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267D09" w:rsidRPr="004B664F" w:rsidRDefault="00267D09" w:rsidP="00267D09">
      <w:pPr>
        <w:pStyle w:val="SingleTxtG"/>
        <w:ind w:firstLine="567"/>
      </w:pPr>
      <w:r w:rsidRPr="004B664F">
        <w:t>Le texte ci-après, établi par l</w:t>
      </w:r>
      <w:r>
        <w:t>’</w:t>
      </w:r>
      <w:r w:rsidRPr="004B664F">
        <w:t>expert de l</w:t>
      </w:r>
      <w:r>
        <w:t>’</w:t>
      </w:r>
      <w:r w:rsidRPr="004B664F">
        <w:t xml:space="preserve">Inde, vise à </w:t>
      </w:r>
      <w:r>
        <w:rPr>
          <w:lang w:val="fr-FR"/>
        </w:rPr>
        <w:t xml:space="preserve">modifier le Règlement technique mondial </w:t>
      </w:r>
      <w:r w:rsidRPr="0007707E">
        <w:rPr>
          <w:lang w:val="fr-FR"/>
        </w:rPr>
        <w:t xml:space="preserve">(RTM) </w:t>
      </w:r>
      <w:r>
        <w:rPr>
          <w:lang w:val="fr-FR"/>
        </w:rPr>
        <w:t>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6 pour permettre l’homologation des vitres en verre feuilleté à propriétés mécaniques améliorées. </w:t>
      </w:r>
      <w:r w:rsidRPr="004B664F">
        <w:t>Il est fondé sur le document GRSG-115-38, présenté à la 115</w:t>
      </w:r>
      <w:r w:rsidRPr="004B664F">
        <w:rPr>
          <w:vertAlign w:val="superscript"/>
        </w:rPr>
        <w:t>e</w:t>
      </w:r>
      <w:r>
        <w:t> </w:t>
      </w:r>
      <w:r w:rsidRPr="004B664F">
        <w:t>session du Groupe de travail des dispositions générales de sécurité (GRSG) (voir le rapport ECE/TRANS/WP.29/GRSG/94, par.</w:t>
      </w:r>
      <w:r>
        <w:t> </w:t>
      </w:r>
      <w:r w:rsidRPr="004B664F">
        <w:t>18). Les</w:t>
      </w:r>
      <w:r>
        <w:t xml:space="preserve"> </w:t>
      </w:r>
      <w:r w:rsidRPr="004B664F">
        <w:t>modifications qu</w:t>
      </w:r>
      <w:r>
        <w:t>’</w:t>
      </w:r>
      <w:r w:rsidRPr="004B664F">
        <w:t>il est proposé d</w:t>
      </w:r>
      <w:r>
        <w:t>’</w:t>
      </w:r>
      <w:r w:rsidRPr="004B664F">
        <w:t>apporter au texte actuel du RTM ONU n</w:t>
      </w:r>
      <w:r w:rsidRPr="00386B7E">
        <w:rPr>
          <w:vertAlign w:val="superscript"/>
        </w:rPr>
        <w:t>o</w:t>
      </w:r>
      <w:r>
        <w:t> </w:t>
      </w:r>
      <w:r w:rsidRPr="004B664F">
        <w:t xml:space="preserve">6 </w:t>
      </w:r>
      <w:r>
        <w:t>figurent</w:t>
      </w:r>
      <w:r w:rsidRPr="004B664F">
        <w:t xml:space="preserve"> en caractères gras</w:t>
      </w:r>
      <w:r>
        <w:t xml:space="preserve"> pour les ajouts</w:t>
      </w:r>
      <w:r w:rsidRPr="004B664F">
        <w:t>.</w:t>
      </w:r>
    </w:p>
    <w:p w:rsidR="00267D09" w:rsidRPr="005A387F" w:rsidRDefault="00267D09" w:rsidP="00267D09">
      <w:pPr>
        <w:pStyle w:val="HChG"/>
      </w:pPr>
      <w:r w:rsidRPr="00132B04">
        <w:br w:type="page"/>
      </w:r>
      <w:r>
        <w:lastRenderedPageBreak/>
        <w:tab/>
      </w:r>
      <w:r w:rsidRPr="005A387F">
        <w:t>I.</w:t>
      </w:r>
      <w:r w:rsidRPr="005A387F">
        <w:tab/>
        <w:t>Proposition</w:t>
      </w:r>
    </w:p>
    <w:p w:rsidR="00267D09" w:rsidRPr="007718E7" w:rsidRDefault="00267D09" w:rsidP="00267D09">
      <w:pPr>
        <w:pStyle w:val="SingleTxtG"/>
        <w:keepNext/>
        <w:rPr>
          <w:lang w:eastAsia="zh-CN"/>
        </w:rPr>
      </w:pPr>
      <w:r w:rsidRPr="007718E7">
        <w:rPr>
          <w:i/>
          <w:lang w:eastAsia="zh-CN"/>
        </w:rPr>
        <w:t>Paragraphe 4.1.2.2.2</w:t>
      </w:r>
      <w:r w:rsidRPr="007718E7">
        <w:rPr>
          <w:lang w:eastAsia="zh-CN"/>
        </w:rPr>
        <w:t xml:space="preserve">, </w:t>
      </w:r>
      <w:r>
        <w:rPr>
          <w:lang w:eastAsia="zh-CN"/>
        </w:rPr>
        <w:t>lire </w:t>
      </w:r>
      <w:r w:rsidRPr="007718E7">
        <w:rPr>
          <w:lang w:eastAsia="zh-CN"/>
        </w:rPr>
        <w:t>:</w:t>
      </w:r>
    </w:p>
    <w:p w:rsidR="00267D09" w:rsidRPr="007718E7" w:rsidRDefault="00267D09" w:rsidP="00267D09">
      <w:pPr>
        <w:pStyle w:val="SingleTxtG"/>
        <w:tabs>
          <w:tab w:val="left" w:pos="2268"/>
        </w:tabs>
        <w:ind w:left="2268" w:hanging="1134"/>
        <w:rPr>
          <w:lang w:eastAsia="zh-CN"/>
        </w:rPr>
      </w:pPr>
      <w:r>
        <w:rPr>
          <w:lang w:eastAsia="zh-CN"/>
        </w:rPr>
        <w:t>« </w:t>
      </w:r>
      <w:r w:rsidRPr="007718E7">
        <w:rPr>
          <w:lang w:eastAsia="zh-CN"/>
        </w:rPr>
        <w:t>4.1.2.2.2</w:t>
      </w:r>
      <w:r w:rsidRPr="007718E7">
        <w:rPr>
          <w:lang w:eastAsia="zh-CN"/>
        </w:rPr>
        <w:tab/>
      </w:r>
      <w:r w:rsidRPr="00E76C21">
        <w:rPr>
          <w:lang w:eastAsia="zh-CN"/>
        </w:rPr>
        <w:t>“</w:t>
      </w:r>
      <w:r w:rsidRPr="007718E7">
        <w:rPr>
          <w:lang w:eastAsia="zh-CN"/>
        </w:rPr>
        <w:t>XI</w:t>
      </w:r>
      <w:r w:rsidRPr="00E76C21">
        <w:rPr>
          <w:lang w:eastAsia="zh-CN"/>
        </w:rPr>
        <w:t>”</w:t>
      </w:r>
      <w:r w:rsidRPr="007718E7">
        <w:rPr>
          <w:lang w:eastAsia="zh-CN"/>
        </w:rPr>
        <w:t xml:space="preserve"> pour les vitres en verre feuilleté. </w:t>
      </w:r>
      <w:r w:rsidRPr="00F54B47">
        <w:rPr>
          <w:b/>
          <w:lang w:eastAsia="zh-CN"/>
        </w:rPr>
        <w:t>L</w:t>
      </w:r>
      <w:r>
        <w:rPr>
          <w:b/>
          <w:lang w:eastAsia="zh-CN"/>
        </w:rPr>
        <w:t>’</w:t>
      </w:r>
      <w:r w:rsidRPr="00F54B47">
        <w:rPr>
          <w:b/>
          <w:lang w:eastAsia="zh-CN"/>
        </w:rPr>
        <w:t>application sera en outre précisée par l</w:t>
      </w:r>
      <w:r>
        <w:rPr>
          <w:b/>
          <w:lang w:eastAsia="zh-CN"/>
        </w:rPr>
        <w:t>’</w:t>
      </w:r>
      <w:r w:rsidRPr="00F54B47">
        <w:rPr>
          <w:b/>
          <w:lang w:eastAsia="zh-CN"/>
        </w:rPr>
        <w:t>un des symboles suivants :</w:t>
      </w:r>
    </w:p>
    <w:p w:rsidR="00267D09" w:rsidRPr="00AF2B01" w:rsidRDefault="00267D09" w:rsidP="00267D09">
      <w:pPr>
        <w:pStyle w:val="SingleTxtG"/>
        <w:tabs>
          <w:tab w:val="left" w:pos="2268"/>
        </w:tabs>
        <w:ind w:left="2268"/>
        <w:rPr>
          <w:rFonts w:eastAsia="DengXian"/>
          <w:lang w:eastAsia="zh-CN"/>
        </w:rPr>
      </w:pPr>
      <w:r w:rsidRPr="007718E7">
        <w:rPr>
          <w:rFonts w:eastAsia="DengXian"/>
          <w:b/>
          <w:lang w:eastAsia="zh-CN"/>
        </w:rPr>
        <w:tab/>
      </w:r>
      <w:r w:rsidRPr="00AF2B01">
        <w:rPr>
          <w:rFonts w:eastAsia="DengXian"/>
          <w:b/>
          <w:lang w:eastAsia="zh-CN"/>
        </w:rPr>
        <w:t>/D Pour les vitres en verre feuilleté à propriétés mécaniques améliorées</w:t>
      </w:r>
      <w:r w:rsidRPr="00970CD3">
        <w:rPr>
          <w:rFonts w:eastAsia="DengXian"/>
          <w:lang w:eastAsia="zh-CN"/>
        </w:rPr>
        <w:t> »</w:t>
      </w:r>
      <w:r w:rsidR="00970CD3" w:rsidRPr="00970CD3">
        <w:rPr>
          <w:rFonts w:eastAsia="DengXian"/>
          <w:lang w:eastAsia="zh-CN"/>
        </w:rPr>
        <w:t>.</w:t>
      </w:r>
    </w:p>
    <w:p w:rsidR="00267D09" w:rsidRDefault="00267D09" w:rsidP="00267D09">
      <w:pPr>
        <w:pStyle w:val="SingleTxtG"/>
        <w:keepNext/>
        <w:rPr>
          <w:rFonts w:eastAsia="DengXian"/>
          <w:lang w:eastAsia="zh-CN"/>
        </w:rPr>
      </w:pPr>
      <w:r w:rsidRPr="00AF2B01">
        <w:rPr>
          <w:rFonts w:eastAsia="DengXian"/>
          <w:i/>
          <w:lang w:eastAsia="zh-CN"/>
        </w:rPr>
        <w:t>Paragraphe 5, t</w:t>
      </w:r>
      <w:r w:rsidRPr="00AF2B01">
        <w:rPr>
          <w:bCs/>
          <w:i/>
        </w:rPr>
        <w:t>ableau 1 (Résumé des prescriptions fonctionnelles)</w:t>
      </w:r>
      <w:r w:rsidRPr="00E76C21">
        <w:rPr>
          <w:lang w:eastAsia="ar-SA"/>
        </w:rPr>
        <w:t>,</w:t>
      </w:r>
      <w:r w:rsidRPr="00AF2B01">
        <w:rPr>
          <w:i/>
          <w:lang w:eastAsia="ar-SA"/>
        </w:rPr>
        <w:t xml:space="preserve"> </w:t>
      </w:r>
      <w:r>
        <w:rPr>
          <w:rFonts w:eastAsia="DengXian"/>
          <w:lang w:eastAsia="zh-CN"/>
        </w:rPr>
        <w:t>lire :</w:t>
      </w:r>
    </w:p>
    <w:p w:rsidR="00267D09" w:rsidRPr="009828FE" w:rsidRDefault="00267D09" w:rsidP="00267D09">
      <w:pPr>
        <w:pStyle w:val="SingleTxtG"/>
        <w:keepNext/>
        <w:rPr>
          <w:lang w:eastAsia="ar-SA"/>
        </w:rPr>
      </w:pPr>
      <w:r w:rsidRPr="009828FE">
        <w:rPr>
          <w:lang w:eastAsia="ar-SA"/>
        </w:rPr>
        <w:t>« 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565"/>
        <w:gridCol w:w="591"/>
        <w:gridCol w:w="753"/>
        <w:gridCol w:w="712"/>
        <w:gridCol w:w="641"/>
        <w:gridCol w:w="698"/>
        <w:gridCol w:w="642"/>
        <w:gridCol w:w="698"/>
        <w:gridCol w:w="795"/>
      </w:tblGrid>
      <w:tr w:rsidR="00267D09" w:rsidRPr="00024525" w:rsidTr="00970CD3">
        <w:trPr>
          <w:cantSplit/>
          <w:trHeight w:val="260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</w:tcPr>
          <w:p w:rsidR="00267D09" w:rsidRPr="00AF2B01" w:rsidRDefault="00267D09" w:rsidP="00970CD3">
            <w:pPr>
              <w:spacing w:before="80" w:after="80" w:line="20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F2B01">
              <w:rPr>
                <w:bCs/>
                <w:i/>
                <w:sz w:val="16"/>
                <w:szCs w:val="16"/>
              </w:rPr>
              <w:t>Pare-brise</w:t>
            </w:r>
          </w:p>
        </w:tc>
        <w:tc>
          <w:tcPr>
            <w:tcW w:w="4199" w:type="dxa"/>
            <w:gridSpan w:val="6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F2B01">
              <w:rPr>
                <w:bCs/>
                <w:i/>
                <w:sz w:val="16"/>
                <w:szCs w:val="16"/>
              </w:rPr>
              <w:t>Autres vitres</w:t>
            </w:r>
          </w:p>
        </w:tc>
      </w:tr>
      <w:tr w:rsidR="00267D09" w:rsidRPr="00024525" w:rsidTr="00970CD3">
        <w:trPr>
          <w:cantSplit/>
          <w:trHeight w:val="156"/>
        </w:trPr>
        <w:tc>
          <w:tcPr>
            <w:tcW w:w="1281" w:type="dxa"/>
            <w:vMerge/>
            <w:tcMar>
              <w:left w:w="0" w:type="dxa"/>
              <w:right w:w="0" w:type="dxa"/>
            </w:tcMar>
          </w:tcPr>
          <w:p w:rsidR="00267D09" w:rsidRPr="00024525" w:rsidRDefault="00267D09" w:rsidP="00970CD3">
            <w:pPr>
              <w:spacing w:before="80" w:after="80" w:line="200" w:lineRule="exact"/>
              <w:ind w:left="57" w:right="57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gridSpan w:val="2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feuilleté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F2B01">
              <w:rPr>
                <w:i/>
                <w:sz w:val="16"/>
                <w:szCs w:val="16"/>
              </w:rPr>
              <w:t>plastique</w:t>
            </w:r>
          </w:p>
        </w:tc>
        <w:tc>
          <w:tcPr>
            <w:tcW w:w="1357" w:type="dxa"/>
            <w:gridSpan w:val="2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à trempe uniforme</w:t>
            </w:r>
          </w:p>
        </w:tc>
        <w:tc>
          <w:tcPr>
            <w:tcW w:w="1344" w:type="dxa"/>
            <w:gridSpan w:val="2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 feuilleté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Double vitrage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216C8">
              <w:rPr>
                <w:i/>
                <w:sz w:val="16"/>
                <w:szCs w:val="16"/>
                <w:u w:val="single"/>
                <w:lang w:val="en-US"/>
              </w:rPr>
              <w:t>1</w:t>
            </w:r>
            <w:r w:rsidRPr="000216C8">
              <w:rPr>
                <w:i/>
                <w:sz w:val="16"/>
                <w:szCs w:val="16"/>
                <w:lang w:val="en-US"/>
              </w:rPr>
              <w:t>/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0216C8" w:rsidRDefault="00267D09" w:rsidP="00970CD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  <w:lang w:val="en-US"/>
              </w:rPr>
            </w:pPr>
            <w:r w:rsidRPr="00AF2B01">
              <w:rPr>
                <w:i/>
                <w:sz w:val="16"/>
                <w:szCs w:val="16"/>
              </w:rPr>
              <w:t>Verre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F2B01">
              <w:rPr>
                <w:i/>
                <w:sz w:val="16"/>
                <w:szCs w:val="16"/>
              </w:rPr>
              <w:t>plastique</w:t>
            </w:r>
          </w:p>
        </w:tc>
      </w:tr>
      <w:tr w:rsidR="00267D09" w:rsidRPr="00F54B47" w:rsidTr="00970CD3">
        <w:trPr>
          <w:cantSplit/>
          <w:trHeight w:val="179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Marque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II/P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dstrike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/P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</w:t>
            </w:r>
            <w:r w:rsidRPr="00F54B47">
              <w:rPr>
                <w:sz w:val="18"/>
                <w:szCs w:val="18"/>
                <w:lang w:val="en-US"/>
              </w:rPr>
              <w:t xml:space="preserve"> /P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dstrike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XII</w:t>
            </w: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Transmission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de la lumière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5.1.1</w:t>
            </w: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à l</w:t>
            </w:r>
            <w:r>
              <w:rPr>
                <w:sz w:val="18"/>
                <w:szCs w:val="18"/>
              </w:rPr>
              <w:t>’</w:t>
            </w:r>
            <w:r w:rsidRPr="00F54B47">
              <w:rPr>
                <w:sz w:val="18"/>
                <w:szCs w:val="18"/>
              </w:rPr>
              <w:t>abrasion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5.1.2</w:t>
            </w:r>
          </w:p>
        </w:tc>
      </w:tr>
      <w:tr w:rsidR="00267D09" w:rsidRPr="00F54B47" w:rsidTr="00970CD3">
        <w:trPr>
          <w:cantSplit/>
          <w:trHeight w:val="602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 xml:space="preserve">Résistance aux changements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de température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5.2.1</w:t>
            </w:r>
          </w:p>
        </w:tc>
      </w:tr>
      <w:tr w:rsidR="00267D09" w:rsidRPr="00F54B47" w:rsidTr="00970CD3">
        <w:trPr>
          <w:cantSplit/>
          <w:trHeight w:val="269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 feu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5.2.2</w:t>
            </w: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aux agents chimiques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5.2.3</w:t>
            </w: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Résistance au rayonnement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5.3.1</w:t>
            </w:r>
          </w:p>
        </w:tc>
      </w:tr>
      <w:tr w:rsidR="00267D09" w:rsidRPr="00F54B47" w:rsidTr="00970CD3">
        <w:trPr>
          <w:cantSplit/>
          <w:trHeight w:val="503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aux hautes températures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5.3.2</w:t>
            </w: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 xml:space="preserve">Résistance </w:t>
            </w:r>
            <w:r>
              <w:rPr>
                <w:sz w:val="18"/>
                <w:szCs w:val="18"/>
              </w:rPr>
              <w:br/>
            </w:r>
            <w:r w:rsidRPr="00F54B47">
              <w:rPr>
                <w:sz w:val="18"/>
                <w:szCs w:val="18"/>
              </w:rPr>
              <w:t>à l</w:t>
            </w:r>
            <w:r>
              <w:rPr>
                <w:sz w:val="18"/>
                <w:szCs w:val="18"/>
              </w:rPr>
              <w:t>’</w:t>
            </w:r>
            <w:r w:rsidRPr="00F54B47">
              <w:rPr>
                <w:sz w:val="18"/>
                <w:szCs w:val="18"/>
              </w:rPr>
              <w:t>humidité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5.3.3</w:t>
            </w:r>
          </w:p>
        </w:tc>
      </w:tr>
      <w:tr w:rsidR="00267D09" w:rsidRPr="00F54B47" w:rsidTr="00970CD3">
        <w:trPr>
          <w:cantSplit/>
          <w:trHeight w:val="287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Distorsion optique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5.4.1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267D09" w:rsidRPr="00F54B47" w:rsidTr="00970CD3">
        <w:trPr>
          <w:cantSplit/>
          <w:trHeight w:val="35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</w:rPr>
              <w:t>Dédoublement de l</w:t>
            </w:r>
            <w:r>
              <w:rPr>
                <w:sz w:val="18"/>
                <w:szCs w:val="18"/>
              </w:rPr>
              <w:t>’</w:t>
            </w:r>
            <w:r w:rsidRPr="00F54B47">
              <w:rPr>
                <w:sz w:val="18"/>
                <w:szCs w:val="18"/>
              </w:rPr>
              <w:t>image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5.4.2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267D09" w:rsidRPr="00F54B47" w:rsidTr="00970CD3">
        <w:trPr>
          <w:cantSplit/>
          <w:trHeight w:val="251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Fragmentation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5.5.1.1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267D09" w:rsidRPr="00F54B47" w:rsidTr="00970CD3">
        <w:trPr>
          <w:cantSplit/>
          <w:trHeight w:val="390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tête d</w:t>
            </w:r>
            <w:r>
              <w:rPr>
                <w:sz w:val="18"/>
                <w:szCs w:val="18"/>
              </w:rPr>
              <w:t>’</w:t>
            </w:r>
            <w:r w:rsidRPr="00F54B47">
              <w:rPr>
                <w:sz w:val="18"/>
                <w:szCs w:val="18"/>
              </w:rPr>
              <w:t>essai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5.4.3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5.5</w:t>
            </w:r>
            <w:r>
              <w:rPr>
                <w:b/>
                <w:sz w:val="18"/>
                <w:szCs w:val="18"/>
                <w:lang w:val="en-US"/>
              </w:rPr>
              <w:t>.2.2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Pr="00F54B47">
              <w:rPr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A440D3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3B103B">
              <w:rPr>
                <w:b/>
                <w:sz w:val="18"/>
                <w:szCs w:val="18"/>
                <w:lang w:val="en-US"/>
              </w:rPr>
              <w:t>5.5.2.2</w:t>
            </w:r>
            <w:r w:rsidRPr="003B103B">
              <w:rPr>
                <w:b/>
                <w:sz w:val="18"/>
                <w:szCs w:val="18"/>
                <w:u w:val="single"/>
                <w:lang w:val="en-US"/>
              </w:rPr>
              <w:t xml:space="preserve"> 3</w:t>
            </w:r>
            <w:r w:rsidRPr="003B103B">
              <w:rPr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5.5.3.2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u w:val="single"/>
                <w:lang w:val="en-US"/>
              </w:rPr>
              <w:t>2</w:t>
            </w:r>
            <w:r w:rsidRPr="00F54B47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267D09" w:rsidRPr="00F54B47" w:rsidTr="00970CD3">
        <w:trPr>
          <w:cantSplit/>
          <w:trHeight w:val="195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bille de 2</w:t>
            </w:r>
            <w:r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5.4.4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lang w:val="en-US"/>
              </w:rPr>
              <w:t>5.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F54B47">
              <w:rPr>
                <w:b/>
                <w:sz w:val="18"/>
                <w:szCs w:val="18"/>
                <w:lang w:val="en-US"/>
              </w:rPr>
              <w:t>.2</w:t>
            </w:r>
            <w:r>
              <w:rPr>
                <w:b/>
                <w:sz w:val="18"/>
                <w:szCs w:val="18"/>
                <w:lang w:val="en-US"/>
              </w:rPr>
              <w:t>.3</w:t>
            </w:r>
          </w:p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b/>
                <w:sz w:val="18"/>
                <w:szCs w:val="18"/>
                <w:lang w:val="en-US"/>
              </w:rPr>
            </w:pPr>
            <w:r w:rsidRPr="00F54B47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Pr="00F54B47">
              <w:rPr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A440D3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3B103B">
              <w:rPr>
                <w:b/>
                <w:sz w:val="18"/>
                <w:szCs w:val="16"/>
                <w:lang w:val="en-US"/>
              </w:rPr>
              <w:t>5.5.2.3</w:t>
            </w:r>
            <w:r w:rsidRPr="003B103B">
              <w:rPr>
                <w:b/>
                <w:sz w:val="18"/>
                <w:szCs w:val="16"/>
                <w:u w:val="single"/>
                <w:lang w:val="en-US"/>
              </w:rPr>
              <w:t xml:space="preserve"> 3</w:t>
            </w:r>
            <w:r w:rsidRPr="003B103B">
              <w:rPr>
                <w:b/>
                <w:sz w:val="18"/>
                <w:szCs w:val="16"/>
                <w:lang w:val="en-US"/>
              </w:rPr>
              <w:t>/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</w:tr>
      <w:tr w:rsidR="00267D09" w:rsidRPr="00F54B47" w:rsidTr="00970CD3">
        <w:trPr>
          <w:cantSplit/>
          <w:trHeight w:val="305"/>
        </w:trPr>
        <w:tc>
          <w:tcPr>
            <w:tcW w:w="1281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</w:rPr>
            </w:pPr>
            <w:r w:rsidRPr="00F54B47">
              <w:rPr>
                <w:sz w:val="18"/>
                <w:szCs w:val="18"/>
              </w:rPr>
              <w:t>Essai à la bille de 227</w:t>
            </w:r>
            <w:r>
              <w:rPr>
                <w:sz w:val="18"/>
                <w:szCs w:val="18"/>
              </w:rPr>
              <w:t> </w:t>
            </w:r>
            <w:r w:rsidRPr="00F54B47">
              <w:rPr>
                <w:sz w:val="18"/>
                <w:szCs w:val="18"/>
              </w:rPr>
              <w:t>g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59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5.4.5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5.5.1.2</w:t>
            </w:r>
          </w:p>
        </w:tc>
        <w:tc>
          <w:tcPr>
            <w:tcW w:w="643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5.5.1.2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  <w:tc>
          <w:tcPr>
            <w:tcW w:w="644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267D09" w:rsidRPr="00F54B47" w:rsidRDefault="00267D09" w:rsidP="00970CD3">
            <w:pPr>
              <w:spacing w:before="40" w:after="40" w:line="220" w:lineRule="atLeast"/>
              <w:ind w:left="57" w:right="57"/>
              <w:rPr>
                <w:sz w:val="18"/>
                <w:szCs w:val="18"/>
                <w:lang w:val="en-US"/>
              </w:rPr>
            </w:pPr>
            <w:r w:rsidRPr="00F54B47">
              <w:rPr>
                <w:sz w:val="18"/>
                <w:szCs w:val="18"/>
                <w:lang w:val="en-US"/>
              </w:rPr>
              <w:t>5.5.2.1</w:t>
            </w:r>
          </w:p>
        </w:tc>
      </w:tr>
    </w:tbl>
    <w:p w:rsidR="00267D09" w:rsidRPr="001C42B7" w:rsidRDefault="00267D09" w:rsidP="00267D09">
      <w:pPr>
        <w:spacing w:before="120"/>
        <w:ind w:left="1134" w:right="1134" w:firstLine="170"/>
      </w:pPr>
      <w:r w:rsidRPr="0012180D">
        <w:rPr>
          <w:sz w:val="18"/>
          <w:szCs w:val="18"/>
          <w:u w:val="single"/>
        </w:rPr>
        <w:t>1</w:t>
      </w:r>
      <w:r w:rsidRPr="0012180D">
        <w:rPr>
          <w:sz w:val="18"/>
          <w:szCs w:val="18"/>
        </w:rPr>
        <w:t>/</w:t>
      </w:r>
      <w:r w:rsidRPr="0012180D">
        <w:rPr>
          <w:sz w:val="18"/>
          <w:szCs w:val="18"/>
        </w:rPr>
        <w:tab/>
        <w:t>Chaque vitre constitutive doit satisfaire aux épreuves correspondant au type de vitrage.</w:t>
      </w:r>
    </w:p>
    <w:p w:rsidR="00267D09" w:rsidRPr="0012180D" w:rsidRDefault="00267D09" w:rsidP="00267D09">
      <w:pPr>
        <w:ind w:left="1134" w:right="1134" w:firstLine="170"/>
        <w:rPr>
          <w:sz w:val="18"/>
          <w:szCs w:val="18"/>
        </w:rPr>
      </w:pPr>
      <w:r w:rsidRPr="0012180D">
        <w:rPr>
          <w:sz w:val="18"/>
          <w:szCs w:val="18"/>
          <w:u w:val="single"/>
        </w:rPr>
        <w:t>2</w:t>
      </w:r>
      <w:r w:rsidRPr="0012180D">
        <w:rPr>
          <w:sz w:val="18"/>
          <w:szCs w:val="18"/>
        </w:rPr>
        <w:t>/</w:t>
      </w:r>
      <w:r w:rsidRPr="0012180D">
        <w:rPr>
          <w:sz w:val="18"/>
          <w:szCs w:val="18"/>
        </w:rPr>
        <w:tab/>
        <w:t>Voir paragraphe 4.2.2.</w:t>
      </w:r>
    </w:p>
    <w:p w:rsidR="00267D09" w:rsidRPr="0012180D" w:rsidRDefault="00267D09" w:rsidP="00267D09">
      <w:pPr>
        <w:spacing w:after="240"/>
        <w:ind w:left="1134" w:right="1134" w:firstLine="170"/>
        <w:rPr>
          <w:b/>
          <w:sz w:val="18"/>
          <w:szCs w:val="18"/>
        </w:rPr>
      </w:pPr>
      <w:r w:rsidRPr="0012180D">
        <w:rPr>
          <w:b/>
          <w:sz w:val="18"/>
          <w:szCs w:val="18"/>
          <w:u w:val="single"/>
        </w:rPr>
        <w:t>3</w:t>
      </w:r>
      <w:r w:rsidRPr="0012180D">
        <w:rPr>
          <w:b/>
          <w:sz w:val="18"/>
          <w:szCs w:val="18"/>
        </w:rPr>
        <w:t>/</w:t>
      </w:r>
      <w:r w:rsidRPr="0012180D">
        <w:rPr>
          <w:b/>
          <w:sz w:val="18"/>
          <w:szCs w:val="18"/>
        </w:rPr>
        <w:tab/>
        <w:t>Ces essais ne doivent être effectués que sur des</w:t>
      </w:r>
      <w:r w:rsidRPr="0012180D">
        <w:rPr>
          <w:rFonts w:ascii="Segoe UI" w:hAnsi="Segoe UI" w:cs="Segoe UI"/>
          <w:sz w:val="18"/>
          <w:szCs w:val="18"/>
        </w:rPr>
        <w:t xml:space="preserve"> </w:t>
      </w:r>
      <w:r w:rsidRPr="0012180D">
        <w:rPr>
          <w:b/>
          <w:sz w:val="18"/>
          <w:szCs w:val="18"/>
        </w:rPr>
        <w:t>vitrages en verre feuilleté portant le symbole complémentaire /D.</w:t>
      </w:r>
      <w:r w:rsidRPr="00267D09">
        <w:t> »</w:t>
      </w:r>
      <w:r w:rsidRPr="00267D09">
        <w:t>.</w:t>
      </w:r>
    </w:p>
    <w:p w:rsidR="00267D09" w:rsidRPr="00A440D3" w:rsidRDefault="00267D09" w:rsidP="00267D09">
      <w:pPr>
        <w:pStyle w:val="SingleTxtG"/>
        <w:keepNext/>
        <w:rPr>
          <w:rFonts w:eastAsia="DengXian"/>
          <w:lang w:eastAsia="zh-CN"/>
        </w:rPr>
      </w:pPr>
      <w:r w:rsidRPr="00A440D3">
        <w:rPr>
          <w:rFonts w:eastAsia="DengXian"/>
          <w:i/>
          <w:lang w:eastAsia="zh-CN"/>
        </w:rPr>
        <w:lastRenderedPageBreak/>
        <w:t xml:space="preserve">Ajouter </w:t>
      </w:r>
      <w:r>
        <w:rPr>
          <w:rFonts w:eastAsia="DengXian"/>
          <w:i/>
          <w:lang w:eastAsia="zh-CN"/>
        </w:rPr>
        <w:t>les</w:t>
      </w:r>
      <w:r w:rsidRPr="00A440D3">
        <w:rPr>
          <w:rFonts w:eastAsia="DengXian"/>
          <w:i/>
          <w:lang w:eastAsia="zh-CN"/>
        </w:rPr>
        <w:t xml:space="preserve"> nouveaux paragraphes 5.5.2.2 à 5.5.2.3.3.2</w:t>
      </w:r>
      <w:r w:rsidRPr="00A440D3">
        <w:rPr>
          <w:rFonts w:eastAsia="DengXian"/>
          <w:lang w:eastAsia="zh-CN"/>
        </w:rPr>
        <w:t xml:space="preserve">, </w:t>
      </w:r>
      <w:r>
        <w:rPr>
          <w:rFonts w:eastAsia="DengXian"/>
          <w:lang w:eastAsia="zh-CN"/>
        </w:rPr>
        <w:t>libellés comme suit</w:t>
      </w:r>
      <w:r w:rsidRPr="00A440D3">
        <w:rPr>
          <w:rFonts w:eastAsia="DengXian"/>
          <w:lang w:eastAsia="zh-CN"/>
        </w:rPr>
        <w:t> :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rFonts w:eastAsia="DengXian"/>
          <w:b/>
          <w:lang w:eastAsia="zh-CN"/>
        </w:rPr>
      </w:pPr>
      <w:r w:rsidRPr="00A440D3">
        <w:rPr>
          <w:rFonts w:eastAsia="DengXian"/>
          <w:lang w:eastAsia="zh-CN"/>
        </w:rPr>
        <w:t>« </w:t>
      </w:r>
      <w:r w:rsidRPr="00A440D3">
        <w:rPr>
          <w:rFonts w:eastAsia="DengXian"/>
          <w:b/>
          <w:lang w:eastAsia="zh-CN"/>
        </w:rPr>
        <w:t>5.</w:t>
      </w:r>
      <w:r w:rsidR="001C42B7">
        <w:rPr>
          <w:rFonts w:eastAsia="DengXian"/>
          <w:b/>
          <w:lang w:eastAsia="zh-CN"/>
        </w:rPr>
        <w:t>5.2.2</w:t>
      </w:r>
      <w:r w:rsidRPr="00A440D3">
        <w:rPr>
          <w:rFonts w:eastAsia="DengXian"/>
          <w:b/>
          <w:lang w:eastAsia="zh-CN"/>
        </w:rPr>
        <w:tab/>
        <w:t>Essai de comportement au choc de la tête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/>
        <w:rPr>
          <w:rFonts w:eastAsia="DengXian"/>
          <w:b/>
          <w:lang w:eastAsia="zh-CN"/>
        </w:rPr>
      </w:pPr>
      <w:r w:rsidRPr="00A440D3">
        <w:rPr>
          <w:rFonts w:eastAsia="DengXian"/>
          <w:b/>
          <w:lang w:eastAsia="zh-CN"/>
        </w:rPr>
        <w:tab/>
        <w:t>Les dispositions relatives à l</w:t>
      </w:r>
      <w:r>
        <w:rPr>
          <w:rFonts w:eastAsia="DengXian"/>
          <w:b/>
          <w:lang w:eastAsia="zh-CN"/>
        </w:rPr>
        <w:t>’</w:t>
      </w:r>
      <w:r w:rsidRPr="00A440D3">
        <w:rPr>
          <w:rFonts w:eastAsia="DengXian"/>
          <w:b/>
          <w:lang w:eastAsia="zh-CN"/>
        </w:rPr>
        <w:t>essai de comportement au choc de la tête s</w:t>
      </w:r>
      <w:r>
        <w:rPr>
          <w:rFonts w:eastAsia="DengXian"/>
          <w:b/>
          <w:lang w:eastAsia="zh-CN"/>
        </w:rPr>
        <w:t>’</w:t>
      </w:r>
      <w:r w:rsidRPr="00A440D3">
        <w:rPr>
          <w:rFonts w:eastAsia="DengXian"/>
          <w:b/>
          <w:lang w:eastAsia="zh-CN"/>
        </w:rPr>
        <w:t>appliquent aux vitrages en verre feuilleté portant le symbole complémentaire /D.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A440D3">
        <w:rPr>
          <w:b/>
          <w:bCs/>
          <w:iCs/>
        </w:rPr>
        <w:t>5.5.2.2.1</w:t>
      </w:r>
      <w:r w:rsidRPr="00A440D3">
        <w:rPr>
          <w:b/>
          <w:bCs/>
          <w:iCs/>
        </w:rPr>
        <w:tab/>
      </w:r>
      <w:r w:rsidRPr="001C42B7">
        <w:rPr>
          <w:b/>
          <w:bCs/>
          <w:iCs/>
        </w:rPr>
        <w:t>Nombre d’échantillons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/>
        <w:rPr>
          <w:b/>
          <w:bCs/>
          <w:iCs/>
        </w:rPr>
      </w:pPr>
      <w:r w:rsidRPr="00A440D3">
        <w:rPr>
          <w:b/>
          <w:bCs/>
          <w:iCs/>
        </w:rPr>
        <w:tab/>
        <w:t>Huit éprouvettes de sections planes de 1</w:t>
      </w:r>
      <w:r>
        <w:rPr>
          <w:b/>
          <w:bCs/>
          <w:iCs/>
        </w:rPr>
        <w:t> </w:t>
      </w:r>
      <w:r w:rsidRPr="00A440D3">
        <w:rPr>
          <w:b/>
          <w:bCs/>
          <w:iCs/>
        </w:rPr>
        <w:t>100</w:t>
      </w:r>
      <w:r>
        <w:rPr>
          <w:b/>
          <w:bCs/>
          <w:iCs/>
        </w:rPr>
        <w:t xml:space="preserve"> </w:t>
      </w:r>
      <w:r w:rsidRPr="00A440D3">
        <w:rPr>
          <w:b/>
          <w:bCs/>
          <w:iCs/>
        </w:rPr>
        <w:t>mm x 500 mm +10/-2 mm doivent être soumises aux essais.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</w:rPr>
        <w:t>5.5.2.2.2</w:t>
      </w:r>
      <w:r w:rsidRPr="00A440D3">
        <w:rPr>
          <w:b/>
          <w:bCs/>
          <w:iCs/>
        </w:rPr>
        <w:tab/>
      </w:r>
      <w:r w:rsidRPr="001C42B7">
        <w:rPr>
          <w:b/>
          <w:bCs/>
          <w:iCs/>
        </w:rPr>
        <w:t>Méthode d’essai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5.5.2.2.2.1</w:t>
      </w:r>
      <w:r w:rsidRPr="00A440D3">
        <w:rPr>
          <w:b/>
        </w:rPr>
        <w:tab/>
        <w:t>La méthode utilisée doit être celle qui est décrite au paragraphe</w:t>
      </w:r>
      <w:r>
        <w:rPr>
          <w:b/>
        </w:rPr>
        <w:t xml:space="preserve"> 6</w:t>
      </w:r>
      <w:r w:rsidRPr="00A440D3">
        <w:rPr>
          <w:b/>
        </w:rPr>
        <w:t>.5.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</w:rPr>
        <w:t>5.5.2.2.2.2</w:t>
      </w:r>
      <w:r w:rsidRPr="00A440D3">
        <w:rPr>
          <w:b/>
          <w:bCs/>
          <w:iCs/>
        </w:rPr>
        <w:tab/>
        <w:t>La hauteur de chute doit être de 1,50 m +0/-5 </w:t>
      </w:r>
      <w:proofErr w:type="spellStart"/>
      <w:r w:rsidRPr="00A440D3">
        <w:rPr>
          <w:b/>
          <w:bCs/>
          <w:iCs/>
        </w:rPr>
        <w:t>mm.</w:t>
      </w:r>
      <w:proofErr w:type="spellEnd"/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</w:rPr>
        <w:t>5.5.2.2.3</w:t>
      </w:r>
      <w:r w:rsidRPr="00A440D3">
        <w:rPr>
          <w:b/>
          <w:bCs/>
          <w:iCs/>
        </w:rPr>
        <w:tab/>
      </w:r>
      <w:r w:rsidRPr="001C42B7">
        <w:rPr>
          <w:b/>
          <w:bCs/>
          <w:iCs/>
        </w:rPr>
        <w:t>Interprétation des résultats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 w:rsidRPr="003B103B">
        <w:rPr>
          <w:b/>
          <w:iCs/>
        </w:rPr>
        <w:t>5.5.2.2.3.1</w:t>
      </w:r>
      <w:r w:rsidRPr="00A440D3">
        <w:rPr>
          <w:b/>
        </w:rPr>
        <w:tab/>
        <w:t>L</w:t>
      </w:r>
      <w:r>
        <w:rPr>
          <w:b/>
        </w:rPr>
        <w:t>’</w:t>
      </w:r>
      <w:r w:rsidRPr="00A440D3">
        <w:rPr>
          <w:b/>
        </w:rPr>
        <w:t>essai doit être considéré comme ayant donné un résultat satisfaisant si les conditions suivantes sont remplies :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  <w:iCs/>
        </w:rPr>
        <w:t>5.5.2.2.3.1.1</w:t>
      </w:r>
      <w:r w:rsidRPr="00A440D3">
        <w:rPr>
          <w:b/>
          <w:bCs/>
          <w:iCs/>
        </w:rPr>
        <w:tab/>
        <w:t>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éprouvette cède et se brise en présentant de nombreuses fissures circulaires centrées approximativement sur le point d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impact,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  <w:iCs/>
        </w:rPr>
        <w:t>5.5.2.2.3.1.2</w:t>
      </w:r>
      <w:r w:rsidRPr="00A440D3">
        <w:rPr>
          <w:b/>
          <w:bCs/>
          <w:iCs/>
        </w:rPr>
        <w:tab/>
        <w:t>Des déchirures de 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intercalaire sont admises, à condition que la tête du mannequin ne passe pas à travers 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éprouvette,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  <w:bCs/>
          <w:iCs/>
        </w:rPr>
      </w:pPr>
      <w:r w:rsidRPr="003B103B">
        <w:rPr>
          <w:b/>
          <w:iCs/>
        </w:rPr>
        <w:t>5.5.2.2.3.1.3</w:t>
      </w:r>
      <w:r w:rsidRPr="00A440D3">
        <w:rPr>
          <w:b/>
          <w:bCs/>
          <w:iCs/>
        </w:rPr>
        <w:tab/>
        <w:t>Aucun grand fragment de verre ne se détache de 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intercalaire.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Cs/>
          <w:iCs/>
        </w:rPr>
      </w:pPr>
      <w:r w:rsidRPr="003B103B">
        <w:rPr>
          <w:b/>
          <w:iCs/>
        </w:rPr>
        <w:t>5.5.2.2.3.2</w:t>
      </w:r>
      <w:r w:rsidRPr="00A440D3">
        <w:rPr>
          <w:b/>
          <w:bCs/>
          <w:iCs/>
        </w:rPr>
        <w:tab/>
        <w:t>Une série d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éprouvettes présentées à 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homologation doit être considérée comme satisfaisante du point de vue du comportement au choc de la tête si au moins sept parmi les huit éprouvettes répondent aux prescriptions fixées.</w:t>
      </w:r>
      <w:r w:rsidRPr="00A440D3">
        <w:rPr>
          <w:bCs/>
          <w:iCs/>
        </w:rPr>
        <w:t> ».</w:t>
      </w:r>
    </w:p>
    <w:p w:rsidR="00267D09" w:rsidRPr="00A440D3" w:rsidRDefault="00267D09" w:rsidP="00267D09">
      <w:pPr>
        <w:pStyle w:val="SingleTxtG"/>
        <w:keepNext/>
      </w:pPr>
      <w:r w:rsidRPr="00A440D3">
        <w:rPr>
          <w:i/>
        </w:rPr>
        <w:t xml:space="preserve">Ajouter </w:t>
      </w:r>
      <w:r>
        <w:rPr>
          <w:i/>
        </w:rPr>
        <w:t>les</w:t>
      </w:r>
      <w:r w:rsidRPr="00A440D3">
        <w:rPr>
          <w:i/>
        </w:rPr>
        <w:t xml:space="preserve"> nouveaux paragraphes </w:t>
      </w:r>
      <w:r w:rsidRPr="003B103B">
        <w:rPr>
          <w:bCs/>
          <w:i/>
        </w:rPr>
        <w:t>5.5.2.3</w:t>
      </w:r>
      <w:r w:rsidRPr="00A440D3">
        <w:rPr>
          <w:i/>
        </w:rPr>
        <w:t xml:space="preserve"> à </w:t>
      </w:r>
      <w:r w:rsidRPr="003B103B">
        <w:rPr>
          <w:bCs/>
          <w:i/>
        </w:rPr>
        <w:t>5.5.2.3.3.2</w:t>
      </w:r>
      <w:r w:rsidRPr="00A440D3">
        <w:t xml:space="preserve">, </w:t>
      </w:r>
      <w:r>
        <w:t>libellés comme suit</w:t>
      </w:r>
      <w:r w:rsidRPr="00A440D3">
        <w:t> :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 w:rsidRPr="00A440D3">
        <w:t>« </w:t>
      </w:r>
      <w:r w:rsidRPr="003B103B">
        <w:rPr>
          <w:b/>
        </w:rPr>
        <w:t>5.5.2.3</w:t>
      </w:r>
      <w:r w:rsidRPr="00A440D3">
        <w:rPr>
          <w:b/>
        </w:rPr>
        <w:tab/>
        <w:t>Essai à la bille de 2 260 g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/>
        <w:rPr>
          <w:b/>
          <w:bCs/>
          <w:iCs/>
        </w:rPr>
      </w:pPr>
      <w:r w:rsidRPr="00A440D3">
        <w:rPr>
          <w:b/>
          <w:bCs/>
          <w:iCs/>
        </w:rPr>
        <w:tab/>
        <w:t>Les dispositions relatives à l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essai à la bille de 2</w:t>
      </w:r>
      <w:r>
        <w:rPr>
          <w:b/>
          <w:bCs/>
          <w:iCs/>
        </w:rPr>
        <w:t> </w:t>
      </w:r>
      <w:r w:rsidRPr="00A440D3">
        <w:rPr>
          <w:b/>
          <w:bCs/>
          <w:iCs/>
        </w:rPr>
        <w:t>260</w:t>
      </w:r>
      <w:r>
        <w:rPr>
          <w:b/>
          <w:bCs/>
          <w:iCs/>
        </w:rPr>
        <w:t xml:space="preserve"> </w:t>
      </w:r>
      <w:r w:rsidRPr="00A440D3">
        <w:rPr>
          <w:b/>
          <w:bCs/>
          <w:iCs/>
        </w:rPr>
        <w:t>g s</w:t>
      </w:r>
      <w:r>
        <w:rPr>
          <w:b/>
          <w:bCs/>
          <w:iCs/>
        </w:rPr>
        <w:t>’</w:t>
      </w:r>
      <w:r w:rsidRPr="00A440D3">
        <w:rPr>
          <w:b/>
          <w:bCs/>
          <w:iCs/>
        </w:rPr>
        <w:t>appliquent aux vitres en verre feuilleté portant le symbole complémentaire /D.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5.5.2.3.1</w:t>
      </w:r>
      <w:r w:rsidRPr="00A440D3">
        <w:rPr>
          <w:b/>
          <w:bCs/>
          <w:i/>
        </w:rPr>
        <w:tab/>
      </w:r>
      <w:r w:rsidRPr="00A440D3">
        <w:rPr>
          <w:b/>
        </w:rPr>
        <w:t>Douze éprouvettes carrées de 300 mm de côté doivent être soumises aux essais.</w:t>
      </w:r>
    </w:p>
    <w:p w:rsidR="00267D09" w:rsidRPr="00A440D3" w:rsidRDefault="00267D09" w:rsidP="00267D09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5.5.2.3.2</w:t>
      </w:r>
      <w:r w:rsidRPr="00A440D3">
        <w:rPr>
          <w:b/>
        </w:rPr>
        <w:tab/>
        <w:t>Méthode d</w:t>
      </w:r>
      <w:r>
        <w:rPr>
          <w:b/>
        </w:rPr>
        <w:t>’</w:t>
      </w:r>
      <w:r w:rsidRPr="00A440D3">
        <w:rPr>
          <w:b/>
        </w:rPr>
        <w:t>essai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5.5.2.3.2.1</w:t>
      </w:r>
      <w:r w:rsidRPr="00A440D3">
        <w:rPr>
          <w:b/>
        </w:rPr>
        <w:tab/>
        <w:t>La méthode utilisée doit être celle qui est décrite au paragraphe</w:t>
      </w:r>
      <w:r>
        <w:rPr>
          <w:b/>
        </w:rPr>
        <w:t xml:space="preserve"> </w:t>
      </w:r>
      <w:r w:rsidRPr="00A440D3">
        <w:rPr>
          <w:b/>
        </w:rPr>
        <w:t>6.4.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5.5.2.3.2.2</w:t>
      </w:r>
      <w:r w:rsidRPr="00A440D3">
        <w:rPr>
          <w:b/>
        </w:rPr>
        <w:tab/>
        <w:t>La hauteur de chute (mesurée entre la partie inférieure de la bille et la face supérieure de l</w:t>
      </w:r>
      <w:r>
        <w:rPr>
          <w:b/>
        </w:rPr>
        <w:t>’</w:t>
      </w:r>
      <w:r w:rsidRPr="00A440D3">
        <w:rPr>
          <w:b/>
        </w:rPr>
        <w:t>éprouvette) doit être de 4 m +25/-0 </w:t>
      </w:r>
      <w:proofErr w:type="spellStart"/>
      <w:r w:rsidRPr="00A440D3">
        <w:rPr>
          <w:b/>
        </w:rPr>
        <w:t>mm.</w:t>
      </w:r>
      <w:proofErr w:type="spellEnd"/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5.5.2.3.3</w:t>
      </w:r>
      <w:r w:rsidRPr="00A440D3">
        <w:rPr>
          <w:b/>
        </w:rPr>
        <w:tab/>
        <w:t>Interprétation des résultats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  <w:rPr>
          <w:b/>
        </w:rPr>
      </w:pPr>
      <w:r w:rsidRPr="003B103B">
        <w:rPr>
          <w:b/>
        </w:rPr>
        <w:t>5.5.2.3.3.1</w:t>
      </w:r>
      <w:r w:rsidRPr="00A440D3">
        <w:rPr>
          <w:b/>
        </w:rPr>
        <w:tab/>
        <w:t>L</w:t>
      </w:r>
      <w:r>
        <w:rPr>
          <w:b/>
        </w:rPr>
        <w:t>’</w:t>
      </w:r>
      <w:r w:rsidRPr="00A440D3">
        <w:rPr>
          <w:b/>
        </w:rPr>
        <w:t>essai doit être considéré comme ayant donné un résultat satisfaisant si la bille ne passe pas à travers le vitrage dans les 5 s suivant l</w:t>
      </w:r>
      <w:r>
        <w:rPr>
          <w:b/>
        </w:rPr>
        <w:t>’</w:t>
      </w:r>
      <w:r w:rsidRPr="00A440D3">
        <w:rPr>
          <w:b/>
        </w:rPr>
        <w:t>impact.</w:t>
      </w:r>
    </w:p>
    <w:p w:rsidR="00267D09" w:rsidRPr="00A440D3" w:rsidRDefault="00267D09" w:rsidP="00267D09">
      <w:pPr>
        <w:pStyle w:val="SingleTxtG"/>
        <w:tabs>
          <w:tab w:val="left" w:pos="2268"/>
        </w:tabs>
        <w:ind w:left="2268" w:hanging="1134"/>
      </w:pPr>
      <w:r w:rsidRPr="003B103B">
        <w:rPr>
          <w:b/>
        </w:rPr>
        <w:t>5.5.2.3.3.2</w:t>
      </w:r>
      <w:r w:rsidRPr="00A440D3">
        <w:rPr>
          <w:b/>
        </w:rPr>
        <w:tab/>
        <w:t>Une série d</w:t>
      </w:r>
      <w:r>
        <w:rPr>
          <w:b/>
        </w:rPr>
        <w:t>’</w:t>
      </w:r>
      <w:r w:rsidRPr="00A440D3">
        <w:rPr>
          <w:b/>
        </w:rPr>
        <w:t>éprouvettes présentées à l</w:t>
      </w:r>
      <w:r>
        <w:rPr>
          <w:b/>
        </w:rPr>
        <w:t>’</w:t>
      </w:r>
      <w:r w:rsidRPr="00A440D3">
        <w:rPr>
          <w:b/>
        </w:rPr>
        <w:t>homologation doit être considérée comme satisfaisante du point de vue de l</w:t>
      </w:r>
      <w:r>
        <w:rPr>
          <w:b/>
        </w:rPr>
        <w:t>’</w:t>
      </w:r>
      <w:r w:rsidRPr="00A440D3">
        <w:rPr>
          <w:b/>
        </w:rPr>
        <w:t>essai à la bille de 2</w:t>
      </w:r>
      <w:r>
        <w:rPr>
          <w:b/>
        </w:rPr>
        <w:t> </w:t>
      </w:r>
      <w:r w:rsidRPr="00A440D3">
        <w:rPr>
          <w:b/>
        </w:rPr>
        <w:t>260</w:t>
      </w:r>
      <w:r>
        <w:rPr>
          <w:b/>
        </w:rPr>
        <w:t xml:space="preserve"> </w:t>
      </w:r>
      <w:r w:rsidRPr="00A440D3">
        <w:rPr>
          <w:b/>
        </w:rPr>
        <w:t xml:space="preserve">g si au moins </w:t>
      </w:r>
      <w:r w:rsidR="00276282">
        <w:rPr>
          <w:b/>
        </w:rPr>
        <w:t>11</w:t>
      </w:r>
      <w:r w:rsidRPr="00A440D3">
        <w:rPr>
          <w:b/>
        </w:rPr>
        <w:t xml:space="preserve"> des </w:t>
      </w:r>
      <w:r w:rsidR="00276282">
        <w:rPr>
          <w:b/>
        </w:rPr>
        <w:t>12 </w:t>
      </w:r>
      <w:r w:rsidRPr="00A440D3">
        <w:rPr>
          <w:b/>
        </w:rPr>
        <w:t>essais ont donné un résultat satisfaisant.</w:t>
      </w:r>
      <w:r w:rsidRPr="00A440D3">
        <w:t> ».</w:t>
      </w:r>
    </w:p>
    <w:p w:rsidR="00267D09" w:rsidRPr="005A387F" w:rsidRDefault="00267D09" w:rsidP="00267D09">
      <w:pPr>
        <w:pStyle w:val="HChG"/>
      </w:pPr>
      <w:r w:rsidRPr="006377A3">
        <w:lastRenderedPageBreak/>
        <w:tab/>
      </w:r>
      <w:r w:rsidRPr="005A387F">
        <w:t>II.</w:t>
      </w:r>
      <w:r w:rsidRPr="005A387F">
        <w:tab/>
        <w:t>Justification</w:t>
      </w:r>
    </w:p>
    <w:p w:rsidR="00267D09" w:rsidRDefault="00267D09" w:rsidP="00276282">
      <w:pPr>
        <w:pStyle w:val="SingleTxtG"/>
        <w:keepLines/>
        <w:ind w:firstLine="567"/>
      </w:pPr>
      <w:r w:rsidRPr="006377A3">
        <w:t>La présente proposition vise à élaborer, dans le cadre de l</w:t>
      </w:r>
      <w:r>
        <w:t>’</w:t>
      </w:r>
      <w:r w:rsidRPr="006377A3">
        <w:t>Accor</w:t>
      </w:r>
      <w:r>
        <w:t>d</w:t>
      </w:r>
      <w:r w:rsidRPr="006377A3">
        <w:t xml:space="preserve"> de</w:t>
      </w:r>
      <w:r>
        <w:t xml:space="preserve"> 1998, un amendement au RTM ONU n</w:t>
      </w:r>
      <w:r w:rsidRPr="004A773A">
        <w:rPr>
          <w:vertAlign w:val="superscript"/>
        </w:rPr>
        <w:t>o</w:t>
      </w:r>
      <w:r>
        <w:t> 6 sur les v</w:t>
      </w:r>
      <w:r w:rsidRPr="006377A3">
        <w:t>itrages de sécurité</w:t>
      </w:r>
      <w:r>
        <w:t>,</w:t>
      </w:r>
      <w:r w:rsidRPr="006377A3">
        <w:t xml:space="preserve"> </w:t>
      </w:r>
      <w:r>
        <w:t xml:space="preserve">afin d’en adapter les dispositions au progrès technique en permettant l’homologation des </w:t>
      </w:r>
      <w:r w:rsidRPr="00CA7757">
        <w:t xml:space="preserve">vitres en verre feuilleté </w:t>
      </w:r>
      <w:r>
        <w:rPr>
          <w:lang w:val="fr-FR"/>
        </w:rPr>
        <w:t>à propriétés mécaniques améliorées</w:t>
      </w:r>
      <w:r>
        <w:t xml:space="preserve">. Cela rejoint une proposition similaire </w:t>
      </w:r>
      <w:r w:rsidRPr="00C171A5">
        <w:t>concernant le Règlement ONU n</w:t>
      </w:r>
      <w:r w:rsidRPr="004A773A">
        <w:rPr>
          <w:vertAlign w:val="superscript"/>
        </w:rPr>
        <w:t>o</w:t>
      </w:r>
      <w:r>
        <w:t> </w:t>
      </w:r>
      <w:r w:rsidRPr="00C171A5">
        <w:t>43</w:t>
      </w:r>
      <w:r>
        <w:t>, examinée à la 114</w:t>
      </w:r>
      <w:bookmarkStart w:id="0" w:name="_GoBack"/>
      <w:bookmarkEnd w:id="0"/>
      <w:r w:rsidRPr="00C171A5">
        <w:rPr>
          <w:vertAlign w:val="superscript"/>
        </w:rPr>
        <w:t>e</w:t>
      </w:r>
      <w:r>
        <w:t xml:space="preserve"> session du </w:t>
      </w:r>
      <w:r w:rsidRPr="00C171A5">
        <w:t>GRSG</w:t>
      </w:r>
      <w:r>
        <w:t xml:space="preserve"> et approuvée en tant que </w:t>
      </w:r>
      <w:r w:rsidRPr="0050535C">
        <w:t>complément 8 à la série 01 d</w:t>
      </w:r>
      <w:r>
        <w:t>’</w:t>
      </w:r>
      <w:r w:rsidRPr="0050535C">
        <w:t>amendements au Règlement ONU</w:t>
      </w:r>
      <w:r>
        <w:t xml:space="preserve"> n</w:t>
      </w:r>
      <w:r w:rsidRPr="003B103B">
        <w:rPr>
          <w:vertAlign w:val="superscript"/>
        </w:rPr>
        <w:t>o</w:t>
      </w:r>
      <w:r>
        <w:t> 43 lors de la 176</w:t>
      </w:r>
      <w:r w:rsidRPr="003B103B">
        <w:rPr>
          <w:vertAlign w:val="superscript"/>
        </w:rPr>
        <w:t>e</w:t>
      </w:r>
      <w:r>
        <w:t> </w:t>
      </w:r>
      <w:r>
        <w:t xml:space="preserve">session du </w:t>
      </w:r>
      <w:r w:rsidRPr="00D47610">
        <w:t>Forum mondial de l</w:t>
      </w:r>
      <w:r>
        <w:t>’</w:t>
      </w:r>
      <w:r w:rsidRPr="00D47610">
        <w:t>harmonisation des Règlements concernant les véhicules</w:t>
      </w:r>
      <w:r>
        <w:t xml:space="preserve"> (WP.29), tenue du 13 au 16</w:t>
      </w:r>
      <w:r>
        <w:t> </w:t>
      </w:r>
      <w:r>
        <w:t>novembre 2018.</w:t>
      </w:r>
    </w:p>
    <w:p w:rsidR="00F9573C" w:rsidRPr="00267D09" w:rsidRDefault="00267D09" w:rsidP="00267D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67D09" w:rsidSect="006A47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32D" w:rsidRDefault="00B6432D" w:rsidP="00F95C08">
      <w:pPr>
        <w:spacing w:line="240" w:lineRule="auto"/>
      </w:pPr>
    </w:p>
  </w:endnote>
  <w:endnote w:type="continuationSeparator" w:id="0">
    <w:p w:rsidR="00B6432D" w:rsidRPr="00AC3823" w:rsidRDefault="00B6432D" w:rsidP="00AC3823">
      <w:pPr>
        <w:pStyle w:val="Pieddepage"/>
      </w:pPr>
    </w:p>
  </w:endnote>
  <w:endnote w:type="continuationNotice" w:id="1">
    <w:p w:rsidR="00B6432D" w:rsidRDefault="00B643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83" w:rsidRPr="006A4783" w:rsidRDefault="006A4783" w:rsidP="006A4783">
    <w:pPr>
      <w:pStyle w:val="Pieddepage"/>
      <w:tabs>
        <w:tab w:val="right" w:pos="9638"/>
      </w:tabs>
    </w:pPr>
    <w:r w:rsidRPr="006A4783">
      <w:rPr>
        <w:b/>
        <w:sz w:val="18"/>
      </w:rPr>
      <w:fldChar w:fldCharType="begin"/>
    </w:r>
    <w:r w:rsidRPr="006A4783">
      <w:rPr>
        <w:b/>
        <w:sz w:val="18"/>
      </w:rPr>
      <w:instrText xml:space="preserve"> PAGE  \* MERGEFORMAT </w:instrText>
    </w:r>
    <w:r w:rsidRPr="006A4783">
      <w:rPr>
        <w:b/>
        <w:sz w:val="18"/>
      </w:rPr>
      <w:fldChar w:fldCharType="separate"/>
    </w:r>
    <w:r w:rsidRPr="006A4783">
      <w:rPr>
        <w:b/>
        <w:noProof/>
        <w:sz w:val="18"/>
      </w:rPr>
      <w:t>2</w:t>
    </w:r>
    <w:r w:rsidRPr="006A4783">
      <w:rPr>
        <w:b/>
        <w:sz w:val="18"/>
      </w:rPr>
      <w:fldChar w:fldCharType="end"/>
    </w:r>
    <w:r>
      <w:rPr>
        <w:b/>
        <w:sz w:val="18"/>
      </w:rPr>
      <w:tab/>
    </w:r>
    <w:r>
      <w:t>GE.19-12798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83" w:rsidRPr="006A4783" w:rsidRDefault="006A4783" w:rsidP="006A4783">
    <w:pPr>
      <w:pStyle w:val="Pieddepage"/>
      <w:tabs>
        <w:tab w:val="right" w:pos="9638"/>
      </w:tabs>
      <w:rPr>
        <w:b/>
        <w:sz w:val="18"/>
      </w:rPr>
    </w:pPr>
    <w:r>
      <w:t>GE.19-12798</w:t>
    </w:r>
    <w:r>
      <w:tab/>
    </w:r>
    <w:r w:rsidRPr="006A4783">
      <w:rPr>
        <w:b/>
        <w:sz w:val="18"/>
      </w:rPr>
      <w:fldChar w:fldCharType="begin"/>
    </w:r>
    <w:r w:rsidRPr="006A4783">
      <w:rPr>
        <w:b/>
        <w:sz w:val="18"/>
      </w:rPr>
      <w:instrText xml:space="preserve"> PAGE  \* MERGEFORMAT </w:instrText>
    </w:r>
    <w:r w:rsidRPr="006A4783">
      <w:rPr>
        <w:b/>
        <w:sz w:val="18"/>
      </w:rPr>
      <w:fldChar w:fldCharType="separate"/>
    </w:r>
    <w:r w:rsidRPr="006A4783">
      <w:rPr>
        <w:b/>
        <w:noProof/>
        <w:sz w:val="18"/>
      </w:rPr>
      <w:t>3</w:t>
    </w:r>
    <w:r w:rsidRPr="006A47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A4783" w:rsidRDefault="006A4783" w:rsidP="006A478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19-12798  (F)</w:t>
    </w:r>
    <w:r w:rsidR="008E3C05">
      <w:rPr>
        <w:sz w:val="20"/>
      </w:rPr>
      <w:t xml:space="preserve">    140819    210819</w:t>
    </w:r>
    <w:r>
      <w:rPr>
        <w:sz w:val="20"/>
      </w:rPr>
      <w:br/>
    </w:r>
    <w:r w:rsidRPr="006A4783">
      <w:rPr>
        <w:rFonts w:ascii="C39T30Lfz" w:hAnsi="C39T30Lfz"/>
        <w:sz w:val="56"/>
      </w:rPr>
      <w:t></w:t>
    </w:r>
    <w:r w:rsidRPr="006A4783">
      <w:rPr>
        <w:rFonts w:ascii="C39T30Lfz" w:hAnsi="C39T30Lfz"/>
        <w:sz w:val="56"/>
      </w:rPr>
      <w:t></w:t>
    </w:r>
    <w:r w:rsidRPr="006A4783">
      <w:rPr>
        <w:rFonts w:ascii="C39T30Lfz" w:hAnsi="C39T30Lfz"/>
        <w:sz w:val="56"/>
      </w:rPr>
      <w:t></w:t>
    </w:r>
    <w:r w:rsidRPr="006A4783">
      <w:rPr>
        <w:rFonts w:ascii="C39T30Lfz" w:hAnsi="C39T30Lfz"/>
        <w:sz w:val="56"/>
      </w:rPr>
      <w:t></w:t>
    </w:r>
    <w:r w:rsidRPr="006A4783">
      <w:rPr>
        <w:rFonts w:ascii="C39T30Lfz" w:hAnsi="C39T30Lfz"/>
        <w:sz w:val="56"/>
      </w:rPr>
      <w:t></w:t>
    </w:r>
    <w:r w:rsidRPr="006A4783">
      <w:rPr>
        <w:rFonts w:ascii="C39T30Lfz" w:hAnsi="C39T30Lfz"/>
        <w:sz w:val="56"/>
      </w:rPr>
      <w:t></w:t>
    </w:r>
    <w:r w:rsidRPr="006A4783">
      <w:rPr>
        <w:rFonts w:ascii="C39T30Lfz" w:hAnsi="C39T30Lfz"/>
        <w:sz w:val="56"/>
      </w:rPr>
      <w:t></w:t>
    </w:r>
    <w:r w:rsidRPr="006A4783">
      <w:rPr>
        <w:rFonts w:ascii="C39T30Lfz" w:hAnsi="C39T30Lfz"/>
        <w:sz w:val="56"/>
      </w:rPr>
      <w:t></w:t>
    </w:r>
    <w:r w:rsidRPr="006A478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9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32D" w:rsidRPr="00AC3823" w:rsidRDefault="00B643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432D" w:rsidRPr="00AC3823" w:rsidRDefault="00B6432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6432D" w:rsidRPr="00AC3823" w:rsidRDefault="00B6432D">
      <w:pPr>
        <w:spacing w:line="240" w:lineRule="auto"/>
        <w:rPr>
          <w:sz w:val="2"/>
          <w:szCs w:val="2"/>
        </w:rPr>
      </w:pPr>
    </w:p>
  </w:footnote>
  <w:footnote w:id="2">
    <w:p w:rsidR="00267D09" w:rsidRPr="002C53C9" w:rsidRDefault="00267D09" w:rsidP="00267D09">
      <w:pPr>
        <w:pStyle w:val="Notedebasdepage"/>
      </w:pPr>
      <w:r>
        <w:rPr>
          <w:rStyle w:val="Appelnotedebasdep"/>
        </w:rPr>
        <w:tab/>
      </w:r>
      <w:r w:rsidRPr="002C53C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267D09">
        <w:rPr>
          <w:spacing w:val="-1"/>
        </w:rPr>
        <w:t>Conformément au programme de travail du Comité des transports intérieurs pour la période 2018</w:t>
      </w:r>
      <w:r w:rsidRPr="00267D09">
        <w:rPr>
          <w:spacing w:val="-1"/>
        </w:rPr>
        <w:noBreakHyphen/>
        <w:t>2019</w:t>
      </w:r>
      <w:r w:rsidRPr="007526CF">
        <w:t xml:space="preserve"> (ECE/TRANS/274, par. 123, et ECE/TRANS/2018/21/Add.1, module 3.1), le Forum mondial a pour mission d</w:t>
      </w:r>
      <w:r>
        <w:t>’</w:t>
      </w:r>
      <w:r w:rsidRPr="007526CF">
        <w:t>élaborer, d</w:t>
      </w:r>
      <w:r>
        <w:t>’</w:t>
      </w:r>
      <w:r w:rsidRPr="007526CF">
        <w:t>harmoniser et de mettre à jour les Règlements ONU en vue d</w:t>
      </w:r>
      <w:r>
        <w:t>’</w:t>
      </w:r>
      <w:r w:rsidRPr="007526CF">
        <w:t>améliorer les caractéristiques fonctionnelles des véhicules.</w:t>
      </w:r>
      <w:r>
        <w:rPr>
          <w:rFonts w:ascii="Segoe UI" w:hAnsi="Segoe UI" w:cs="Segoe UI"/>
          <w:sz w:val="20"/>
        </w:rPr>
        <w:t xml:space="preserve"> </w:t>
      </w:r>
      <w:r w:rsidRPr="007526CF"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83" w:rsidRPr="006A4783" w:rsidRDefault="006A4783">
    <w:pPr>
      <w:pStyle w:val="En-tte"/>
    </w:pPr>
    <w:fldSimple w:instr=" TITLE  \* MERGEFORMAT ">
      <w:r>
        <w:t>ECE/TRANS/WP.29/GRSG/2019/35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783" w:rsidRPr="006A4783" w:rsidRDefault="006A4783" w:rsidP="006A4783">
    <w:pPr>
      <w:pStyle w:val="En-tte"/>
      <w:jc w:val="right"/>
    </w:pPr>
    <w:fldSimple w:instr=" TITLE  \* MERGEFORMAT ">
      <w:r>
        <w:t>ECE/TRANS/WP.29/GRSG/2019/35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32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C42B7"/>
    <w:rsid w:val="001F525A"/>
    <w:rsid w:val="00223272"/>
    <w:rsid w:val="0024779E"/>
    <w:rsid w:val="00257168"/>
    <w:rsid w:val="00267D09"/>
    <w:rsid w:val="002744B8"/>
    <w:rsid w:val="00276282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A4783"/>
    <w:rsid w:val="0071601D"/>
    <w:rsid w:val="007A62E6"/>
    <w:rsid w:val="007F20FA"/>
    <w:rsid w:val="0080684C"/>
    <w:rsid w:val="00871C75"/>
    <w:rsid w:val="008776DC"/>
    <w:rsid w:val="008E3C05"/>
    <w:rsid w:val="009446C0"/>
    <w:rsid w:val="009705C8"/>
    <w:rsid w:val="00970CD3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432D"/>
    <w:rsid w:val="00B765F7"/>
    <w:rsid w:val="00BA0CA9"/>
    <w:rsid w:val="00C02897"/>
    <w:rsid w:val="00C97039"/>
    <w:rsid w:val="00D22F30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FD5022"/>
  <w15:docId w15:val="{8839F870-3C2A-498B-8A38-B06C9587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737</Words>
  <Characters>5164</Characters>
  <Application>Microsoft Office Word</Application>
  <DocSecurity>0</DocSecurity>
  <Lines>430</Lines>
  <Paragraphs>236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ECE/TRANS/WP.29/GRSG/2019/35</vt:lpstr>
    </vt:vector>
  </TitlesOfParts>
  <Company>DCM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ECE/TRANS/WP.29/GRSG/2019/35</dc:title>
  <dc:subject/>
  <dc:creator>Nicolas MORIN</dc:creator>
  <cp:keywords/>
  <cp:lastModifiedBy>Nicolas MORIN</cp:lastModifiedBy>
  <cp:revision>2</cp:revision>
  <cp:lastPrinted>2014-05-14T10:59:00Z</cp:lastPrinted>
  <dcterms:created xsi:type="dcterms:W3CDTF">2019-08-21T09:57:00Z</dcterms:created>
  <dcterms:modified xsi:type="dcterms:W3CDTF">2019-08-21T09:57:00Z</dcterms:modified>
</cp:coreProperties>
</file>