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832B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832B4" w:rsidP="00E832B4">
            <w:pPr>
              <w:jc w:val="right"/>
            </w:pPr>
            <w:r w:rsidRPr="00E832B4">
              <w:rPr>
                <w:sz w:val="40"/>
              </w:rPr>
              <w:t>ECE</w:t>
            </w:r>
            <w:r>
              <w:t>/TRANS/WP.29/GRSG/2019/17</w:t>
            </w:r>
          </w:p>
        </w:tc>
      </w:tr>
      <w:tr w:rsidR="002D5AAC" w:rsidRPr="00E832B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832B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832B4" w:rsidRDefault="00E832B4" w:rsidP="00E832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July 2019</w:t>
            </w:r>
          </w:p>
          <w:p w:rsidR="00E832B4" w:rsidRDefault="00E832B4" w:rsidP="00E832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832B4" w:rsidRPr="008D53B6" w:rsidRDefault="00E832B4" w:rsidP="00E832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E832B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832B4" w:rsidRPr="00453EFE" w:rsidRDefault="00E832B4" w:rsidP="00E832B4">
      <w:pPr>
        <w:spacing w:before="120"/>
        <w:rPr>
          <w:sz w:val="28"/>
          <w:szCs w:val="28"/>
        </w:rPr>
      </w:pPr>
      <w:r w:rsidRPr="00453EFE">
        <w:rPr>
          <w:sz w:val="28"/>
          <w:szCs w:val="28"/>
        </w:rPr>
        <w:t>Комитет по внутреннему транспорту</w:t>
      </w:r>
    </w:p>
    <w:p w:rsidR="00E832B4" w:rsidRPr="00453EFE" w:rsidRDefault="00E832B4" w:rsidP="00E832B4">
      <w:pPr>
        <w:spacing w:before="120"/>
        <w:rPr>
          <w:b/>
          <w:sz w:val="24"/>
          <w:szCs w:val="24"/>
        </w:rPr>
      </w:pPr>
      <w:r w:rsidRPr="00453EFE">
        <w:rPr>
          <w:b/>
          <w:bCs/>
          <w:sz w:val="24"/>
          <w:szCs w:val="24"/>
        </w:rPr>
        <w:t>Всемирный форум для согласования правил</w:t>
      </w:r>
      <w:r w:rsidRPr="00453EFE">
        <w:rPr>
          <w:b/>
          <w:bCs/>
          <w:sz w:val="24"/>
          <w:szCs w:val="24"/>
        </w:rPr>
        <w:br/>
        <w:t>в области транспортных средств</w:t>
      </w:r>
    </w:p>
    <w:p w:rsidR="00E832B4" w:rsidRPr="00453EFE" w:rsidRDefault="00E832B4" w:rsidP="00E832B4">
      <w:pPr>
        <w:spacing w:before="120"/>
        <w:rPr>
          <w:b/>
          <w:sz w:val="24"/>
          <w:szCs w:val="24"/>
        </w:rPr>
      </w:pPr>
      <w:r w:rsidRPr="00453EFE">
        <w:rPr>
          <w:b/>
          <w:bCs/>
        </w:rPr>
        <w:t xml:space="preserve">Рабочая группа по общим предписаниям, </w:t>
      </w:r>
      <w:r w:rsidRPr="00453EFE">
        <w:rPr>
          <w:b/>
          <w:bCs/>
        </w:rPr>
        <w:br/>
        <w:t>касающимся безопасности</w:t>
      </w:r>
    </w:p>
    <w:p w:rsidR="00E832B4" w:rsidRPr="00453EFE" w:rsidRDefault="00E832B4" w:rsidP="00E832B4">
      <w:pPr>
        <w:tabs>
          <w:tab w:val="center" w:pos="4819"/>
        </w:tabs>
        <w:spacing w:before="120"/>
        <w:rPr>
          <w:b/>
        </w:rPr>
      </w:pPr>
      <w:r w:rsidRPr="00453EFE">
        <w:rPr>
          <w:b/>
        </w:rPr>
        <w:t xml:space="preserve">117-я </w:t>
      </w:r>
      <w:r w:rsidRPr="00453EFE">
        <w:rPr>
          <w:b/>
          <w:bCs/>
        </w:rPr>
        <w:t>сессия</w:t>
      </w:r>
    </w:p>
    <w:p w:rsidR="00E832B4" w:rsidRPr="00453EFE" w:rsidRDefault="00E832B4" w:rsidP="00E832B4">
      <w:r w:rsidRPr="00453EFE">
        <w:t>Женева, 8–11 октября 2019 года</w:t>
      </w:r>
    </w:p>
    <w:p w:rsidR="00E832B4" w:rsidRPr="00453EFE" w:rsidRDefault="00E832B4" w:rsidP="00E832B4">
      <w:r w:rsidRPr="00453EFE">
        <w:t>Пункт 14 предварительной повестки дня</w:t>
      </w:r>
    </w:p>
    <w:p w:rsidR="00E832B4" w:rsidRPr="00453EFE" w:rsidRDefault="00E832B4" w:rsidP="00E832B4">
      <w:pPr>
        <w:rPr>
          <w:b/>
        </w:rPr>
      </w:pPr>
      <w:r w:rsidRPr="00453EFE">
        <w:rPr>
          <w:b/>
        </w:rPr>
        <w:t xml:space="preserve">Правила № 121 ООН (идентификация </w:t>
      </w:r>
      <w:r w:rsidR="00242735">
        <w:rPr>
          <w:b/>
        </w:rPr>
        <w:br/>
      </w:r>
      <w:r w:rsidRPr="00453EFE">
        <w:rPr>
          <w:b/>
        </w:rPr>
        <w:t xml:space="preserve">органов управления, контрольных сигналов </w:t>
      </w:r>
      <w:r w:rsidR="00242735">
        <w:rPr>
          <w:b/>
        </w:rPr>
        <w:br/>
      </w:r>
      <w:r w:rsidRPr="00453EFE">
        <w:rPr>
          <w:b/>
        </w:rPr>
        <w:t>и индикаторов)</w:t>
      </w:r>
    </w:p>
    <w:p w:rsidR="00E832B4" w:rsidRPr="00453EFE" w:rsidRDefault="00E832B4" w:rsidP="00E832B4">
      <w:pPr>
        <w:pStyle w:val="HChG"/>
        <w:rPr>
          <w:sz w:val="26"/>
          <w:szCs w:val="26"/>
        </w:rPr>
      </w:pPr>
      <w:r w:rsidRPr="00453EFE">
        <w:rPr>
          <w:sz w:val="26"/>
          <w:szCs w:val="26"/>
        </w:rPr>
        <w:tab/>
      </w:r>
      <w:r w:rsidRPr="00453EFE">
        <w:rPr>
          <w:sz w:val="26"/>
          <w:szCs w:val="26"/>
        </w:rPr>
        <w:tab/>
        <w:t xml:space="preserve">Предложение по дополнению 11 к первоначальной серии поправок и дополнению 4 к поправкам серии 01 </w:t>
      </w:r>
      <w:r>
        <w:rPr>
          <w:sz w:val="26"/>
          <w:szCs w:val="26"/>
        </w:rPr>
        <w:br/>
      </w:r>
      <w:r w:rsidRPr="00453EFE">
        <w:rPr>
          <w:sz w:val="26"/>
          <w:szCs w:val="26"/>
        </w:rPr>
        <w:t>к Правилам № 121 ООН (идентификация органов управления, контрольных сигналов и индикаторов)</w:t>
      </w:r>
    </w:p>
    <w:p w:rsidR="00E832B4" w:rsidRPr="00453EFE" w:rsidRDefault="00E832B4" w:rsidP="00E832B4">
      <w:pPr>
        <w:pStyle w:val="H1G"/>
        <w:tabs>
          <w:tab w:val="clear" w:pos="851"/>
        </w:tabs>
        <w:ind w:firstLine="0"/>
      </w:pPr>
      <w:r w:rsidRPr="00453EFE">
        <w:t>Представлено экспертом от Международной организации предприятий автомобильной промышленности</w:t>
      </w:r>
      <w:r w:rsidRPr="00E832B4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E832B4" w:rsidRPr="00453EFE" w:rsidRDefault="00E832B4" w:rsidP="00E832B4">
      <w:pPr>
        <w:pStyle w:val="SingleTxtG"/>
        <w:ind w:firstLine="567"/>
        <w:rPr>
          <w:shd w:val="clear" w:color="auto" w:fill="FFFFFF"/>
        </w:rPr>
      </w:pPr>
      <w:r w:rsidRPr="00453EFE">
        <w:rPr>
          <w:shd w:val="clear" w:color="auto" w:fill="FFFFFF"/>
        </w:rPr>
        <w:t xml:space="preserve">Воспроизведенный ниже текст, подготовленный экспертом от Международной организации предприятий автомобильной промышленности (МОПАП), нацелен на повышение качества передаваемой при помощи существующих контрольных сигналов информации согласно Правилам № 121 ООН. </w:t>
      </w:r>
      <w:r w:rsidRPr="00122BC7">
        <w:rPr>
          <w:shd w:val="clear" w:color="auto" w:fill="FFFFFF"/>
        </w:rPr>
        <w:t>В его основу положен главным образом</w:t>
      </w:r>
      <w:r w:rsidRPr="00453EFE">
        <w:rPr>
          <w:shd w:val="clear" w:color="auto" w:fill="FFFFFF"/>
        </w:rPr>
        <w:t xml:space="preserve"> неофициальный документ GRSG-110-06, представленный на 110-й сессии Рабочей группы по общим предписаниям, касающимся безопасности (GRSG); он заменяет собой документ ECE/TRANS/WP.29/GRSG/2018/06, представленный на 114-й сессии GRSG. Изменения к действующему тексту Правил № 121 ООН выделены жирным шрифтом.</w:t>
      </w:r>
    </w:p>
    <w:p w:rsidR="00E832B4" w:rsidRPr="00453EFE" w:rsidRDefault="00E832B4" w:rsidP="00E832B4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453EFE">
        <w:br w:type="page"/>
      </w:r>
      <w:r w:rsidRPr="00453EFE">
        <w:rPr>
          <w:b/>
          <w:sz w:val="28"/>
        </w:rPr>
        <w:lastRenderedPageBreak/>
        <w:t>I.</w:t>
      </w:r>
      <w:r w:rsidRPr="00453EFE">
        <w:rPr>
          <w:b/>
          <w:sz w:val="28"/>
        </w:rPr>
        <w:tab/>
        <w:t>Предложение</w:t>
      </w:r>
    </w:p>
    <w:p w:rsidR="00E832B4" w:rsidRPr="00453EFE" w:rsidRDefault="00E832B4" w:rsidP="00E832B4">
      <w:pPr>
        <w:tabs>
          <w:tab w:val="left" w:pos="2835"/>
        </w:tabs>
        <w:spacing w:before="120" w:after="120"/>
        <w:ind w:left="2268" w:right="1134" w:hanging="1134"/>
        <w:jc w:val="both"/>
      </w:pPr>
      <w:r w:rsidRPr="00453EFE">
        <w:rPr>
          <w:i/>
        </w:rPr>
        <w:t>Таблицу 1</w:t>
      </w:r>
      <w:r w:rsidRPr="00453EFE">
        <w:t xml:space="preserve"> изменить следующим образом (добавив ссылки на сноску </w:t>
      </w:r>
      <w:r w:rsidRPr="00453EFE">
        <w:rPr>
          <w:vertAlign w:val="superscript"/>
        </w:rPr>
        <w:t>18</w:t>
      </w:r>
      <w:r w:rsidRPr="00453EFE">
        <w:t>):</w:t>
      </w:r>
    </w:p>
    <w:p w:rsidR="00E832B4" w:rsidRPr="00453EFE" w:rsidRDefault="00E832B4" w:rsidP="00E832B4">
      <w:pPr>
        <w:tabs>
          <w:tab w:val="left" w:pos="2835"/>
        </w:tabs>
        <w:spacing w:before="120" w:after="120"/>
        <w:ind w:left="2268" w:right="1134" w:hanging="1134"/>
        <w:jc w:val="both"/>
      </w:pPr>
      <w:r w:rsidRPr="00453EFE">
        <w:t>«</w:t>
      </w:r>
    </w:p>
    <w:tbl>
      <w:tblPr>
        <w:tblW w:w="9214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41"/>
        <w:gridCol w:w="1701"/>
        <w:gridCol w:w="2126"/>
        <w:gridCol w:w="1134"/>
        <w:gridCol w:w="1103"/>
      </w:tblGrid>
      <w:tr w:rsidR="00E832B4" w:rsidRPr="00453EFE" w:rsidTr="004362CB">
        <w:trPr>
          <w:cantSplit/>
          <w:tblHeader/>
        </w:trPr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2B4" w:rsidRPr="00E832B4" w:rsidRDefault="00E832B4" w:rsidP="00E832B4">
            <w:pPr>
              <w:spacing w:before="80" w:after="80" w:line="240" w:lineRule="auto"/>
              <w:rPr>
                <w:i/>
                <w:sz w:val="18"/>
                <w:szCs w:val="18"/>
              </w:rPr>
            </w:pPr>
            <w:r w:rsidRPr="00E832B4">
              <w:rPr>
                <w:i/>
                <w:sz w:val="18"/>
                <w:szCs w:val="18"/>
              </w:rPr>
              <w:t>№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2B4" w:rsidRPr="00E832B4" w:rsidRDefault="00E832B4" w:rsidP="00E832B4">
            <w:pPr>
              <w:spacing w:before="80" w:after="80" w:line="240" w:lineRule="auto"/>
              <w:rPr>
                <w:i/>
                <w:sz w:val="18"/>
                <w:szCs w:val="18"/>
              </w:rPr>
            </w:pPr>
            <w:r w:rsidRPr="00E832B4">
              <w:rPr>
                <w:i/>
                <w:sz w:val="18"/>
                <w:szCs w:val="18"/>
              </w:rPr>
              <w:t>Колонка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2B4" w:rsidRPr="00E832B4" w:rsidRDefault="00E832B4" w:rsidP="00E832B4">
            <w:pPr>
              <w:spacing w:before="80" w:after="80" w:line="240" w:lineRule="auto"/>
              <w:rPr>
                <w:bCs/>
                <w:i/>
                <w:sz w:val="18"/>
                <w:szCs w:val="18"/>
              </w:rPr>
            </w:pPr>
            <w:r w:rsidRPr="00E832B4">
              <w:rPr>
                <w:i/>
                <w:sz w:val="18"/>
                <w:szCs w:val="18"/>
              </w:rPr>
              <w:t>Колонка 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2B4" w:rsidRPr="00E832B4" w:rsidRDefault="00E832B4" w:rsidP="00E832B4">
            <w:pPr>
              <w:spacing w:before="80" w:after="80" w:line="240" w:lineRule="auto"/>
              <w:rPr>
                <w:i/>
                <w:sz w:val="18"/>
                <w:szCs w:val="18"/>
              </w:rPr>
            </w:pPr>
            <w:r w:rsidRPr="00E832B4">
              <w:rPr>
                <w:i/>
                <w:sz w:val="18"/>
                <w:szCs w:val="18"/>
              </w:rPr>
              <w:t>Колонка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2B4" w:rsidRPr="00E832B4" w:rsidRDefault="00E832B4" w:rsidP="00E832B4">
            <w:pPr>
              <w:spacing w:before="80" w:after="80" w:line="240" w:lineRule="auto"/>
              <w:rPr>
                <w:i/>
                <w:sz w:val="18"/>
                <w:szCs w:val="18"/>
              </w:rPr>
            </w:pPr>
            <w:r w:rsidRPr="00E832B4">
              <w:rPr>
                <w:i/>
                <w:sz w:val="18"/>
                <w:szCs w:val="18"/>
              </w:rPr>
              <w:t>Колонка 4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32B4" w:rsidRPr="00E832B4" w:rsidRDefault="00E832B4" w:rsidP="00E832B4">
            <w:pPr>
              <w:spacing w:before="80" w:after="80" w:line="240" w:lineRule="auto"/>
              <w:rPr>
                <w:i/>
                <w:sz w:val="18"/>
                <w:szCs w:val="18"/>
              </w:rPr>
            </w:pPr>
            <w:r w:rsidRPr="00E832B4">
              <w:rPr>
                <w:i/>
                <w:sz w:val="18"/>
                <w:szCs w:val="18"/>
              </w:rPr>
              <w:t>Колонка 5</w:t>
            </w:r>
          </w:p>
        </w:tc>
      </w:tr>
      <w:tr w:rsidR="00E832B4" w:rsidRPr="00453EFE" w:rsidTr="00E832B4">
        <w:trPr>
          <w:cantSplit/>
          <w:tblHeader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832B4" w:rsidRPr="00E832B4" w:rsidRDefault="00E832B4" w:rsidP="00E832B4">
            <w:pPr>
              <w:spacing w:before="80" w:after="8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832B4" w:rsidRPr="00E832B4" w:rsidRDefault="00E832B4" w:rsidP="00E832B4">
            <w:pPr>
              <w:spacing w:before="80" w:after="80" w:line="240" w:lineRule="auto"/>
              <w:rPr>
                <w:bCs/>
                <w:i/>
                <w:sz w:val="18"/>
                <w:szCs w:val="18"/>
              </w:rPr>
            </w:pPr>
            <w:r w:rsidRPr="00E832B4">
              <w:rPr>
                <w:i/>
                <w:sz w:val="18"/>
                <w:szCs w:val="18"/>
              </w:rPr>
              <w:t>Сигнал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832B4" w:rsidRPr="00E832B4" w:rsidRDefault="00E832B4" w:rsidP="00E832B4">
            <w:pPr>
              <w:spacing w:before="80" w:after="80" w:line="240" w:lineRule="auto"/>
              <w:rPr>
                <w:bCs/>
                <w:i/>
                <w:sz w:val="18"/>
                <w:szCs w:val="18"/>
              </w:rPr>
            </w:pPr>
            <w:r w:rsidRPr="00E832B4">
              <w:rPr>
                <w:i/>
                <w:sz w:val="18"/>
                <w:szCs w:val="18"/>
              </w:rPr>
              <w:t>Условное обозначение</w:t>
            </w:r>
            <w:r w:rsidRPr="00E832B4">
              <w:rPr>
                <w:rStyle w:val="ae"/>
                <w:i/>
                <w:szCs w:val="18"/>
                <w:vertAlign w:val="superscript"/>
              </w:rPr>
              <w:t xml:space="preserve">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832B4" w:rsidRPr="00E832B4" w:rsidRDefault="00E832B4" w:rsidP="00E832B4">
            <w:pPr>
              <w:spacing w:before="80" w:after="80" w:line="240" w:lineRule="auto"/>
              <w:rPr>
                <w:bCs/>
                <w:i/>
                <w:sz w:val="18"/>
                <w:szCs w:val="18"/>
              </w:rPr>
            </w:pPr>
            <w:r w:rsidRPr="00E832B4">
              <w:rPr>
                <w:i/>
                <w:sz w:val="18"/>
                <w:szCs w:val="18"/>
              </w:rPr>
              <w:t>Функция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832B4" w:rsidRPr="00E832B4" w:rsidRDefault="00E832B4" w:rsidP="00E832B4">
            <w:pPr>
              <w:pStyle w:val="5"/>
              <w:spacing w:before="80" w:after="80" w:line="240" w:lineRule="auto"/>
              <w:rPr>
                <w:b w:val="0"/>
                <w:bCs w:val="0"/>
                <w:sz w:val="18"/>
                <w:szCs w:val="18"/>
              </w:rPr>
            </w:pPr>
            <w:r w:rsidRPr="00E832B4">
              <w:rPr>
                <w:b w:val="0"/>
                <w:sz w:val="18"/>
                <w:szCs w:val="18"/>
              </w:rPr>
              <w:t>Освещение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E832B4" w:rsidRPr="00E832B4" w:rsidRDefault="00E832B4" w:rsidP="00E832B4">
            <w:pPr>
              <w:spacing w:before="80" w:after="80" w:line="240" w:lineRule="auto"/>
              <w:rPr>
                <w:bCs/>
                <w:i/>
                <w:sz w:val="18"/>
                <w:szCs w:val="18"/>
              </w:rPr>
            </w:pPr>
            <w:r w:rsidRPr="00E832B4">
              <w:rPr>
                <w:i/>
                <w:sz w:val="18"/>
                <w:szCs w:val="18"/>
              </w:rPr>
              <w:t>Цвет</w:t>
            </w:r>
          </w:p>
        </w:tc>
      </w:tr>
      <w:tr w:rsidR="00E832B4" w:rsidRPr="00453EFE" w:rsidTr="004362C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/>
        </w:tc>
        <w:tc>
          <w:tcPr>
            <w:tcW w:w="2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…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</w:tr>
      <w:tr w:rsidR="00E832B4" w:rsidRPr="00453EFE" w:rsidTr="004362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>
            <w:r w:rsidRPr="00453EFE">
              <w:t>7.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Передние противотуманные фары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 w:line="240" w:lineRule="auto"/>
            </w:pPr>
            <w:r w:rsidRPr="00453EFE">
              <w:t>Орган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Нет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</w:tr>
      <w:tr w:rsidR="00E832B4" w:rsidRPr="00453EFE" w:rsidTr="004362C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>
            <w:pPr>
              <w:rPr>
                <w:highlight w:val="yellow"/>
              </w:rPr>
            </w:pPr>
          </w:p>
        </w:tc>
        <w:tc>
          <w:tcPr>
            <w:tcW w:w="24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  <w:r w:rsidRPr="00453EFE">
              <w:rPr>
                <w:noProof/>
                <w:lang w:eastAsia="ru-RU"/>
              </w:rPr>
              <w:drawing>
                <wp:inline distT="0" distB="0" distL="0" distR="0" wp14:anchorId="0DA80BEA" wp14:editId="02DDD253">
                  <wp:extent cx="280035" cy="252730"/>
                  <wp:effectExtent l="0" t="0" r="5715" b="0"/>
                  <wp:docPr id="4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EFE">
              <w:t xml:space="preserve">  </w:t>
            </w:r>
            <w:r w:rsidRPr="00453EFE">
              <w:rPr>
                <w:vertAlign w:val="superscript"/>
              </w:rPr>
              <w:t>1</w:t>
            </w:r>
            <w:r w:rsidRPr="00453EFE">
              <w:rPr>
                <w:b/>
                <w:vertAlign w:val="superscript"/>
              </w:rPr>
              <w:t>,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Зеленый</w:t>
            </w:r>
          </w:p>
        </w:tc>
      </w:tr>
      <w:tr w:rsidR="00E832B4" w:rsidRPr="00453EFE" w:rsidTr="004362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>
            <w:r w:rsidRPr="00453EFE">
              <w:t>8.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Задний противотуманный фонарь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Орган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Нет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</w:tr>
      <w:tr w:rsidR="00E832B4" w:rsidRPr="00453EFE" w:rsidTr="004362C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/>
        </w:tc>
        <w:tc>
          <w:tcPr>
            <w:tcW w:w="2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  <w:r w:rsidRPr="00453EFE">
              <w:rPr>
                <w:noProof/>
                <w:lang w:eastAsia="ru-RU"/>
              </w:rPr>
              <w:drawing>
                <wp:inline distT="0" distB="0" distL="0" distR="0" wp14:anchorId="12DA641E" wp14:editId="5F3F7B96">
                  <wp:extent cx="340995" cy="340995"/>
                  <wp:effectExtent l="0" t="0" r="1905" b="1905"/>
                  <wp:docPr id="4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EFE">
              <w:t xml:space="preserve">  </w:t>
            </w:r>
            <w:r w:rsidRPr="00453EFE">
              <w:rPr>
                <w:vertAlign w:val="superscript"/>
              </w:rPr>
              <w:t>1</w:t>
            </w:r>
            <w:r w:rsidRPr="00453EFE">
              <w:rPr>
                <w:b/>
                <w:vertAlign w:val="superscript"/>
              </w:rPr>
              <w:t>,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Желтый</w:t>
            </w:r>
          </w:p>
        </w:tc>
      </w:tr>
      <w:tr w:rsidR="00E832B4" w:rsidRPr="00453EFE" w:rsidTr="004362C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/>
        </w:tc>
        <w:tc>
          <w:tcPr>
            <w:tcW w:w="2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…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</w:tr>
      <w:tr w:rsidR="00E832B4" w:rsidRPr="00453EFE" w:rsidTr="004362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>
            <w:r w:rsidRPr="00453EFE">
              <w:t>17.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Система обогрева и обдува ветрового стекла (с отдельным органом управления)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  <w:r w:rsidRPr="00453EFE">
              <w:rPr>
                <w:noProof/>
                <w:lang w:eastAsia="ru-RU"/>
              </w:rPr>
              <w:drawing>
                <wp:inline distT="0" distB="0" distL="0" distR="0" wp14:anchorId="21750C2D" wp14:editId="2260D64B">
                  <wp:extent cx="389255" cy="3136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EFE">
              <w:rPr>
                <w:b/>
                <w:vertAlign w:val="superscript"/>
              </w:rPr>
              <w:t xml:space="preserve">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Орган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</w:tr>
      <w:tr w:rsidR="00E832B4" w:rsidRPr="00453EFE" w:rsidTr="004362C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/>
        </w:tc>
        <w:tc>
          <w:tcPr>
            <w:tcW w:w="24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Желтый</w:t>
            </w:r>
          </w:p>
        </w:tc>
      </w:tr>
      <w:tr w:rsidR="00E832B4" w:rsidRPr="00453EFE" w:rsidTr="004362CB">
        <w:trPr>
          <w:cantSplit/>
          <w:trHeight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E832B4" w:rsidRPr="00453EFE" w:rsidRDefault="00E832B4" w:rsidP="004362CB">
            <w:r w:rsidRPr="00453EFE">
              <w:t>18.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Система обогрева и обдува заднего стекла (с отдельным органом управления)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  <w:r w:rsidRPr="00453EFE">
              <w:rPr>
                <w:noProof/>
                <w:lang w:eastAsia="ru-RU"/>
              </w:rPr>
              <w:drawing>
                <wp:inline distT="0" distB="0" distL="0" distR="0" wp14:anchorId="7809BAB5" wp14:editId="284CAC30">
                  <wp:extent cx="340995" cy="293370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3EFE">
              <w:rPr>
                <w:b/>
                <w:vertAlign w:val="superscript"/>
              </w:rPr>
              <w:t xml:space="preserve"> 18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Орган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</w:tr>
      <w:tr w:rsidR="00E832B4" w:rsidRPr="00453EFE" w:rsidTr="004362C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/>
        </w:tc>
        <w:tc>
          <w:tcPr>
            <w:tcW w:w="24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Желтый</w:t>
            </w:r>
          </w:p>
        </w:tc>
      </w:tr>
      <w:tr w:rsidR="00E832B4" w:rsidRPr="00453EFE" w:rsidTr="004362CB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/>
        </w:tc>
        <w:tc>
          <w:tcPr>
            <w:tcW w:w="2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…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</w:tr>
      <w:tr w:rsidR="00E832B4" w:rsidRPr="00453EFE" w:rsidTr="004362CB">
        <w:trPr>
          <w:cantSplit/>
          <w:trHeight w:val="268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>
            <w:r w:rsidRPr="00453EFE">
              <w:t>20.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Стояночные фонари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  <w:r w:rsidRPr="00453EFE">
              <w:rPr>
                <w:b/>
                <w:noProof/>
                <w:vertAlign w:val="superscript"/>
                <w:lang w:eastAsia="ru-RU"/>
              </w:rPr>
              <w:drawing>
                <wp:inline distT="0" distB="0" distL="0" distR="0" wp14:anchorId="20767FC9" wp14:editId="7D110D65">
                  <wp:extent cx="304800" cy="295275"/>
                  <wp:effectExtent l="0" t="0" r="0" b="9525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53EFE">
              <w:rPr>
                <w:b/>
                <w:vertAlign w:val="superscript"/>
              </w:rPr>
              <w:t xml:space="preserve">  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Орган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Нет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</w:tr>
      <w:tr w:rsidR="00E832B4" w:rsidRPr="00453EFE" w:rsidTr="004362CB">
        <w:trPr>
          <w:cantSplit/>
          <w:trHeight w:val="15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/>
        </w:tc>
        <w:tc>
          <w:tcPr>
            <w:tcW w:w="2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Зеленый</w:t>
            </w:r>
          </w:p>
        </w:tc>
      </w:tr>
      <w:tr w:rsidR="00E832B4" w:rsidRPr="00453EFE" w:rsidTr="004362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/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ind w:left="-108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</w:tr>
      <w:tr w:rsidR="00E832B4" w:rsidRPr="00453EFE" w:rsidTr="004362CB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>
            <w:r w:rsidRPr="00453EFE">
              <w:t>31.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Дизельный подогреватель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32B4" w:rsidRPr="00453EFE" w:rsidRDefault="00E832B4" w:rsidP="004362CB">
            <w:pPr>
              <w:spacing w:before="40" w:after="40"/>
              <w:ind w:left="-136" w:right="-80"/>
              <w:jc w:val="center"/>
            </w:pPr>
            <w:r w:rsidRPr="00453EFE">
              <w:rPr>
                <w:b/>
                <w:noProof/>
                <w:vertAlign w:val="superscript"/>
                <w:lang w:eastAsia="ru-RU"/>
              </w:rPr>
              <w:drawing>
                <wp:inline distT="0" distB="0" distL="0" distR="0" wp14:anchorId="123BD18F" wp14:editId="1BE303CA">
                  <wp:extent cx="371475" cy="238125"/>
                  <wp:effectExtent l="0" t="0" r="9525" b="9525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53EFE">
              <w:rPr>
                <w:b/>
                <w:vertAlign w:val="superscript"/>
              </w:rPr>
              <w:t xml:space="preserve"> 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Да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Желтый</w:t>
            </w:r>
          </w:p>
        </w:tc>
      </w:tr>
      <w:tr w:rsidR="00E832B4" w:rsidRPr="00453EFE" w:rsidTr="004362CB">
        <w:trPr>
          <w:cantSplit/>
          <w:trHeight w:val="33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>
            <w:r w:rsidRPr="00453EFE">
              <w:t>32.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 xml:space="preserve">Заслонка (приспособление для холодного запуска </w:t>
            </w:r>
            <w:r w:rsidRPr="00453EFE">
              <w:br/>
              <w:t>двигателя)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32B4" w:rsidRPr="00453EFE" w:rsidRDefault="00E832B4" w:rsidP="004362CB">
            <w:pPr>
              <w:spacing w:before="40" w:after="40"/>
              <w:ind w:left="-136" w:right="-80"/>
              <w:jc w:val="center"/>
            </w:pPr>
            <w:r w:rsidRPr="00453EFE">
              <w:rPr>
                <w:b/>
                <w:noProof/>
                <w:vertAlign w:val="superscript"/>
                <w:lang w:eastAsia="ru-RU"/>
              </w:rPr>
              <w:drawing>
                <wp:inline distT="0" distB="0" distL="0" distR="0" wp14:anchorId="6F150FA2" wp14:editId="16059CFC">
                  <wp:extent cx="304800" cy="314325"/>
                  <wp:effectExtent l="0" t="0" r="0" b="952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53EFE">
              <w:rPr>
                <w:b/>
                <w:vertAlign w:val="superscript"/>
              </w:rPr>
              <w:t xml:space="preserve"> 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Орган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Нет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</w:tr>
      <w:tr w:rsidR="00E832B4" w:rsidRPr="00453EFE" w:rsidTr="004362CB">
        <w:trPr>
          <w:cantSplit/>
          <w:trHeight w:val="33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832B4" w:rsidRPr="00453EFE" w:rsidRDefault="00E832B4" w:rsidP="004362CB"/>
        </w:tc>
        <w:tc>
          <w:tcPr>
            <w:tcW w:w="2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ind w:left="-136" w:right="-80"/>
              <w:jc w:val="center"/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Контрольный сигнал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Желтый</w:t>
            </w:r>
          </w:p>
        </w:tc>
      </w:tr>
      <w:tr w:rsidR="00E832B4" w:rsidRPr="00453EFE" w:rsidTr="004362CB">
        <w:trPr>
          <w:cantSplit/>
          <w:trHeight w:val="33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/>
        </w:tc>
        <w:tc>
          <w:tcPr>
            <w:tcW w:w="24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  <w:r w:rsidRPr="00453EFE">
              <w:t>…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  <w:ind w:left="-136" w:right="-80"/>
              <w:jc w:val="center"/>
              <w:rPr>
                <w:noProof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2B4" w:rsidRPr="00453EFE" w:rsidRDefault="00E832B4" w:rsidP="004362CB">
            <w:pPr>
              <w:spacing w:before="40" w:after="40"/>
            </w:pPr>
          </w:p>
        </w:tc>
      </w:tr>
    </w:tbl>
    <w:p w:rsidR="00E832B4" w:rsidRPr="00453EFE" w:rsidRDefault="00E832B4" w:rsidP="00E832B4">
      <w:pPr>
        <w:pStyle w:val="ad"/>
        <w:tabs>
          <w:tab w:val="clear" w:pos="1021"/>
          <w:tab w:val="right" w:pos="900"/>
          <w:tab w:val="right" w:pos="1100"/>
          <w:tab w:val="right" w:pos="1700"/>
          <w:tab w:val="right" w:pos="2100"/>
        </w:tabs>
        <w:ind w:left="1500" w:hanging="300"/>
      </w:pPr>
      <w:r w:rsidRPr="00453EFE">
        <w:rPr>
          <w:vertAlign w:val="superscript"/>
        </w:rPr>
        <w:t>…</w:t>
      </w:r>
    </w:p>
    <w:p w:rsidR="00E832B4" w:rsidRPr="00453EFE" w:rsidRDefault="00E832B4" w:rsidP="00E832B4">
      <w:pPr>
        <w:pStyle w:val="ad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 w:rsidRPr="00453EFE">
        <w:rPr>
          <w:vertAlign w:val="superscript"/>
        </w:rPr>
        <w:t>18</w:t>
      </w:r>
      <w:r w:rsidRPr="00453EFE">
        <w:tab/>
      </w:r>
      <w:r w:rsidRPr="00453EFE">
        <w:rPr>
          <w:bCs/>
        </w:rPr>
        <w:t>Условное обозначение может быть указано не тем цветом, который предусмотрен в колонке 5, а другими цветами для придания иного значения в соответствии с общей кодировкой цветов, предусмотренной в пункте 5 стандарта ISO 2575-2004</w:t>
      </w:r>
      <w:r w:rsidRPr="00453EFE">
        <w:t>.</w:t>
      </w:r>
    </w:p>
    <w:p w:rsidR="00E832B4" w:rsidRPr="00242735" w:rsidRDefault="00E832B4" w:rsidP="00E832B4">
      <w:pPr>
        <w:pStyle w:val="ad"/>
        <w:tabs>
          <w:tab w:val="clear" w:pos="1021"/>
          <w:tab w:val="right" w:pos="900"/>
          <w:tab w:val="right" w:pos="1700"/>
          <w:tab w:val="right" w:pos="2100"/>
        </w:tabs>
        <w:ind w:left="1500" w:hanging="300"/>
        <w:rPr>
          <w:szCs w:val="18"/>
        </w:rPr>
      </w:pPr>
      <w:r w:rsidRPr="00242735">
        <w:rPr>
          <w:bCs/>
          <w:vertAlign w:val="superscript"/>
        </w:rPr>
        <w:t xml:space="preserve">… </w:t>
      </w:r>
      <w:r w:rsidRPr="00242735">
        <w:rPr>
          <w:bCs/>
          <w:sz w:val="20"/>
          <w:vertAlign w:val="superscript"/>
        </w:rPr>
        <w:t>»</w:t>
      </w:r>
      <w:r w:rsidR="00242735">
        <w:rPr>
          <w:bCs/>
          <w:sz w:val="20"/>
        </w:rPr>
        <w:t>.</w:t>
      </w:r>
    </w:p>
    <w:p w:rsidR="00E832B4" w:rsidRPr="00453EFE" w:rsidRDefault="00E832B4" w:rsidP="00E832B4">
      <w:pPr>
        <w:pStyle w:val="HChG"/>
      </w:pPr>
      <w:r w:rsidRPr="00453EFE">
        <w:tab/>
        <w:t>II.</w:t>
      </w:r>
      <w:r w:rsidRPr="00453EFE">
        <w:tab/>
        <w:t>Обоснование</w:t>
      </w:r>
    </w:p>
    <w:p w:rsidR="00E832B4" w:rsidRPr="00453EFE" w:rsidRDefault="00E832B4" w:rsidP="00E832B4">
      <w:pPr>
        <w:pStyle w:val="SingleTxtG"/>
        <w:ind w:hanging="11"/>
        <w:rPr>
          <w:shd w:val="clear" w:color="auto" w:fill="FFFFFF"/>
        </w:rPr>
      </w:pPr>
      <w:r w:rsidRPr="00453EFE">
        <w:t>1.</w:t>
      </w:r>
      <w:r w:rsidRPr="00453EFE">
        <w:tab/>
      </w:r>
      <w:proofErr w:type="gramStart"/>
      <w:r w:rsidRPr="00453EFE">
        <w:t>В</w:t>
      </w:r>
      <w:proofErr w:type="gramEnd"/>
      <w:r w:rsidRPr="00453EFE">
        <w:t xml:space="preserve"> документе GRSG-110-06 предлагается добавить к условным обозначениям 2 (</w:t>
      </w:r>
      <w:bookmarkStart w:id="0" w:name="bookmark_44"/>
      <w:r w:rsidRPr="00453EFE">
        <w:t>ближний свет</w:t>
      </w:r>
      <w:bookmarkEnd w:id="0"/>
      <w:r w:rsidRPr="00453EFE">
        <w:t>) и 19 (</w:t>
      </w:r>
      <w:bookmarkStart w:id="1" w:name="bookmark_106"/>
      <w:r w:rsidRPr="00453EFE">
        <w:t>передние габаритные огни, боковые габаритные огни и/или контурные огни</w:t>
      </w:r>
      <w:bookmarkEnd w:id="1"/>
      <w:r w:rsidRPr="00453EFE">
        <w:t>) снос</w:t>
      </w:r>
      <w:r w:rsidRPr="00453EFE">
        <w:rPr>
          <w:shd w:val="clear" w:color="auto" w:fill="FFFFFF"/>
        </w:rPr>
        <w:t>ку 18 на том основании, что «базисными» правилами № 7, 48 и</w:t>
      </w:r>
      <w:r w:rsidR="00242735">
        <w:rPr>
          <w:shd w:val="clear" w:color="auto" w:fill="FFFFFF"/>
        </w:rPr>
        <w:t> </w:t>
      </w:r>
      <w:r w:rsidRPr="00453EFE">
        <w:rPr>
          <w:shd w:val="clear" w:color="auto" w:fill="FFFFFF"/>
        </w:rPr>
        <w:t>87 ООН помимо индикации режима активации (зеленый/синий) предписывается индикация режима неисправности</w:t>
      </w:r>
      <w:r w:rsidR="00242735">
        <w:rPr>
          <w:shd w:val="clear" w:color="auto" w:fill="FFFFFF"/>
        </w:rPr>
        <w:t xml:space="preserve"> </w:t>
      </w:r>
      <w:r w:rsidRPr="00453EFE">
        <w:rPr>
          <w:shd w:val="clear" w:color="auto" w:fill="FFFFFF"/>
        </w:rPr>
        <w:t xml:space="preserve">(красный). Такая функция световой сигнализации уже существует для фар ближнего света на светоизлучающих диодах (СИД), однако в случае соответствующего контрольного сигнала возможность использования другого цвета для индикации неисправности не предусмотрена. Исходя из этих соображений </w:t>
      </w:r>
      <w:r w:rsidRPr="00453EFE">
        <w:rPr>
          <w:shd w:val="clear" w:color="auto" w:fill="FFFFFF"/>
        </w:rPr>
        <w:lastRenderedPageBreak/>
        <w:t xml:space="preserve">GRSG распространила применение сноски 18 в таблице 1 (текст сноски </w:t>
      </w:r>
      <w:r w:rsidRPr="00453EFE">
        <w:t xml:space="preserve">– </w:t>
      </w:r>
      <w:r w:rsidRPr="00453EFE">
        <w:rPr>
          <w:shd w:val="clear" w:color="auto" w:fill="FFFFFF"/>
        </w:rPr>
        <w:t>исключительно для справки</w:t>
      </w:r>
      <w:r w:rsidRPr="00453EFE">
        <w:t xml:space="preserve"> – </w:t>
      </w:r>
      <w:r w:rsidRPr="00453EFE">
        <w:rPr>
          <w:shd w:val="clear" w:color="auto" w:fill="FFFFFF"/>
        </w:rPr>
        <w:t>приводится выше и никоим образом не изменяет суть предложения), допускающей использование</w:t>
      </w:r>
      <w:r w:rsidRPr="00453EFE">
        <w:rPr>
          <w:bCs/>
        </w:rPr>
        <w:t xml:space="preserve"> других цветов для придания иного значения или </w:t>
      </w:r>
      <w:r w:rsidRPr="00453EFE">
        <w:t xml:space="preserve">индикации изменения статуса </w:t>
      </w:r>
      <w:proofErr w:type="spellStart"/>
      <w:r w:rsidRPr="00453EFE">
        <w:t>задействуемых</w:t>
      </w:r>
      <w:proofErr w:type="spellEnd"/>
      <w:r w:rsidRPr="00453EFE">
        <w:t xml:space="preserve"> функций</w:t>
      </w:r>
      <w:r w:rsidRPr="00453EFE">
        <w:rPr>
          <w:bCs/>
        </w:rPr>
        <w:t>.</w:t>
      </w:r>
    </w:p>
    <w:p w:rsidR="00E832B4" w:rsidRPr="00453EFE" w:rsidRDefault="00E832B4" w:rsidP="00E832B4">
      <w:pPr>
        <w:pStyle w:val="SingleTxtG"/>
        <w:ind w:hanging="11"/>
      </w:pPr>
      <w:r w:rsidRPr="00453EFE">
        <w:t>2.</w:t>
      </w:r>
      <w:r w:rsidRPr="00453EFE">
        <w:tab/>
        <w:t>Как уже отмечалось в обосновании данного изменения (GRSG-110-06), предлагаемые поправки к Правилам № 121 ООН согласуются с закрепленной в пункте</w:t>
      </w:r>
      <w:r>
        <w:rPr>
          <w:lang w:val="en-US"/>
        </w:rPr>
        <w:t> </w:t>
      </w:r>
      <w:r w:rsidRPr="00453EFE">
        <w:t xml:space="preserve">5 стандарта Международной организации по стандартизации (ИСО) 2575 концепцией использования других цветов для индикации изменения статуса </w:t>
      </w:r>
      <w:proofErr w:type="spellStart"/>
      <w:r w:rsidRPr="00453EFE">
        <w:t>задействуемой</w:t>
      </w:r>
      <w:proofErr w:type="spellEnd"/>
      <w:r w:rsidRPr="00453EFE">
        <w:t xml:space="preserve"> функции.</w:t>
      </w:r>
    </w:p>
    <w:p w:rsidR="00E832B4" w:rsidRPr="00453EFE" w:rsidRDefault="00E832B4" w:rsidP="00E832B4">
      <w:pPr>
        <w:pStyle w:val="SingleTxtG"/>
        <w:ind w:hanging="11"/>
        <w:rPr>
          <w:shd w:val="clear" w:color="auto" w:fill="FFFFFF"/>
        </w:rPr>
      </w:pPr>
      <w:r w:rsidRPr="00453EFE">
        <w:t>3.</w:t>
      </w:r>
      <w:r w:rsidRPr="00453EFE">
        <w:tab/>
      </w:r>
      <w:proofErr w:type="gramStart"/>
      <w:r w:rsidRPr="00453EFE">
        <w:rPr>
          <w:shd w:val="clear" w:color="auto" w:fill="FFFFFF"/>
        </w:rPr>
        <w:t>В</w:t>
      </w:r>
      <w:proofErr w:type="gramEnd"/>
      <w:r w:rsidRPr="00453EFE">
        <w:rPr>
          <w:shd w:val="clear" w:color="auto" w:fill="FFFFFF"/>
        </w:rPr>
        <w:t xml:space="preserve"> документе ECE/TRANS/WP.29/GRSG/2018/06 (представленном на </w:t>
      </w:r>
      <w:r>
        <w:rPr>
          <w:shd w:val="clear" w:color="auto" w:fill="FFFFFF"/>
        </w:rPr>
        <w:br/>
      </w:r>
      <w:r w:rsidRPr="00453EFE">
        <w:rPr>
          <w:shd w:val="clear" w:color="auto" w:fill="FFFFFF"/>
        </w:rPr>
        <w:t xml:space="preserve">114-й сессии) МОПАП проинформировала об увеличении числа имеющихся функций наряду с новыми возможностями, открывающимися благодаря современным технологиям отображения информации. Предложение было направлено на упрощение </w:t>
      </w:r>
      <w:r w:rsidRPr="00453EFE">
        <w:t xml:space="preserve">процесса изменения цветового отображения </w:t>
      </w:r>
      <w:r w:rsidRPr="00453EFE">
        <w:rPr>
          <w:shd w:val="clear" w:color="auto" w:fill="FFFFFF"/>
        </w:rPr>
        <w:t>в соответствии со стандартом ISO 2575 с</w:t>
      </w:r>
      <w:r>
        <w:rPr>
          <w:shd w:val="clear" w:color="auto" w:fill="FFFFFF"/>
          <w:lang w:val="en-US"/>
        </w:rPr>
        <w:t> </w:t>
      </w:r>
      <w:r w:rsidRPr="00453EFE">
        <w:rPr>
          <w:shd w:val="clear" w:color="auto" w:fill="FFFFFF"/>
        </w:rPr>
        <w:t xml:space="preserve">целью передачи водителю соответствующей информации о поддерживаемых функциях </w:t>
      </w:r>
      <w:r w:rsidRPr="00453EFE">
        <w:t xml:space="preserve">применительно к 20 </w:t>
      </w:r>
      <w:r w:rsidRPr="00453EFE">
        <w:rPr>
          <w:shd w:val="clear" w:color="auto" w:fill="FFFFFF"/>
        </w:rPr>
        <w:t xml:space="preserve">дополнительным контрольным сигналам. Однако данный подход не встретил консенсуса в рамках </w:t>
      </w:r>
      <w:r w:rsidRPr="00453EFE">
        <w:t>GRSG</w:t>
      </w:r>
      <w:r w:rsidRPr="00453EFE">
        <w:rPr>
          <w:shd w:val="clear" w:color="auto" w:fill="FFFFFF"/>
        </w:rPr>
        <w:t>.</w:t>
      </w:r>
    </w:p>
    <w:p w:rsidR="00E832B4" w:rsidRPr="00453EFE" w:rsidRDefault="00E832B4" w:rsidP="00E832B4">
      <w:pPr>
        <w:pStyle w:val="SingleTxtG"/>
        <w:ind w:hanging="11"/>
      </w:pPr>
      <w:r w:rsidRPr="00453EFE">
        <w:t>4.</w:t>
      </w:r>
      <w:r w:rsidRPr="00453EFE">
        <w:tab/>
        <w:t>Настоящим предложением, подготовленным по итогам двусторонних обменов мнениями с рядом представителей GRSG, вносятся коррективы в гибкий подход к использованию цветов (сноска 18) применительно к 7 контрольным сигналам, признанным актуальными по смыслу документа GRSG-110-06 (возможное распространение применения на источники света).</w:t>
      </w:r>
    </w:p>
    <w:p w:rsidR="00E832B4" w:rsidRPr="00453EFE" w:rsidRDefault="00E832B4" w:rsidP="00E832B4">
      <w:pPr>
        <w:pStyle w:val="SingleTxtG"/>
        <w:ind w:hanging="11"/>
      </w:pPr>
      <w:r w:rsidRPr="00453EFE">
        <w:t>5.</w:t>
      </w:r>
      <w:r w:rsidRPr="00453EFE">
        <w:tab/>
        <w:t>Предлагаемыми поправками не предусматривается изменение каких-либо существующих технических требований Правил № 121 ООН. Поэтому настоящее предложение не содержит переходных положений.</w:t>
      </w:r>
    </w:p>
    <w:p w:rsidR="00E832B4" w:rsidRPr="00453EFE" w:rsidRDefault="00E832B4" w:rsidP="00E832B4">
      <w:pPr>
        <w:spacing w:before="240"/>
        <w:jc w:val="center"/>
        <w:rPr>
          <w:u w:val="single"/>
        </w:rPr>
      </w:pPr>
      <w:bookmarkStart w:id="2" w:name="_GoBack"/>
      <w:bookmarkEnd w:id="2"/>
      <w:r w:rsidRPr="00453EFE">
        <w:rPr>
          <w:u w:val="single"/>
        </w:rPr>
        <w:tab/>
      </w:r>
      <w:r w:rsidRPr="00453EFE">
        <w:rPr>
          <w:u w:val="single"/>
        </w:rPr>
        <w:tab/>
      </w:r>
      <w:r w:rsidRPr="00453EFE">
        <w:rPr>
          <w:u w:val="single"/>
        </w:rPr>
        <w:tab/>
      </w:r>
    </w:p>
    <w:sectPr w:rsidR="00E832B4" w:rsidRPr="00453EFE" w:rsidSect="00E832B4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6D" w:rsidRPr="00A312BC" w:rsidRDefault="00227B6D" w:rsidP="00A312BC"/>
  </w:endnote>
  <w:endnote w:type="continuationSeparator" w:id="0">
    <w:p w:rsidR="00227B6D" w:rsidRPr="00A312BC" w:rsidRDefault="00227B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B4" w:rsidRPr="00E832B4" w:rsidRDefault="00E832B4">
    <w:pPr>
      <w:pStyle w:val="a8"/>
    </w:pPr>
    <w:r w:rsidRPr="00E832B4">
      <w:rPr>
        <w:b/>
        <w:sz w:val="18"/>
      </w:rPr>
      <w:fldChar w:fldCharType="begin"/>
    </w:r>
    <w:r w:rsidRPr="00E832B4">
      <w:rPr>
        <w:b/>
        <w:sz w:val="18"/>
      </w:rPr>
      <w:instrText xml:space="preserve"> PAGE  \* MERGEFORMAT </w:instrText>
    </w:r>
    <w:r w:rsidRPr="00E832B4">
      <w:rPr>
        <w:b/>
        <w:sz w:val="18"/>
      </w:rPr>
      <w:fldChar w:fldCharType="separate"/>
    </w:r>
    <w:r w:rsidR="00587D30">
      <w:rPr>
        <w:b/>
        <w:noProof/>
        <w:sz w:val="18"/>
      </w:rPr>
      <w:t>2</w:t>
    </w:r>
    <w:r w:rsidRPr="00E832B4">
      <w:rPr>
        <w:b/>
        <w:sz w:val="18"/>
      </w:rPr>
      <w:fldChar w:fldCharType="end"/>
    </w:r>
    <w:r>
      <w:rPr>
        <w:b/>
        <w:sz w:val="18"/>
      </w:rPr>
      <w:tab/>
    </w:r>
    <w:r>
      <w:t>GE.19-12282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B4" w:rsidRPr="00E832B4" w:rsidRDefault="00E832B4" w:rsidP="00E832B4">
    <w:pPr>
      <w:pStyle w:val="a8"/>
      <w:tabs>
        <w:tab w:val="clear" w:pos="9639"/>
        <w:tab w:val="right" w:pos="9638"/>
      </w:tabs>
      <w:rPr>
        <w:b/>
        <w:sz w:val="18"/>
      </w:rPr>
    </w:pPr>
    <w:r>
      <w:t>GE.19-12282</w:t>
    </w:r>
    <w:r>
      <w:tab/>
    </w:r>
    <w:r w:rsidRPr="00E832B4">
      <w:rPr>
        <w:b/>
        <w:sz w:val="18"/>
      </w:rPr>
      <w:fldChar w:fldCharType="begin"/>
    </w:r>
    <w:r w:rsidRPr="00E832B4">
      <w:rPr>
        <w:b/>
        <w:sz w:val="18"/>
      </w:rPr>
      <w:instrText xml:space="preserve"> PAGE  \* MERGEFORMAT </w:instrText>
    </w:r>
    <w:r w:rsidRPr="00E832B4">
      <w:rPr>
        <w:b/>
        <w:sz w:val="18"/>
      </w:rPr>
      <w:fldChar w:fldCharType="separate"/>
    </w:r>
    <w:r w:rsidR="00587D30">
      <w:rPr>
        <w:b/>
        <w:noProof/>
        <w:sz w:val="18"/>
      </w:rPr>
      <w:t>3</w:t>
    </w:r>
    <w:r w:rsidRPr="00E832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832B4" w:rsidRDefault="00E832B4" w:rsidP="00E832B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12282  (</w:t>
    </w:r>
    <w:proofErr w:type="gramEnd"/>
    <w:r>
      <w:t>R)</w:t>
    </w:r>
    <w:r>
      <w:rPr>
        <w:lang w:val="en-US"/>
      </w:rPr>
      <w:t xml:space="preserve">  080819  090819</w:t>
    </w:r>
    <w:r>
      <w:br/>
    </w:r>
    <w:r w:rsidRPr="00E832B4">
      <w:rPr>
        <w:rFonts w:ascii="C39T30Lfz" w:hAnsi="C39T30Lfz"/>
        <w:kern w:val="14"/>
        <w:sz w:val="56"/>
      </w:rPr>
      <w:t></w:t>
    </w:r>
    <w:r w:rsidRPr="00E832B4">
      <w:rPr>
        <w:rFonts w:ascii="C39T30Lfz" w:hAnsi="C39T30Lfz"/>
        <w:kern w:val="14"/>
        <w:sz w:val="56"/>
      </w:rPr>
      <w:t></w:t>
    </w:r>
    <w:r w:rsidRPr="00E832B4">
      <w:rPr>
        <w:rFonts w:ascii="C39T30Lfz" w:hAnsi="C39T30Lfz"/>
        <w:kern w:val="14"/>
        <w:sz w:val="56"/>
      </w:rPr>
      <w:t></w:t>
    </w:r>
    <w:r w:rsidRPr="00E832B4">
      <w:rPr>
        <w:rFonts w:ascii="C39T30Lfz" w:hAnsi="C39T30Lfz"/>
        <w:kern w:val="14"/>
        <w:sz w:val="56"/>
      </w:rPr>
      <w:t></w:t>
    </w:r>
    <w:r w:rsidRPr="00E832B4">
      <w:rPr>
        <w:rFonts w:ascii="C39T30Lfz" w:hAnsi="C39T30Lfz"/>
        <w:kern w:val="14"/>
        <w:sz w:val="56"/>
      </w:rPr>
      <w:t></w:t>
    </w:r>
    <w:r w:rsidRPr="00E832B4">
      <w:rPr>
        <w:rFonts w:ascii="C39T30Lfz" w:hAnsi="C39T30Lfz"/>
        <w:kern w:val="14"/>
        <w:sz w:val="56"/>
      </w:rPr>
      <w:t></w:t>
    </w:r>
    <w:r w:rsidRPr="00E832B4">
      <w:rPr>
        <w:rFonts w:ascii="C39T30Lfz" w:hAnsi="C39T30Lfz"/>
        <w:kern w:val="14"/>
        <w:sz w:val="56"/>
      </w:rPr>
      <w:t></w:t>
    </w:r>
    <w:r w:rsidRPr="00E832B4">
      <w:rPr>
        <w:rFonts w:ascii="C39T30Lfz" w:hAnsi="C39T30Lfz"/>
        <w:kern w:val="14"/>
        <w:sz w:val="56"/>
      </w:rPr>
      <w:t></w:t>
    </w:r>
    <w:r w:rsidRPr="00E832B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6D" w:rsidRPr="001075E9" w:rsidRDefault="00227B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7B6D" w:rsidRDefault="00227B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832B4" w:rsidRPr="00242735" w:rsidRDefault="00E832B4" w:rsidP="00E832B4">
      <w:pPr>
        <w:pStyle w:val="ad"/>
        <w:rPr>
          <w:sz w:val="16"/>
        </w:rPr>
      </w:pPr>
      <w:r w:rsidRPr="00F80D8E">
        <w:rPr>
          <w:rStyle w:val="aa"/>
        </w:rPr>
        <w:tab/>
      </w:r>
      <w:r w:rsidRPr="00E832B4">
        <w:rPr>
          <w:rStyle w:val="aa"/>
          <w:sz w:val="20"/>
          <w:vertAlign w:val="baseline"/>
        </w:rPr>
        <w:t>*</w:t>
      </w:r>
      <w:r w:rsidRPr="00F80D8E">
        <w:rPr>
          <w:rStyle w:val="aa"/>
          <w:sz w:val="20"/>
        </w:rPr>
        <w:tab/>
      </w:r>
      <w:r w:rsidRPr="0027706C">
        <w:t>В соответствии с программой работы Комитета по внутреннему транспорту на 2018–2019 годы (</w:t>
      </w:r>
      <w:r w:rsidRPr="005630D1">
        <w:rPr>
          <w:lang w:val="en-US"/>
        </w:rPr>
        <w:t>ECE</w:t>
      </w:r>
      <w:r w:rsidRPr="0027706C">
        <w:t>/</w:t>
      </w:r>
      <w:r w:rsidRPr="005630D1">
        <w:rPr>
          <w:lang w:val="en-US"/>
        </w:rPr>
        <w:t>TRANS</w:t>
      </w:r>
      <w:r w:rsidRPr="0027706C">
        <w:t xml:space="preserve">/274, пункт 123, и </w:t>
      </w:r>
      <w:r w:rsidRPr="00B15178">
        <w:rPr>
          <w:lang w:val="en-US"/>
        </w:rPr>
        <w:t>ECE</w:t>
      </w:r>
      <w:r w:rsidRPr="0027706C">
        <w:t>/</w:t>
      </w:r>
      <w:r w:rsidRPr="00B15178">
        <w:rPr>
          <w:lang w:val="en-US"/>
        </w:rPr>
        <w:t>TRANS</w:t>
      </w:r>
      <w:r w:rsidRPr="0027706C">
        <w:t>/2018/21/</w:t>
      </w:r>
      <w:r w:rsidRPr="00B15178">
        <w:rPr>
          <w:lang w:val="en-US"/>
        </w:rPr>
        <w:t>Add</w:t>
      </w:r>
      <w:r w:rsidRPr="0027706C"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242735">
        <w:t>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B4" w:rsidRPr="00E832B4" w:rsidRDefault="00E832B4">
    <w:pPr>
      <w:pStyle w:val="a5"/>
    </w:pPr>
    <w:fldSimple w:instr=" TITLE  \* MERGEFORMAT ">
      <w:r w:rsidR="00587D30">
        <w:t>ECE/TRANS/WP.29/GRSG/2019/17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2B4" w:rsidRPr="00E832B4" w:rsidRDefault="00E832B4" w:rsidP="00E832B4">
    <w:pPr>
      <w:pStyle w:val="a5"/>
      <w:jc w:val="right"/>
    </w:pPr>
    <w:fldSimple w:instr=" TITLE  \* MERGEFORMAT ">
      <w:r w:rsidR="00587D30">
        <w:t>ECE/TRANS/WP.29/GRSG/2019/17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6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7B6D"/>
    <w:rsid w:val="0024273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7D30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465F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051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32B4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AF0729"/>
  <w15:docId w15:val="{A4153EC6-BDAF-4A40-9D67-092CB18B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832B4"/>
    <w:rPr>
      <w:lang w:val="ru-RU" w:eastAsia="en-US"/>
    </w:rPr>
  </w:style>
  <w:style w:type="character" w:customStyle="1" w:styleId="HChGChar">
    <w:name w:val="_ H _Ch_G Char"/>
    <w:link w:val="HChG"/>
    <w:rsid w:val="00E832B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3</Pages>
  <Words>620</Words>
  <Characters>4223</Characters>
  <Application>Microsoft Office Word</Application>
  <DocSecurity>0</DocSecurity>
  <Lines>214</Lines>
  <Paragraphs>99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ECE/TRANS/WP.29/GRSG/2019/17</vt:lpstr>
      <vt:lpstr>A/</vt:lpstr>
      <vt:lpstr>A/</vt:lpstr>
    </vt:vector>
  </TitlesOfParts>
  <Company>DCM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ECE/TRANS/WP.29/GRSG/2019/17</dc:title>
  <dc:subject/>
  <dc:creator>Svetlana PROKOUDINA</dc:creator>
  <cp:keywords/>
  <cp:lastModifiedBy>Svetlana Prokoudina</cp:lastModifiedBy>
  <cp:revision>4</cp:revision>
  <cp:lastPrinted>2019-08-09T08:40:00Z</cp:lastPrinted>
  <dcterms:created xsi:type="dcterms:W3CDTF">2019-08-09T08:40:00Z</dcterms:created>
  <dcterms:modified xsi:type="dcterms:W3CDTF">2019-08-09T08:45:00Z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