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FB1D91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2883A93" w14:textId="77777777" w:rsidR="00F35BAF" w:rsidRPr="00DB58B5" w:rsidRDefault="00F35BAF" w:rsidP="00F1190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3BD77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5C4F32E" w14:textId="77777777" w:rsidR="00F35BAF" w:rsidRPr="00DB58B5" w:rsidRDefault="00F1190B" w:rsidP="00F1190B">
            <w:pPr>
              <w:jc w:val="right"/>
            </w:pPr>
            <w:r w:rsidRPr="00F1190B">
              <w:rPr>
                <w:sz w:val="40"/>
              </w:rPr>
              <w:t>ECE</w:t>
            </w:r>
            <w:r>
              <w:t>/TRANS/WP.29/GRSG/2019/9</w:t>
            </w:r>
          </w:p>
        </w:tc>
      </w:tr>
      <w:tr w:rsidR="00F35BAF" w:rsidRPr="00DB58B5" w14:paraId="37D7D87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E3309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597D6" wp14:editId="7C6ECAE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CBB87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47196FC" w14:textId="77777777" w:rsidR="00F35BAF" w:rsidRDefault="00F1190B" w:rsidP="00C97039">
            <w:pPr>
              <w:spacing w:before="240"/>
            </w:pPr>
            <w:r>
              <w:t>Distr. générale</w:t>
            </w:r>
          </w:p>
          <w:p w14:paraId="34BA19E3" w14:textId="77777777" w:rsidR="00F1190B" w:rsidRDefault="00F1190B" w:rsidP="00F1190B">
            <w:pPr>
              <w:spacing w:line="240" w:lineRule="exact"/>
            </w:pPr>
            <w:r>
              <w:t>8 janvier 2019</w:t>
            </w:r>
          </w:p>
          <w:p w14:paraId="627FF939" w14:textId="77777777" w:rsidR="00F1190B" w:rsidRDefault="00F1190B" w:rsidP="00F1190B">
            <w:pPr>
              <w:spacing w:line="240" w:lineRule="exact"/>
            </w:pPr>
            <w:r>
              <w:t>Français</w:t>
            </w:r>
          </w:p>
          <w:p w14:paraId="6288DECA" w14:textId="77777777" w:rsidR="00F1190B" w:rsidRPr="00DB58B5" w:rsidRDefault="00F1190B" w:rsidP="00F1190B">
            <w:pPr>
              <w:spacing w:line="240" w:lineRule="exact"/>
            </w:pPr>
            <w:r>
              <w:t>Original : anglais</w:t>
            </w:r>
          </w:p>
        </w:tc>
      </w:tr>
    </w:tbl>
    <w:p w14:paraId="6E98AC24" w14:textId="56E9D975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E433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210C98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91021FA" w14:textId="41C4F989" w:rsidR="005C4F6B" w:rsidRDefault="005C4F6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E433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AF436E1" w14:textId="77777777" w:rsidR="005C4F6B" w:rsidRDefault="005C4F6B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15EA4562" w14:textId="77777777" w:rsidR="005C4F6B" w:rsidRDefault="005C4F6B" w:rsidP="00257168">
      <w:pPr>
        <w:spacing w:before="120" w:line="240" w:lineRule="exact"/>
        <w:rPr>
          <w:b/>
        </w:rPr>
      </w:pPr>
      <w:r>
        <w:rPr>
          <w:b/>
        </w:rPr>
        <w:t>116</w:t>
      </w:r>
      <w:r w:rsidRPr="005C4F6B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57748CCD" w14:textId="77777777" w:rsidR="005C4F6B" w:rsidRPr="007E17C1" w:rsidRDefault="005C4F6B" w:rsidP="005C4F6B">
      <w:r w:rsidRPr="007E17C1">
        <w:rPr>
          <w:lang w:val="fr-FR"/>
        </w:rPr>
        <w:t>Genève, 1</w:t>
      </w:r>
      <w:r w:rsidR="00C0391C" w:rsidRPr="00C0391C">
        <w:rPr>
          <w:vertAlign w:val="superscript"/>
          <w:lang w:val="fr-FR"/>
        </w:rPr>
        <w:t>er</w:t>
      </w:r>
      <w:r w:rsidRPr="007E17C1">
        <w:rPr>
          <w:lang w:val="fr-FR"/>
        </w:rPr>
        <w:t>-5 avril 2019</w:t>
      </w:r>
    </w:p>
    <w:p w14:paraId="2D4A8A43" w14:textId="4382952F" w:rsidR="005C4F6B" w:rsidRPr="007E17C1" w:rsidRDefault="005C4F6B" w:rsidP="005C4F6B">
      <w:r w:rsidRPr="007E17C1">
        <w:rPr>
          <w:lang w:val="fr-FR"/>
        </w:rPr>
        <w:t>Point 2 a) de l</w:t>
      </w:r>
      <w:r w:rsidR="005E4331">
        <w:rPr>
          <w:lang w:val="fr-FR"/>
        </w:rPr>
        <w:t>’</w:t>
      </w:r>
      <w:r w:rsidRPr="007E17C1">
        <w:rPr>
          <w:lang w:val="fr-FR"/>
        </w:rPr>
        <w:t>ordre du jour provisoire</w:t>
      </w:r>
    </w:p>
    <w:p w14:paraId="1FA6F480" w14:textId="77777777" w:rsidR="005C4F6B" w:rsidRPr="007E17C1" w:rsidRDefault="005C4F6B" w:rsidP="005C4F6B">
      <w:pPr>
        <w:rPr>
          <w:b/>
        </w:rPr>
      </w:pPr>
      <w:r w:rsidRPr="007E17C1">
        <w:rPr>
          <w:b/>
          <w:bCs/>
          <w:lang w:val="fr-FR"/>
        </w:rPr>
        <w:t>Amendements aux Règlements sur les autobus et les autocars</w:t>
      </w:r>
      <w:r>
        <w:rPr>
          <w:b/>
          <w:bCs/>
          <w:lang w:val="fr-FR"/>
        </w:rPr>
        <w:t> </w:t>
      </w:r>
      <w:r w:rsidRPr="007E17C1">
        <w:rPr>
          <w:b/>
          <w:bCs/>
          <w:lang w:val="fr-FR"/>
        </w:rPr>
        <w:t>:</w:t>
      </w:r>
    </w:p>
    <w:p w14:paraId="62FE82E7" w14:textId="77777777" w:rsidR="00F9573C" w:rsidRDefault="005C4F6B" w:rsidP="005C4F6B">
      <w:pPr>
        <w:spacing w:line="240" w:lineRule="exact"/>
        <w:rPr>
          <w:b/>
          <w:bCs/>
          <w:lang w:val="fr-FR"/>
        </w:rPr>
      </w:pPr>
      <w:r w:rsidRPr="007E17C1">
        <w:rPr>
          <w:b/>
          <w:bCs/>
          <w:lang w:val="fr-FR"/>
        </w:rPr>
        <w:t xml:space="preserve">Règlement </w:t>
      </w:r>
      <w:r w:rsidRPr="005C4F6B">
        <w:rPr>
          <w:rFonts w:eastAsia="MS Mincho"/>
          <w:b/>
          <w:bCs/>
          <w:szCs w:val="22"/>
          <w:lang w:val="fr-FR"/>
        </w:rPr>
        <w:t>n</w:t>
      </w:r>
      <w:r w:rsidRPr="005C4F6B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7E17C1">
        <w:rPr>
          <w:b/>
          <w:bCs/>
          <w:lang w:val="fr-FR"/>
        </w:rPr>
        <w:t>107 (Véhicules des catégories M</w:t>
      </w:r>
      <w:r w:rsidRPr="007E17C1">
        <w:rPr>
          <w:b/>
          <w:bCs/>
          <w:vertAlign w:val="subscript"/>
          <w:lang w:val="fr-FR"/>
        </w:rPr>
        <w:t>2</w:t>
      </w:r>
      <w:r w:rsidRPr="007E17C1">
        <w:rPr>
          <w:b/>
          <w:bCs/>
          <w:lang w:val="fr-FR"/>
        </w:rPr>
        <w:t xml:space="preserve"> et M</w:t>
      </w:r>
      <w:r w:rsidRPr="007E17C1">
        <w:rPr>
          <w:b/>
          <w:bCs/>
          <w:vertAlign w:val="subscript"/>
          <w:lang w:val="fr-FR"/>
        </w:rPr>
        <w:t>3</w:t>
      </w:r>
      <w:r w:rsidRPr="007E17C1">
        <w:rPr>
          <w:b/>
          <w:bCs/>
          <w:lang w:val="fr-FR"/>
        </w:rPr>
        <w:t>)</w:t>
      </w:r>
    </w:p>
    <w:p w14:paraId="58F0BECB" w14:textId="4BE72FF2" w:rsidR="00127D10" w:rsidRDefault="00127D10" w:rsidP="00127D10">
      <w:pPr>
        <w:pStyle w:val="HChG"/>
        <w:rPr>
          <w:spacing w:val="-3"/>
          <w:lang w:val="fr-FR"/>
        </w:rPr>
      </w:pPr>
      <w:r>
        <w:tab/>
      </w:r>
      <w:r>
        <w:tab/>
      </w:r>
      <w:r w:rsidRPr="007E17C1">
        <w:rPr>
          <w:lang w:val="fr-FR"/>
        </w:rPr>
        <w:t xml:space="preserve">Règlement </w:t>
      </w:r>
      <w:r w:rsidRPr="00127D10">
        <w:rPr>
          <w:rFonts w:eastAsia="MS Mincho"/>
          <w:szCs w:val="22"/>
          <w:lang w:val="fr-FR"/>
        </w:rPr>
        <w:t>n</w:t>
      </w:r>
      <w:r w:rsidRPr="00127D1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E17C1">
        <w:rPr>
          <w:lang w:val="fr-FR"/>
        </w:rPr>
        <w:t>107 (Véhicules des catégories M</w:t>
      </w:r>
      <w:r w:rsidRPr="007E17C1">
        <w:rPr>
          <w:vertAlign w:val="subscript"/>
          <w:lang w:val="fr-FR"/>
        </w:rPr>
        <w:t>2</w:t>
      </w:r>
      <w:r w:rsidRPr="007E17C1">
        <w:rPr>
          <w:lang w:val="fr-FR"/>
        </w:rPr>
        <w:t xml:space="preserve"> et M</w:t>
      </w:r>
      <w:r w:rsidRPr="007E17C1">
        <w:rPr>
          <w:vertAlign w:val="subscript"/>
          <w:lang w:val="fr-FR"/>
        </w:rPr>
        <w:t>3</w:t>
      </w:r>
      <w:r w:rsidRPr="007E17C1">
        <w:rPr>
          <w:lang w:val="fr-FR"/>
        </w:rPr>
        <w:t>)</w:t>
      </w:r>
      <w:r>
        <w:rPr>
          <w:lang w:val="fr-FR"/>
        </w:rPr>
        <w:t> </w:t>
      </w:r>
      <w:r w:rsidRPr="007E17C1">
        <w:rPr>
          <w:lang w:val="fr-FR"/>
        </w:rPr>
        <w:t>: proposition de complément 8 à la série 06 d</w:t>
      </w:r>
      <w:r w:rsidR="005E4331">
        <w:rPr>
          <w:lang w:val="fr-FR"/>
        </w:rPr>
        <w:t>’</w:t>
      </w:r>
      <w:r w:rsidRPr="007E17C1">
        <w:rPr>
          <w:lang w:val="fr-FR"/>
        </w:rPr>
        <w:t xml:space="preserve">amendements, </w:t>
      </w:r>
      <w:r>
        <w:rPr>
          <w:lang w:val="fr-FR"/>
        </w:rPr>
        <w:br/>
      </w:r>
      <w:r w:rsidRPr="00127D10">
        <w:rPr>
          <w:spacing w:val="2"/>
          <w:lang w:val="fr-FR"/>
        </w:rPr>
        <w:t>de complément 3 à la série 07 d</w:t>
      </w:r>
      <w:r w:rsidR="005E4331">
        <w:rPr>
          <w:spacing w:val="2"/>
          <w:lang w:val="fr-FR"/>
        </w:rPr>
        <w:t>’</w:t>
      </w:r>
      <w:r w:rsidRPr="00127D10">
        <w:rPr>
          <w:spacing w:val="2"/>
          <w:lang w:val="fr-FR"/>
        </w:rPr>
        <w:t xml:space="preserve">amendements </w:t>
      </w:r>
      <w:r w:rsidRPr="00127D10">
        <w:rPr>
          <w:spacing w:val="2"/>
          <w:lang w:val="fr-FR"/>
        </w:rPr>
        <w:br/>
      </w:r>
      <w:r w:rsidRPr="00127D10">
        <w:rPr>
          <w:spacing w:val="-3"/>
          <w:lang w:val="fr-FR"/>
        </w:rPr>
        <w:t>et de complément 2 à la série 08 d</w:t>
      </w:r>
      <w:r w:rsidR="005E4331">
        <w:rPr>
          <w:spacing w:val="-3"/>
          <w:lang w:val="fr-FR"/>
        </w:rPr>
        <w:t>’</w:t>
      </w:r>
      <w:r w:rsidRPr="00127D10">
        <w:rPr>
          <w:spacing w:val="-3"/>
          <w:lang w:val="fr-FR"/>
        </w:rPr>
        <w:t>amendements</w:t>
      </w:r>
    </w:p>
    <w:p w14:paraId="26D45AA6" w14:textId="1D27520E" w:rsidR="00127D10" w:rsidRDefault="00127D10" w:rsidP="00127D10">
      <w:pPr>
        <w:pStyle w:val="H1G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E17C1">
        <w:rPr>
          <w:lang w:val="fr-FR"/>
        </w:rPr>
        <w:t>Communication de l</w:t>
      </w:r>
      <w:r w:rsidR="005E4331">
        <w:rPr>
          <w:lang w:val="fr-FR"/>
        </w:rPr>
        <w:t>’</w:t>
      </w:r>
      <w:r w:rsidRPr="007E17C1">
        <w:rPr>
          <w:lang w:val="fr-FR"/>
        </w:rPr>
        <w:t>expert de la Belgique</w:t>
      </w:r>
      <w:r w:rsidRPr="00127D10">
        <w:rPr>
          <w:b w:val="0"/>
          <w:sz w:val="20"/>
          <w:lang w:val="fr-FR"/>
        </w:rPr>
        <w:footnoteReference w:customMarkFollows="1" w:id="2"/>
        <w:t>*</w:t>
      </w:r>
    </w:p>
    <w:p w14:paraId="3BA6512C" w14:textId="4D353340" w:rsidR="00832D1B" w:rsidRDefault="00832D1B" w:rsidP="00832D1B">
      <w:pPr>
        <w:pStyle w:val="SingleTxtG"/>
        <w:ind w:firstLine="567"/>
        <w:rPr>
          <w:lang w:val="fr-FR"/>
        </w:rPr>
      </w:pPr>
      <w:r w:rsidRPr="00832D1B">
        <w:rPr>
          <w:lang w:val="fr-FR"/>
        </w:rPr>
        <w:t>Le texte reproduit ci-après, établi par l</w:t>
      </w:r>
      <w:r w:rsidR="005E4331">
        <w:rPr>
          <w:lang w:val="fr-FR"/>
        </w:rPr>
        <w:t>’</w:t>
      </w:r>
      <w:r w:rsidRPr="00832D1B">
        <w:rPr>
          <w:lang w:val="fr-FR"/>
        </w:rPr>
        <w:t>expert de la Belgique, porte sur la diminution de la masse minimale sur l</w:t>
      </w:r>
      <w:r w:rsidR="005E4331">
        <w:rPr>
          <w:lang w:val="fr-FR"/>
        </w:rPr>
        <w:t>’</w:t>
      </w:r>
      <w:r w:rsidRPr="00832D1B">
        <w:rPr>
          <w:lang w:val="fr-FR"/>
        </w:rPr>
        <w:t>essieu avant d</w:t>
      </w:r>
      <w:r w:rsidR="005E4331">
        <w:rPr>
          <w:lang w:val="fr-FR"/>
        </w:rPr>
        <w:t>’</w:t>
      </w:r>
      <w:r w:rsidRPr="00832D1B">
        <w:rPr>
          <w:lang w:val="fr-FR"/>
        </w:rPr>
        <w:t>un véhicule articulé de la classe</w:t>
      </w:r>
      <w:r>
        <w:rPr>
          <w:lang w:val="fr-FR"/>
        </w:rPr>
        <w:t> </w:t>
      </w:r>
      <w:r w:rsidRPr="00832D1B">
        <w:rPr>
          <w:lang w:val="fr-FR"/>
        </w:rPr>
        <w:t>I. Les modifications qu</w:t>
      </w:r>
      <w:r w:rsidR="005E4331">
        <w:rPr>
          <w:lang w:val="fr-FR"/>
        </w:rPr>
        <w:t>’</w:t>
      </w:r>
      <w:r w:rsidRPr="00832D1B">
        <w:rPr>
          <w:lang w:val="fr-FR"/>
        </w:rPr>
        <w:t>il est proposé d</w:t>
      </w:r>
      <w:r w:rsidR="005E4331">
        <w:rPr>
          <w:lang w:val="fr-FR"/>
        </w:rPr>
        <w:t>’</w:t>
      </w:r>
      <w:r w:rsidRPr="00832D1B">
        <w:rPr>
          <w:lang w:val="fr-FR"/>
        </w:rPr>
        <w:t xml:space="preserve">apporter au texte actuel du Règlement ONU </w:t>
      </w:r>
      <w:r w:rsidRPr="00832D1B">
        <w:rPr>
          <w:rFonts w:eastAsia="MS Mincho"/>
          <w:szCs w:val="22"/>
          <w:lang w:val="fr-FR"/>
        </w:rPr>
        <w:t>n</w:t>
      </w:r>
      <w:r w:rsidRPr="00832D1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832D1B">
        <w:rPr>
          <w:lang w:val="fr-FR"/>
        </w:rPr>
        <w:t>107 sont indiquées en caractères gras.</w:t>
      </w:r>
    </w:p>
    <w:p w14:paraId="7684C7AB" w14:textId="77777777" w:rsidR="00832D1B" w:rsidRPr="00832D1B" w:rsidRDefault="00832D1B" w:rsidP="00832D1B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832D1B">
        <w:rPr>
          <w:lang w:val="fr-FR"/>
        </w:rPr>
        <w:t>I.</w:t>
      </w:r>
      <w:r w:rsidRPr="00832D1B">
        <w:rPr>
          <w:lang w:val="fr-FR"/>
        </w:rPr>
        <w:tab/>
        <w:t>Proposition</w:t>
      </w:r>
    </w:p>
    <w:p w14:paraId="5EECDE49" w14:textId="3A88CF18" w:rsidR="00832D1B" w:rsidRDefault="00832D1B" w:rsidP="00832D1B">
      <w:pPr>
        <w:pStyle w:val="SingleTxtG"/>
        <w:rPr>
          <w:lang w:val="fr-FR"/>
        </w:rPr>
      </w:pPr>
      <w:r w:rsidRPr="00832D1B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832D1B">
        <w:rPr>
          <w:i/>
          <w:iCs/>
          <w:lang w:val="fr-FR"/>
        </w:rPr>
        <w:t>11, paragraphe 3.2.3.3, tableau</w:t>
      </w:r>
      <w:r w:rsidRPr="00832D1B">
        <w:rPr>
          <w:lang w:val="fr-FR"/>
        </w:rPr>
        <w:t>, lire (ajout d</w:t>
      </w:r>
      <w:r w:rsidR="005E4331">
        <w:rPr>
          <w:lang w:val="fr-FR"/>
        </w:rPr>
        <w:t>’</w:t>
      </w:r>
      <w:r w:rsidRPr="00832D1B">
        <w:rPr>
          <w:lang w:val="fr-FR"/>
        </w:rPr>
        <w:t>une nouvelle note</w:t>
      </w:r>
      <w:r w:rsidRPr="00832D1B">
        <w:rPr>
          <w:sz w:val="18"/>
          <w:szCs w:val="18"/>
          <w:vertAlign w:val="superscript"/>
          <w:lang w:val="fr-FR"/>
        </w:rPr>
        <w:t>2</w:t>
      </w:r>
      <w:r w:rsidRPr="00832D1B">
        <w:rPr>
          <w:lang w:val="fr-FR"/>
        </w:rPr>
        <w:t xml:space="preserve"> et référence, dans la deuxième colonne du tableau, à cette nouvelle note)</w:t>
      </w:r>
      <w:r>
        <w:rPr>
          <w:lang w:val="fr-FR"/>
        </w:rPr>
        <w:t> </w:t>
      </w:r>
      <w:r w:rsidRPr="00832D1B">
        <w:rPr>
          <w:lang w:val="fr-FR"/>
        </w:rPr>
        <w:t>:</w:t>
      </w:r>
    </w:p>
    <w:p w14:paraId="40187767" w14:textId="77777777" w:rsidR="00832D1B" w:rsidRDefault="00832D1B" w:rsidP="00832D1B">
      <w:pPr>
        <w:pStyle w:val="SingleTxtG"/>
        <w:rPr>
          <w:lang w:val="fr-FR"/>
        </w:rPr>
      </w:pPr>
      <w:r>
        <w:rPr>
          <w:lang w:val="fr-FR"/>
        </w:rPr>
        <w:t>« 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CD5857" w:rsidRPr="007E17C1" w14:paraId="120C227F" w14:textId="77777777" w:rsidTr="00C522A4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05A97EF1" w14:textId="77777777" w:rsidR="00CD5857" w:rsidRPr="005B715A" w:rsidRDefault="00CD5857" w:rsidP="00A32CC7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Classes I et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527792D4" w14:textId="77777777" w:rsidR="00CD5857" w:rsidRPr="005B715A" w:rsidRDefault="00CD5857" w:rsidP="00A32CC7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Classe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5048C075" w14:textId="77777777" w:rsidR="00CD5857" w:rsidRPr="005B715A" w:rsidRDefault="00CD5857" w:rsidP="00A32CC7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Classes III et B</w:t>
            </w:r>
          </w:p>
        </w:tc>
      </w:tr>
      <w:tr w:rsidR="00CD5857" w:rsidRPr="007E17C1" w14:paraId="74486ED7" w14:textId="77777777" w:rsidTr="00C522A4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76941B61" w14:textId="77777777" w:rsidR="00CD5857" w:rsidRPr="005B715A" w:rsidRDefault="00CD5857" w:rsidP="005B715A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</w:tcPr>
          <w:p w14:paraId="2AEB4FC0" w14:textId="77777777" w:rsidR="00CD5857" w:rsidRPr="005B715A" w:rsidRDefault="00CD5857" w:rsidP="00E31730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05F47CD" w14:textId="77777777" w:rsidR="00CD5857" w:rsidRPr="005B715A" w:rsidRDefault="00CD5857" w:rsidP="00E31730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524F28" w14:textId="77777777" w:rsidR="00CD5857" w:rsidRPr="005B715A" w:rsidRDefault="00CD5857" w:rsidP="00E31730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AB3502E" w14:textId="77777777" w:rsidR="00CD5857" w:rsidRPr="005B715A" w:rsidRDefault="00CD5857" w:rsidP="00E31730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C17B35B" w14:textId="77777777" w:rsidR="00CD5857" w:rsidRPr="005B715A" w:rsidRDefault="00CD5857" w:rsidP="00E31730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</w:tr>
      <w:tr w:rsidR="00CD5857" w:rsidRPr="007E17C1" w14:paraId="71C86CC9" w14:textId="77777777" w:rsidTr="00C522A4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D12492" w14:textId="77777777" w:rsidR="00CD5857" w:rsidRPr="007E17C1" w:rsidRDefault="00CD5857" w:rsidP="005B715A">
            <w:pPr>
              <w:suppressAutoHyphens w:val="0"/>
              <w:spacing w:before="60" w:after="60"/>
              <w:ind w:left="57" w:right="57"/>
            </w:pPr>
            <w:r w:rsidRPr="007E17C1">
              <w:rPr>
                <w:lang w:val="fr-FR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74AF43" w14:textId="77777777" w:rsidR="00CD5857" w:rsidRPr="007E17C1" w:rsidRDefault="00CD5857" w:rsidP="00E31730">
            <w:pPr>
              <w:suppressAutoHyphens w:val="0"/>
              <w:spacing w:before="60" w:after="60"/>
              <w:ind w:left="57" w:right="57"/>
            </w:pPr>
            <w:r w:rsidRPr="007E17C1">
              <w:rPr>
                <w:lang w:val="fr-FR"/>
              </w:rPr>
              <w:t>20</w:t>
            </w:r>
            <w:r w:rsidRPr="00DD115B">
              <w:rPr>
                <w:b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7455FD" w14:textId="77777777" w:rsidR="00CD5857" w:rsidRPr="007E17C1" w:rsidRDefault="00CD5857" w:rsidP="00E31730">
            <w:pPr>
              <w:suppressAutoHyphens w:val="0"/>
              <w:spacing w:before="60" w:after="60"/>
              <w:ind w:left="57" w:right="57"/>
            </w:pPr>
            <w:r w:rsidRPr="007E17C1">
              <w:rPr>
                <w:lang w:val="fr-FR"/>
              </w:rPr>
              <w:t>25</w:t>
            </w:r>
            <w:r w:rsidRPr="008B4827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138AAC" w14:textId="77777777" w:rsidR="00CD5857" w:rsidRPr="007E17C1" w:rsidRDefault="00CD5857" w:rsidP="00E31730">
            <w:pPr>
              <w:suppressAutoHyphens w:val="0"/>
              <w:spacing w:before="60" w:after="60"/>
              <w:ind w:left="57" w:right="57"/>
            </w:pPr>
            <w:r w:rsidRPr="007E17C1">
              <w:rPr>
                <w:lang w:val="fr-FR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BBD86D" w14:textId="77777777" w:rsidR="00CD5857" w:rsidRPr="007E17C1" w:rsidRDefault="00CD5857" w:rsidP="00E31730">
            <w:pPr>
              <w:suppressAutoHyphens w:val="0"/>
              <w:spacing w:before="60" w:after="60"/>
              <w:ind w:left="57" w:right="57"/>
            </w:pPr>
            <w:r w:rsidRPr="007E17C1">
              <w:rPr>
                <w:lang w:val="fr-FR"/>
              </w:rPr>
              <w:t>25</w:t>
            </w:r>
            <w:r w:rsidRPr="008B4827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6AB5AD" w14:textId="77777777" w:rsidR="00CD5857" w:rsidRPr="007E17C1" w:rsidRDefault="00CD5857" w:rsidP="00E31730">
            <w:pPr>
              <w:suppressAutoHyphens w:val="0"/>
              <w:spacing w:before="60" w:after="60"/>
              <w:ind w:left="57" w:right="57"/>
            </w:pPr>
            <w:r w:rsidRPr="007E17C1">
              <w:rPr>
                <w:lang w:val="fr-FR"/>
              </w:rPr>
              <w:t>20</w:t>
            </w:r>
          </w:p>
        </w:tc>
      </w:tr>
      <w:tr w:rsidR="00CD5857" w:rsidRPr="007E17C1" w14:paraId="2F27C91E" w14:textId="77777777" w:rsidTr="00C522A4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024B0A" w14:textId="77777777" w:rsidR="00CD5857" w:rsidRPr="008B4827" w:rsidRDefault="00CD5857" w:rsidP="00A32CC7">
            <w:pPr>
              <w:spacing w:before="120"/>
              <w:rPr>
                <w:spacing w:val="-2"/>
                <w:sz w:val="18"/>
                <w:szCs w:val="18"/>
              </w:rPr>
            </w:pPr>
            <w:r w:rsidRPr="008B4827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="008B4827">
              <w:rPr>
                <w:sz w:val="18"/>
                <w:szCs w:val="18"/>
                <w:lang w:val="fr-FR"/>
              </w:rPr>
              <w:t xml:space="preserve">  </w:t>
            </w:r>
            <w:r w:rsidRPr="008B4827">
              <w:rPr>
                <w:sz w:val="18"/>
                <w:szCs w:val="18"/>
                <w:lang w:val="fr-FR"/>
              </w:rPr>
              <w:t>Pourcentage ramené à 20</w:t>
            </w:r>
            <w:r w:rsidR="008B4827">
              <w:rPr>
                <w:sz w:val="18"/>
                <w:szCs w:val="18"/>
                <w:lang w:val="fr-FR"/>
              </w:rPr>
              <w:t> </w:t>
            </w:r>
            <w:r w:rsidRPr="008B4827">
              <w:rPr>
                <w:sz w:val="18"/>
                <w:szCs w:val="18"/>
                <w:lang w:val="fr-FR"/>
              </w:rPr>
              <w:t>% pour les véhicules à trois essieux des classes II et III ayant deux essieux directeurs.</w:t>
            </w:r>
          </w:p>
          <w:p w14:paraId="40058763" w14:textId="77777777" w:rsidR="00CD5857" w:rsidRPr="007E17C1" w:rsidRDefault="00CD5857" w:rsidP="00A32CC7">
            <w:pPr>
              <w:rPr>
                <w:b/>
              </w:rPr>
            </w:pPr>
            <w:r w:rsidRPr="00D2096C">
              <w:rPr>
                <w:b/>
                <w:sz w:val="18"/>
                <w:szCs w:val="18"/>
                <w:vertAlign w:val="superscript"/>
                <w:lang w:val="fr-FR"/>
              </w:rPr>
              <w:t>2</w:t>
            </w:r>
            <w:r w:rsidR="008B4827">
              <w:rPr>
                <w:sz w:val="18"/>
                <w:szCs w:val="18"/>
                <w:lang w:val="fr-FR"/>
              </w:rPr>
              <w:t xml:space="preserve">  </w:t>
            </w:r>
            <w:r w:rsidRPr="008B4827">
              <w:rPr>
                <w:b/>
                <w:bCs/>
                <w:sz w:val="18"/>
                <w:szCs w:val="18"/>
                <w:lang w:val="fr-FR"/>
              </w:rPr>
              <w:t>Pourcentage ramené à 15</w:t>
            </w:r>
            <w:r w:rsidR="008B4827">
              <w:rPr>
                <w:b/>
                <w:bCs/>
                <w:sz w:val="18"/>
                <w:szCs w:val="18"/>
                <w:lang w:val="fr-FR"/>
              </w:rPr>
              <w:t> </w:t>
            </w:r>
            <w:r w:rsidRPr="008B4827">
              <w:rPr>
                <w:b/>
                <w:bCs/>
                <w:sz w:val="18"/>
                <w:szCs w:val="18"/>
                <w:lang w:val="fr-FR"/>
              </w:rPr>
              <w:t>% pour les véhicules à quatre essieux (ou plus) de la classe</w:t>
            </w:r>
            <w:r w:rsidR="008B4827">
              <w:rPr>
                <w:b/>
                <w:bCs/>
                <w:sz w:val="18"/>
                <w:szCs w:val="18"/>
                <w:lang w:val="fr-FR"/>
              </w:rPr>
              <w:t> </w:t>
            </w:r>
            <w:r w:rsidRPr="008B4827">
              <w:rPr>
                <w:b/>
                <w:bCs/>
                <w:sz w:val="18"/>
                <w:szCs w:val="18"/>
                <w:lang w:val="fr-FR"/>
              </w:rPr>
              <w:t>I ayant deux essieux directeurs</w:t>
            </w:r>
            <w:r w:rsidRPr="005B715A">
              <w:rPr>
                <w:bCs/>
                <w:sz w:val="18"/>
                <w:szCs w:val="18"/>
                <w:lang w:val="fr-FR"/>
              </w:rPr>
              <w:t>.</w:t>
            </w:r>
            <w:r w:rsidR="00A32CC7" w:rsidRPr="00A32CC7">
              <w:rPr>
                <w:bCs/>
                <w:sz w:val="18"/>
                <w:szCs w:val="18"/>
                <w:lang w:val="fr-FR"/>
              </w:rPr>
              <w:t> ».</w:t>
            </w:r>
          </w:p>
        </w:tc>
      </w:tr>
    </w:tbl>
    <w:p w14:paraId="245B49CF" w14:textId="77777777" w:rsidR="000126B8" w:rsidRPr="007E17C1" w:rsidRDefault="000126B8" w:rsidP="000126B8">
      <w:pPr>
        <w:pStyle w:val="HChG"/>
      </w:pPr>
      <w:r>
        <w:rPr>
          <w:lang w:val="fr-FR"/>
        </w:rPr>
        <w:tab/>
      </w:r>
      <w:r w:rsidRPr="007E17C1">
        <w:rPr>
          <w:lang w:val="fr-FR"/>
        </w:rPr>
        <w:t>II.</w:t>
      </w:r>
      <w:r w:rsidRPr="007E17C1">
        <w:rPr>
          <w:lang w:val="fr-FR"/>
        </w:rPr>
        <w:tab/>
      </w:r>
      <w:r w:rsidRPr="000126B8">
        <w:t>Justification</w:t>
      </w:r>
    </w:p>
    <w:p w14:paraId="5D2B4FBB" w14:textId="507EB83D" w:rsidR="000126B8" w:rsidRPr="007E17C1" w:rsidRDefault="000126B8" w:rsidP="00773A1C">
      <w:pPr>
        <w:pStyle w:val="SingleTxtG"/>
      </w:pPr>
      <w:r w:rsidRPr="007E17C1">
        <w:rPr>
          <w:lang w:val="fr-FR"/>
        </w:rPr>
        <w:t>1.</w:t>
      </w:r>
      <w:r w:rsidRPr="007E17C1">
        <w:rPr>
          <w:lang w:val="fr-FR"/>
        </w:rPr>
        <w:tab/>
        <w:t>Les fabricants de véhicules articulés à deux étages à quatre essieux ont beaucoup de mal à satisfaire aux exigences techniques du 3.2.3.3 en ce qui concerne l</w:t>
      </w:r>
      <w:r w:rsidR="005E4331">
        <w:rPr>
          <w:lang w:val="fr-FR"/>
        </w:rPr>
        <w:t>’</w:t>
      </w:r>
      <w:r w:rsidRPr="007E17C1">
        <w:rPr>
          <w:lang w:val="fr-FR"/>
        </w:rPr>
        <w:t>essieu de direction avant, dans la mesure où «</w:t>
      </w:r>
      <w:r w:rsidR="00FE0F0D">
        <w:rPr>
          <w:lang w:val="fr-FR"/>
        </w:rPr>
        <w:t> </w:t>
      </w:r>
      <w:r w:rsidRPr="007E17C1">
        <w:rPr>
          <w:lang w:val="fr-FR"/>
        </w:rPr>
        <w:t>la masse correspondant à la charge sur l</w:t>
      </w:r>
      <w:r w:rsidR="005E4331">
        <w:rPr>
          <w:lang w:val="fr-FR"/>
        </w:rPr>
        <w:t>’</w:t>
      </w:r>
      <w:r w:rsidRPr="007E17C1">
        <w:rPr>
          <w:lang w:val="fr-FR"/>
        </w:rPr>
        <w:t>essieu avant ou sur le groupe d</w:t>
      </w:r>
      <w:r w:rsidR="005E4331">
        <w:rPr>
          <w:lang w:val="fr-FR"/>
        </w:rPr>
        <w:t>’</w:t>
      </w:r>
      <w:r w:rsidRPr="007E17C1">
        <w:rPr>
          <w:lang w:val="fr-FR"/>
        </w:rPr>
        <w:t xml:space="preserve">essieux avant ne peut être inférieure au pourcentage de la masse du véhicule en ordre de marche ou de la masse en charge maximale techniquement admissible </w:t>
      </w:r>
      <w:r w:rsidR="00FE0F0D" w:rsidRPr="00FE0F0D">
        <w:t>“</w:t>
      </w:r>
      <w:r w:rsidRPr="007E17C1">
        <w:rPr>
          <w:lang w:val="fr-FR"/>
        </w:rPr>
        <w:t>M</w:t>
      </w:r>
      <w:r w:rsidR="00FE0F0D" w:rsidRPr="00FE0F0D">
        <w:t>”</w:t>
      </w:r>
      <w:r w:rsidRPr="007E17C1">
        <w:rPr>
          <w:lang w:val="fr-FR"/>
        </w:rPr>
        <w:t>défini par le tableau suivant</w:t>
      </w:r>
      <w:r w:rsidR="00773A1C">
        <w:rPr>
          <w:lang w:val="fr-FR"/>
        </w:rPr>
        <w:t> </w:t>
      </w:r>
      <w:r w:rsidRPr="007E17C1">
        <w:rPr>
          <w:lang w:val="fr-FR"/>
        </w:rPr>
        <w:t>:</w:t>
      </w:r>
      <w:r w:rsidR="00773A1C">
        <w:rPr>
          <w:lang w:val="fr-FR"/>
        </w:rPr>
        <w:t> </w:t>
      </w:r>
      <w:r w:rsidRPr="007E17C1">
        <w:rPr>
          <w:lang w:val="fr-FR"/>
        </w:rPr>
        <w:t>». Certaines autorités d</w:t>
      </w:r>
      <w:r w:rsidR="005E4331">
        <w:rPr>
          <w:lang w:val="fr-FR"/>
        </w:rPr>
        <w:t>’</w:t>
      </w:r>
      <w:r w:rsidRPr="007E17C1">
        <w:rPr>
          <w:lang w:val="fr-FR"/>
        </w:rPr>
        <w:t>homologation de type acceptent un procès</w:t>
      </w:r>
      <w:r w:rsidR="00717433">
        <w:rPr>
          <w:lang w:val="fr-FR"/>
        </w:rPr>
        <w:noBreakHyphen/>
      </w:r>
      <w:r w:rsidRPr="007E17C1">
        <w:rPr>
          <w:lang w:val="fr-FR"/>
        </w:rPr>
        <w:t>verbal d</w:t>
      </w:r>
      <w:r w:rsidR="005E4331">
        <w:rPr>
          <w:lang w:val="fr-FR"/>
        </w:rPr>
        <w:t>’</w:t>
      </w:r>
      <w:r w:rsidRPr="007E17C1">
        <w:rPr>
          <w:lang w:val="fr-FR"/>
        </w:rPr>
        <w:t>essais dans le cas de l</w:t>
      </w:r>
      <w:r w:rsidR="005E4331">
        <w:rPr>
          <w:lang w:val="fr-FR"/>
        </w:rPr>
        <w:t>’</w:t>
      </w:r>
      <w:r w:rsidRPr="007E17C1">
        <w:rPr>
          <w:lang w:val="fr-FR"/>
        </w:rPr>
        <w:t>approbation d</w:t>
      </w:r>
      <w:r w:rsidR="005E4331">
        <w:rPr>
          <w:lang w:val="fr-FR"/>
        </w:rPr>
        <w:t>’</w:t>
      </w:r>
      <w:r w:rsidRPr="007E17C1">
        <w:rPr>
          <w:lang w:val="fr-FR"/>
        </w:rPr>
        <w:t>un tel véhicule.</w:t>
      </w:r>
    </w:p>
    <w:p w14:paraId="619EA85A" w14:textId="411438A7" w:rsidR="00832D1B" w:rsidRDefault="000126B8" w:rsidP="00773A1C">
      <w:pPr>
        <w:pStyle w:val="SingleTxtG"/>
        <w:rPr>
          <w:lang w:val="fr-FR"/>
        </w:rPr>
      </w:pPr>
      <w:r w:rsidRPr="007E17C1">
        <w:rPr>
          <w:lang w:val="fr-FR"/>
        </w:rPr>
        <w:t>2.</w:t>
      </w:r>
      <w:r w:rsidRPr="007E17C1">
        <w:rPr>
          <w:lang w:val="fr-FR"/>
        </w:rPr>
        <w:tab/>
        <w:t>Eu égard à la différence de 5</w:t>
      </w:r>
      <w:r w:rsidR="009F2F93">
        <w:rPr>
          <w:lang w:val="fr-FR"/>
        </w:rPr>
        <w:t> </w:t>
      </w:r>
      <w:r w:rsidRPr="007E17C1">
        <w:rPr>
          <w:lang w:val="fr-FR"/>
        </w:rPr>
        <w:t>%, dans le tableau, en ce qui concerne les véhicules articulés des classes</w:t>
      </w:r>
      <w:r w:rsidR="009F2F93">
        <w:rPr>
          <w:lang w:val="fr-FR"/>
        </w:rPr>
        <w:t> </w:t>
      </w:r>
      <w:r w:rsidRPr="007E17C1">
        <w:rPr>
          <w:lang w:val="fr-FR"/>
        </w:rPr>
        <w:t>II et III, il est proposé de ramener l</w:t>
      </w:r>
      <w:r w:rsidR="005E4331">
        <w:rPr>
          <w:lang w:val="fr-FR"/>
        </w:rPr>
        <w:t>’</w:t>
      </w:r>
      <w:r w:rsidRPr="007E17C1">
        <w:rPr>
          <w:lang w:val="fr-FR"/>
        </w:rPr>
        <w:t xml:space="preserve">exigence pour un véhicule articulé à </w:t>
      </w:r>
      <w:r w:rsidR="009A4575">
        <w:rPr>
          <w:lang w:val="fr-FR"/>
        </w:rPr>
        <w:t>quatre</w:t>
      </w:r>
      <w:r w:rsidRPr="007E17C1">
        <w:rPr>
          <w:lang w:val="fr-FR"/>
        </w:rPr>
        <w:t xml:space="preserve"> essieux (ou plus) de la classe</w:t>
      </w:r>
      <w:r w:rsidR="009F2F93">
        <w:rPr>
          <w:lang w:val="fr-FR"/>
        </w:rPr>
        <w:t> </w:t>
      </w:r>
      <w:r w:rsidRPr="007E17C1">
        <w:rPr>
          <w:lang w:val="fr-FR"/>
        </w:rPr>
        <w:t>I ayant deux essieux de direction, à une limite techniquement raisonnable pour ce type de véhicule</w:t>
      </w:r>
      <w:r w:rsidR="009F2F93">
        <w:rPr>
          <w:lang w:val="fr-FR"/>
        </w:rPr>
        <w:t> </w:t>
      </w:r>
      <w:r w:rsidRPr="007E17C1">
        <w:rPr>
          <w:lang w:val="fr-FR"/>
        </w:rPr>
        <w:t>; par exemple, la charge normale sur l</w:t>
      </w:r>
      <w:r w:rsidR="005E4331">
        <w:rPr>
          <w:lang w:val="fr-FR"/>
        </w:rPr>
        <w:t>’</w:t>
      </w:r>
      <w:r w:rsidRPr="007E17C1">
        <w:rPr>
          <w:lang w:val="fr-FR"/>
        </w:rPr>
        <w:t>essieu avant d</w:t>
      </w:r>
      <w:r w:rsidR="005E4331">
        <w:rPr>
          <w:lang w:val="fr-FR"/>
        </w:rPr>
        <w:t>’</w:t>
      </w:r>
      <w:r w:rsidRPr="007E17C1">
        <w:rPr>
          <w:lang w:val="fr-FR"/>
        </w:rPr>
        <w:t>un autobus urbain est de 6,3</w:t>
      </w:r>
      <w:r w:rsidR="00D06E10">
        <w:rPr>
          <w:lang w:val="fr-FR"/>
        </w:rPr>
        <w:t> </w:t>
      </w:r>
      <w:r w:rsidRPr="007E17C1">
        <w:rPr>
          <w:lang w:val="fr-FR"/>
        </w:rPr>
        <w:t>tonnes.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851"/>
        <w:gridCol w:w="1743"/>
        <w:gridCol w:w="1692"/>
      </w:tblGrid>
      <w:tr w:rsidR="00BF2D74" w:rsidRPr="007E17C1" w14:paraId="2C92835E" w14:textId="77777777" w:rsidTr="00BF2D74">
        <w:tc>
          <w:tcPr>
            <w:tcW w:w="30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EAD625C" w14:textId="77777777" w:rsidR="00D06E10" w:rsidRPr="007E17C1" w:rsidRDefault="00D06E10" w:rsidP="00091D07">
            <w:pPr>
              <w:spacing w:before="60" w:after="60"/>
              <w:ind w:left="57" w:right="57"/>
            </w:pPr>
            <w:r w:rsidRPr="007E17C1">
              <w:rPr>
                <w:lang w:val="fr-FR"/>
              </w:rPr>
              <w:t>Type de véhicule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A318D8" w14:textId="77777777" w:rsidR="00D06E10" w:rsidRPr="007E17C1" w:rsidRDefault="00D06E10" w:rsidP="00091D07">
            <w:pPr>
              <w:spacing w:before="60" w:after="60"/>
              <w:ind w:left="57" w:right="57"/>
            </w:pPr>
            <w:r w:rsidRPr="007E17C1">
              <w:rPr>
                <w:lang w:val="fr-FR"/>
              </w:rPr>
              <w:t>M</w:t>
            </w: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7FD03DE" w14:textId="77777777" w:rsidR="00D06E10" w:rsidRPr="007E17C1" w:rsidRDefault="00DA2931" w:rsidP="00334868">
            <w:pPr>
              <w:spacing w:before="60" w:after="60"/>
              <w:ind w:left="57"/>
              <w:jc w:val="center"/>
            </w:pPr>
            <w:r>
              <w:rPr>
                <w:lang w:val="fr-FR"/>
              </w:rPr>
              <w:t>E</w:t>
            </w:r>
            <w:r w:rsidR="00D06E10" w:rsidRPr="007E17C1">
              <w:rPr>
                <w:lang w:val="fr-FR"/>
              </w:rPr>
              <w:t>ssieu avant</w:t>
            </w:r>
            <w:r w:rsidR="00DB0C7C">
              <w:rPr>
                <w:lang w:val="fr-FR"/>
              </w:rPr>
              <w:br/>
            </w:r>
            <w:r w:rsidR="00D06E10" w:rsidRPr="007E17C1">
              <w:rPr>
                <w:lang w:val="fr-FR"/>
              </w:rPr>
              <w:t>(min</w:t>
            </w:r>
            <w:r w:rsidR="00E104C5">
              <w:rPr>
                <w:lang w:val="fr-FR"/>
              </w:rPr>
              <w:t>.</w:t>
            </w:r>
            <w:r w:rsidR="00D06E10" w:rsidRPr="007E17C1">
              <w:rPr>
                <w:lang w:val="fr-FR"/>
              </w:rPr>
              <w:t xml:space="preserve"> 20</w:t>
            </w:r>
            <w:r w:rsidR="00D06E10">
              <w:rPr>
                <w:lang w:val="fr-FR"/>
              </w:rPr>
              <w:t> </w:t>
            </w:r>
            <w:r w:rsidR="00D06E10" w:rsidRPr="007E17C1">
              <w:rPr>
                <w:lang w:val="fr-FR"/>
              </w:rPr>
              <w:t>% de M)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8A169E" w14:textId="77777777" w:rsidR="00D06E10" w:rsidRPr="007E17C1" w:rsidRDefault="00DA2931" w:rsidP="00334868">
            <w:pPr>
              <w:spacing w:before="60" w:after="60"/>
              <w:ind w:left="57"/>
              <w:jc w:val="center"/>
            </w:pPr>
            <w:r>
              <w:rPr>
                <w:lang w:val="fr-FR"/>
              </w:rPr>
              <w:t>E</w:t>
            </w:r>
            <w:r w:rsidR="00D06E10" w:rsidRPr="007E17C1">
              <w:rPr>
                <w:lang w:val="fr-FR"/>
              </w:rPr>
              <w:t>ssieu avant</w:t>
            </w:r>
            <w:r w:rsidR="00591445">
              <w:rPr>
                <w:lang w:val="fr-FR"/>
              </w:rPr>
              <w:br/>
            </w:r>
            <w:r w:rsidR="00D06E10" w:rsidRPr="007E17C1">
              <w:rPr>
                <w:lang w:val="fr-FR"/>
              </w:rPr>
              <w:t>(min</w:t>
            </w:r>
            <w:r w:rsidR="00E104C5">
              <w:rPr>
                <w:lang w:val="fr-FR"/>
              </w:rPr>
              <w:t>.</w:t>
            </w:r>
            <w:r w:rsidR="00D06E10" w:rsidRPr="007E17C1">
              <w:rPr>
                <w:lang w:val="fr-FR"/>
              </w:rPr>
              <w:t xml:space="preserve"> 15</w:t>
            </w:r>
            <w:r w:rsidR="00D81436">
              <w:rPr>
                <w:lang w:val="fr-FR"/>
              </w:rPr>
              <w:t> </w:t>
            </w:r>
            <w:r w:rsidR="00D06E10" w:rsidRPr="007E17C1">
              <w:rPr>
                <w:lang w:val="fr-FR"/>
              </w:rPr>
              <w:t>% de M)</w:t>
            </w:r>
          </w:p>
        </w:tc>
      </w:tr>
      <w:tr w:rsidR="00D06E10" w:rsidRPr="007E17C1" w14:paraId="355391D1" w14:textId="77777777" w:rsidTr="00BF2D74">
        <w:tc>
          <w:tcPr>
            <w:tcW w:w="30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66A12" w14:textId="77777777" w:rsidR="00D06E10" w:rsidRPr="007E17C1" w:rsidRDefault="00D81436" w:rsidP="00D81436">
            <w:pPr>
              <w:spacing w:before="60" w:after="60"/>
              <w:ind w:left="57" w:right="57"/>
            </w:pPr>
            <w:r>
              <w:rPr>
                <w:lang w:val="fr-FR"/>
              </w:rPr>
              <w:t>S</w:t>
            </w:r>
            <w:r w:rsidR="00D06E10" w:rsidRPr="007E17C1">
              <w:rPr>
                <w:lang w:val="fr-FR"/>
              </w:rPr>
              <w:t xml:space="preserve">imple </w:t>
            </w:r>
            <w:r>
              <w:rPr>
                <w:lang w:val="fr-FR"/>
              </w:rPr>
              <w:t>−</w:t>
            </w:r>
            <w:r w:rsidR="00D06E10" w:rsidRPr="007E17C1">
              <w:rPr>
                <w:lang w:val="fr-FR"/>
              </w:rPr>
              <w:t xml:space="preserve"> 2 essieux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FDB80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19</w:t>
            </w:r>
            <w:r>
              <w:rPr>
                <w:lang w:val="nl-BE"/>
              </w:rPr>
              <w:t>,</w:t>
            </w:r>
            <w:r w:rsidRPr="007E17C1">
              <w:rPr>
                <w:lang w:val="nl-BE"/>
              </w:rPr>
              <w:t>5</w:t>
            </w:r>
            <w:r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4A8BA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3</w:t>
            </w:r>
            <w:r>
              <w:rPr>
                <w:lang w:val="nl-BE"/>
              </w:rPr>
              <w:t>,</w:t>
            </w:r>
            <w:r w:rsidRPr="007E17C1">
              <w:rPr>
                <w:lang w:val="nl-BE"/>
              </w:rPr>
              <w:t>9</w:t>
            </w:r>
            <w:r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99846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-</w:t>
            </w:r>
          </w:p>
        </w:tc>
      </w:tr>
      <w:tr w:rsidR="00D06E10" w:rsidRPr="007E17C1" w14:paraId="1C6926B4" w14:textId="77777777" w:rsidTr="00BF2D74">
        <w:tc>
          <w:tcPr>
            <w:tcW w:w="30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DD757" w14:textId="77777777" w:rsidR="00D06E10" w:rsidRPr="007E17C1" w:rsidRDefault="00D81436" w:rsidP="00D81436">
            <w:pPr>
              <w:spacing w:before="60" w:after="60"/>
              <w:ind w:left="57" w:right="57"/>
            </w:pPr>
            <w:r>
              <w:rPr>
                <w:lang w:val="fr-FR"/>
              </w:rPr>
              <w:t>S</w:t>
            </w:r>
            <w:r w:rsidR="00D06E10" w:rsidRPr="007E17C1">
              <w:rPr>
                <w:lang w:val="fr-FR"/>
              </w:rPr>
              <w:t xml:space="preserve">imple </w:t>
            </w:r>
            <w:r>
              <w:rPr>
                <w:lang w:val="fr-FR"/>
              </w:rPr>
              <w:t>−</w:t>
            </w:r>
            <w:r w:rsidR="00D06E10" w:rsidRPr="007E17C1">
              <w:rPr>
                <w:lang w:val="fr-FR"/>
              </w:rPr>
              <w:t xml:space="preserve"> 3 essieux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B0B55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26</w:t>
            </w:r>
            <w:r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E96D7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5</w:t>
            </w:r>
            <w:r>
              <w:rPr>
                <w:lang w:val="nl-BE"/>
              </w:rPr>
              <w:t>,</w:t>
            </w:r>
            <w:r w:rsidRPr="007E17C1">
              <w:rPr>
                <w:lang w:val="nl-BE"/>
              </w:rPr>
              <w:t>2</w:t>
            </w:r>
            <w:r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DA394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-</w:t>
            </w:r>
          </w:p>
        </w:tc>
      </w:tr>
      <w:tr w:rsidR="00D06E10" w:rsidRPr="007E17C1" w14:paraId="25B15F59" w14:textId="77777777" w:rsidTr="00BF2D74">
        <w:tc>
          <w:tcPr>
            <w:tcW w:w="30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E9B3D" w14:textId="77777777" w:rsidR="00D06E10" w:rsidRPr="007E17C1" w:rsidRDefault="00D81436" w:rsidP="00D81436">
            <w:pPr>
              <w:spacing w:before="60" w:after="60"/>
              <w:ind w:left="57" w:right="57"/>
            </w:pPr>
            <w:r>
              <w:rPr>
                <w:lang w:val="fr-FR"/>
              </w:rPr>
              <w:t>A</w:t>
            </w:r>
            <w:r w:rsidR="00D06E10" w:rsidRPr="007E17C1">
              <w:rPr>
                <w:lang w:val="fr-FR"/>
              </w:rPr>
              <w:t xml:space="preserve">rticulé simple </w:t>
            </w:r>
            <w:r>
              <w:rPr>
                <w:lang w:val="fr-FR"/>
              </w:rPr>
              <w:t>−</w:t>
            </w:r>
            <w:r w:rsidR="00D06E10" w:rsidRPr="007E17C1">
              <w:rPr>
                <w:lang w:val="fr-FR"/>
              </w:rPr>
              <w:t xml:space="preserve"> 3 essieux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63074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32</w:t>
            </w:r>
            <w:r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D9BF2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6</w:t>
            </w:r>
            <w:r>
              <w:rPr>
                <w:lang w:val="nl-BE"/>
              </w:rPr>
              <w:t>,</w:t>
            </w:r>
            <w:r w:rsidRPr="007E17C1">
              <w:rPr>
                <w:lang w:val="nl-BE"/>
              </w:rPr>
              <w:t>4</w:t>
            </w:r>
            <w:r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46989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-</w:t>
            </w:r>
          </w:p>
        </w:tc>
      </w:tr>
      <w:tr w:rsidR="00D06E10" w:rsidRPr="007E17C1" w14:paraId="0A473075" w14:textId="77777777" w:rsidTr="00BF2D74">
        <w:tc>
          <w:tcPr>
            <w:tcW w:w="30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3A41D" w14:textId="77777777" w:rsidR="00D06E10" w:rsidRPr="007E17C1" w:rsidRDefault="00D81436" w:rsidP="00D81436">
            <w:pPr>
              <w:spacing w:before="60" w:after="60"/>
              <w:ind w:left="57" w:right="57"/>
            </w:pPr>
            <w:r>
              <w:rPr>
                <w:lang w:val="fr-FR"/>
              </w:rPr>
              <w:t>A</w:t>
            </w:r>
            <w:r w:rsidR="00D06E10" w:rsidRPr="007E17C1">
              <w:rPr>
                <w:lang w:val="fr-FR"/>
              </w:rPr>
              <w:t xml:space="preserve">rticulé à deux étages </w:t>
            </w:r>
            <w:r>
              <w:rPr>
                <w:lang w:val="fr-FR"/>
              </w:rPr>
              <w:t>−</w:t>
            </w:r>
            <w:r w:rsidR="00D06E10" w:rsidRPr="007E17C1">
              <w:rPr>
                <w:lang w:val="fr-FR"/>
              </w:rPr>
              <w:t xml:space="preserve"> 4 essieux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BAAA7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36</w:t>
            </w:r>
            <w:r>
              <w:rPr>
                <w:lang w:val="nl-BE"/>
              </w:rPr>
              <w:t>,</w:t>
            </w:r>
            <w:r w:rsidRPr="007E17C1">
              <w:rPr>
                <w:lang w:val="nl-BE"/>
              </w:rPr>
              <w:t>5</w:t>
            </w:r>
            <w:r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E9266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7</w:t>
            </w:r>
            <w:r>
              <w:rPr>
                <w:lang w:val="nl-BE"/>
              </w:rPr>
              <w:t>,</w:t>
            </w:r>
            <w:r w:rsidRPr="007E17C1">
              <w:rPr>
                <w:lang w:val="nl-BE"/>
              </w:rPr>
              <w:t>3</w:t>
            </w:r>
            <w:r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322B5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5</w:t>
            </w:r>
            <w:r w:rsidR="00D81436">
              <w:rPr>
                <w:lang w:val="nl-BE"/>
              </w:rPr>
              <w:t>,</w:t>
            </w:r>
            <w:r w:rsidRPr="007E17C1">
              <w:rPr>
                <w:lang w:val="nl-BE"/>
              </w:rPr>
              <w:t>475</w:t>
            </w:r>
            <w:r w:rsidR="00D81436"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</w:tr>
      <w:tr w:rsidR="00D06E10" w:rsidRPr="007E17C1" w14:paraId="08BF659B" w14:textId="77777777" w:rsidTr="00BF2D74">
        <w:tc>
          <w:tcPr>
            <w:tcW w:w="30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A9C8B" w14:textId="77777777" w:rsidR="00D06E10" w:rsidRPr="007E17C1" w:rsidRDefault="00D81436" w:rsidP="00D81436">
            <w:pPr>
              <w:spacing w:before="60" w:after="60"/>
              <w:ind w:left="57" w:right="57"/>
            </w:pPr>
            <w:r>
              <w:rPr>
                <w:lang w:val="fr-FR"/>
              </w:rPr>
              <w:t>A</w:t>
            </w:r>
            <w:r w:rsidR="00D06E10" w:rsidRPr="007E17C1">
              <w:rPr>
                <w:lang w:val="fr-FR"/>
              </w:rPr>
              <w:t xml:space="preserve">rticulé à deux étages </w:t>
            </w:r>
            <w:r>
              <w:rPr>
                <w:lang w:val="fr-FR"/>
              </w:rPr>
              <w:t>−</w:t>
            </w:r>
            <w:r w:rsidR="00D06E10" w:rsidRPr="007E17C1">
              <w:rPr>
                <w:lang w:val="fr-FR"/>
              </w:rPr>
              <w:t xml:space="preserve"> 5 essieux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4687F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40</w:t>
            </w:r>
            <w:r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9AE79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8</w:t>
            </w:r>
            <w:r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725BC" w14:textId="77777777" w:rsidR="00D06E10" w:rsidRPr="007E17C1" w:rsidRDefault="00D06E10" w:rsidP="00D81436">
            <w:pPr>
              <w:spacing w:before="60" w:after="60"/>
              <w:ind w:left="57" w:right="57"/>
              <w:rPr>
                <w:lang w:val="nl-BE"/>
              </w:rPr>
            </w:pPr>
            <w:r w:rsidRPr="007E17C1">
              <w:rPr>
                <w:lang w:val="nl-BE"/>
              </w:rPr>
              <w:t>6</w:t>
            </w:r>
            <w:r w:rsidR="00D81436">
              <w:rPr>
                <w:lang w:val="nl-BE"/>
              </w:rPr>
              <w:t xml:space="preserve"> </w:t>
            </w:r>
            <w:r w:rsidRPr="007E17C1">
              <w:rPr>
                <w:lang w:val="nl-BE"/>
              </w:rPr>
              <w:t>t</w:t>
            </w:r>
          </w:p>
        </w:tc>
      </w:tr>
    </w:tbl>
    <w:p w14:paraId="31A9A9A6" w14:textId="4D687819" w:rsidR="00D06E10" w:rsidRDefault="00774431" w:rsidP="00774431">
      <w:pPr>
        <w:pStyle w:val="SingleTxtG"/>
        <w:spacing w:before="120"/>
        <w:rPr>
          <w:lang w:val="fr-FR"/>
        </w:rPr>
      </w:pPr>
      <w:r w:rsidRPr="00774431">
        <w:rPr>
          <w:lang w:val="fr-FR"/>
        </w:rPr>
        <w:t>3.</w:t>
      </w:r>
      <w:r w:rsidRPr="00774431">
        <w:rPr>
          <w:lang w:val="fr-FR"/>
        </w:rPr>
        <w:tab/>
        <w:t>Parallèlement à l</w:t>
      </w:r>
      <w:r w:rsidR="005E4331">
        <w:rPr>
          <w:lang w:val="fr-FR"/>
        </w:rPr>
        <w:t>’</w:t>
      </w:r>
      <w:r w:rsidRPr="00774431">
        <w:rPr>
          <w:lang w:val="fr-FR"/>
        </w:rPr>
        <w:t>élaboration de la présente proposition, une modification similaire est apportée à la proposition d</w:t>
      </w:r>
      <w:r w:rsidR="005E4331">
        <w:rPr>
          <w:lang w:val="fr-FR"/>
        </w:rPr>
        <w:t>’</w:t>
      </w:r>
      <w:r w:rsidRPr="00774431">
        <w:rPr>
          <w:lang w:val="fr-FR"/>
        </w:rPr>
        <w:t xml:space="preserve">extension du règlement (UE) </w:t>
      </w:r>
      <w:r w:rsidRPr="00774431">
        <w:rPr>
          <w:rFonts w:eastAsia="MS Mincho"/>
          <w:szCs w:val="22"/>
          <w:lang w:val="fr-FR"/>
        </w:rPr>
        <w:t>n</w:t>
      </w:r>
      <w:r w:rsidRPr="00774431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74431">
        <w:rPr>
          <w:lang w:val="fr-FR"/>
        </w:rPr>
        <w:t>1230/2012 relatif aux masses et dimensions des véhicules, de façon à harmoniser les deux réglementations eu égard à cette prescription.</w:t>
      </w:r>
    </w:p>
    <w:p w14:paraId="54DE23F0" w14:textId="77777777" w:rsidR="00774431" w:rsidRPr="00774431" w:rsidRDefault="00774431" w:rsidP="0077443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74431" w:rsidRPr="00774431" w:rsidSect="00F119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6215" w14:textId="77777777" w:rsidR="00DD76CB" w:rsidRDefault="00DD76CB" w:rsidP="00F95C08">
      <w:pPr>
        <w:spacing w:line="240" w:lineRule="auto"/>
      </w:pPr>
    </w:p>
  </w:endnote>
  <w:endnote w:type="continuationSeparator" w:id="0">
    <w:p w14:paraId="2F318140" w14:textId="77777777" w:rsidR="00DD76CB" w:rsidRPr="00AC3823" w:rsidRDefault="00DD76CB" w:rsidP="00AC3823">
      <w:pPr>
        <w:pStyle w:val="Footer"/>
      </w:pPr>
    </w:p>
  </w:endnote>
  <w:endnote w:type="continuationNotice" w:id="1">
    <w:p w14:paraId="1C166833" w14:textId="77777777" w:rsidR="00DD76CB" w:rsidRDefault="00DD76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88BE" w14:textId="77777777" w:rsidR="00F1190B" w:rsidRPr="00F1190B" w:rsidRDefault="00F1190B" w:rsidP="00F1190B">
    <w:pPr>
      <w:pStyle w:val="Footer"/>
      <w:tabs>
        <w:tab w:val="right" w:pos="9638"/>
      </w:tabs>
    </w:pPr>
    <w:r w:rsidRPr="00F1190B">
      <w:rPr>
        <w:b/>
        <w:sz w:val="18"/>
      </w:rPr>
      <w:fldChar w:fldCharType="begin"/>
    </w:r>
    <w:r w:rsidRPr="00F1190B">
      <w:rPr>
        <w:b/>
        <w:sz w:val="18"/>
      </w:rPr>
      <w:instrText xml:space="preserve"> PAGE  \* MERGEFORMAT </w:instrText>
    </w:r>
    <w:r w:rsidRPr="00F1190B">
      <w:rPr>
        <w:b/>
        <w:sz w:val="18"/>
      </w:rPr>
      <w:fldChar w:fldCharType="separate"/>
    </w:r>
    <w:r w:rsidRPr="00F1190B">
      <w:rPr>
        <w:b/>
        <w:noProof/>
        <w:sz w:val="18"/>
      </w:rPr>
      <w:t>2</w:t>
    </w:r>
    <w:r w:rsidRPr="00F1190B">
      <w:rPr>
        <w:b/>
        <w:sz w:val="18"/>
      </w:rPr>
      <w:fldChar w:fldCharType="end"/>
    </w:r>
    <w:r>
      <w:rPr>
        <w:b/>
        <w:sz w:val="18"/>
      </w:rPr>
      <w:tab/>
    </w:r>
    <w:r>
      <w:t>GE.19-00240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F82F" w14:textId="77777777" w:rsidR="00F1190B" w:rsidRPr="00F1190B" w:rsidRDefault="00F1190B" w:rsidP="00F1190B">
    <w:pPr>
      <w:pStyle w:val="Footer"/>
      <w:tabs>
        <w:tab w:val="right" w:pos="9638"/>
      </w:tabs>
      <w:rPr>
        <w:b/>
        <w:sz w:val="18"/>
      </w:rPr>
    </w:pPr>
    <w:r>
      <w:t>GE.19-00240</w:t>
    </w:r>
    <w:r>
      <w:tab/>
    </w:r>
    <w:r w:rsidRPr="00F1190B">
      <w:rPr>
        <w:b/>
        <w:sz w:val="18"/>
      </w:rPr>
      <w:fldChar w:fldCharType="begin"/>
    </w:r>
    <w:r w:rsidRPr="00F1190B">
      <w:rPr>
        <w:b/>
        <w:sz w:val="18"/>
      </w:rPr>
      <w:instrText xml:space="preserve"> PAGE  \* MERGEFORMAT </w:instrText>
    </w:r>
    <w:r w:rsidRPr="00F1190B">
      <w:rPr>
        <w:b/>
        <w:sz w:val="18"/>
      </w:rPr>
      <w:fldChar w:fldCharType="separate"/>
    </w:r>
    <w:r w:rsidRPr="00F1190B">
      <w:rPr>
        <w:b/>
        <w:noProof/>
        <w:sz w:val="18"/>
      </w:rPr>
      <w:t>3</w:t>
    </w:r>
    <w:r w:rsidRPr="00F119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BB69" w14:textId="77777777" w:rsidR="007F20FA" w:rsidRPr="00F1190B" w:rsidRDefault="00F1190B" w:rsidP="00F1190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526CB72F" wp14:editId="2FBC71E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19-00240  (F)</w:t>
    </w:r>
    <w:r w:rsidR="00EB1ECE">
      <w:rPr>
        <w:sz w:val="20"/>
      </w:rPr>
      <w:t xml:space="preserve">    070219    150219</w:t>
    </w:r>
    <w:r>
      <w:rPr>
        <w:sz w:val="20"/>
      </w:rPr>
      <w:br/>
    </w:r>
    <w:r w:rsidRPr="00F1190B">
      <w:rPr>
        <w:rFonts w:ascii="C39T30Lfz" w:hAnsi="C39T30Lfz"/>
        <w:sz w:val="56"/>
      </w:rPr>
      <w:t></w:t>
    </w:r>
    <w:r w:rsidRPr="00F1190B">
      <w:rPr>
        <w:rFonts w:ascii="C39T30Lfz" w:hAnsi="C39T30Lfz"/>
        <w:sz w:val="56"/>
      </w:rPr>
      <w:t></w:t>
    </w:r>
    <w:r w:rsidRPr="00F1190B">
      <w:rPr>
        <w:rFonts w:ascii="C39T30Lfz" w:hAnsi="C39T30Lfz"/>
        <w:sz w:val="56"/>
      </w:rPr>
      <w:t></w:t>
    </w:r>
    <w:r w:rsidRPr="00F1190B">
      <w:rPr>
        <w:rFonts w:ascii="C39T30Lfz" w:hAnsi="C39T30Lfz"/>
        <w:sz w:val="56"/>
      </w:rPr>
      <w:t></w:t>
    </w:r>
    <w:r w:rsidRPr="00F1190B">
      <w:rPr>
        <w:rFonts w:ascii="C39T30Lfz" w:hAnsi="C39T30Lfz"/>
        <w:sz w:val="56"/>
      </w:rPr>
      <w:t></w:t>
    </w:r>
    <w:r w:rsidRPr="00F1190B">
      <w:rPr>
        <w:rFonts w:ascii="C39T30Lfz" w:hAnsi="C39T30Lfz"/>
        <w:sz w:val="56"/>
      </w:rPr>
      <w:t></w:t>
    </w:r>
    <w:r w:rsidRPr="00F1190B">
      <w:rPr>
        <w:rFonts w:ascii="C39T30Lfz" w:hAnsi="C39T30Lfz"/>
        <w:sz w:val="56"/>
      </w:rPr>
      <w:t></w:t>
    </w:r>
    <w:r w:rsidRPr="00F1190B">
      <w:rPr>
        <w:rFonts w:ascii="C39T30Lfz" w:hAnsi="C39T30Lfz"/>
        <w:sz w:val="56"/>
      </w:rPr>
      <w:t></w:t>
    </w:r>
    <w:r w:rsidRPr="00F1190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A9EB22F" wp14:editId="3526A80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8EE4" w14:textId="77777777" w:rsidR="00DD76CB" w:rsidRPr="00AC3823" w:rsidRDefault="00DD76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FAA1FB" w14:textId="77777777" w:rsidR="00DD76CB" w:rsidRPr="00AC3823" w:rsidRDefault="00DD76C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7B3BC7" w14:textId="77777777" w:rsidR="00DD76CB" w:rsidRPr="00AC3823" w:rsidRDefault="00DD76CB">
      <w:pPr>
        <w:spacing w:line="240" w:lineRule="auto"/>
        <w:rPr>
          <w:sz w:val="2"/>
          <w:szCs w:val="2"/>
        </w:rPr>
      </w:pPr>
    </w:p>
  </w:footnote>
  <w:footnote w:id="2">
    <w:p w14:paraId="27086D82" w14:textId="77777777" w:rsidR="00127D10" w:rsidRPr="00B14735" w:rsidRDefault="00127D10" w:rsidP="00127D10">
      <w:pPr>
        <w:pStyle w:val="FootnoteText"/>
        <w:tabs>
          <w:tab w:val="clear" w:pos="1021"/>
        </w:tabs>
        <w:ind w:hanging="283"/>
      </w:pPr>
      <w:r>
        <w:rPr>
          <w:lang w:val="fr-FR"/>
        </w:rPr>
        <w:t>*</w:t>
      </w:r>
      <w:r>
        <w:rPr>
          <w:lang w:val="fr-FR"/>
        </w:rPr>
        <w:tab/>
      </w:r>
      <w:r w:rsidRPr="00EB1ECE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</w:t>
      </w:r>
      <w:r w:rsidR="00EB1ECE">
        <w:rPr>
          <w:lang w:val="fr-FR"/>
        </w:rPr>
        <w:t> </w:t>
      </w:r>
      <w:r>
        <w:rPr>
          <w:lang w:val="fr-FR"/>
        </w:rPr>
        <w:t>123, et ECE/TRANS/2018/21/Add.1, module 3.1), le Forum mondial a pour mission d</w:t>
      </w:r>
      <w:r w:rsidR="00EB1ECE">
        <w:rPr>
          <w:lang w:val="fr-FR"/>
        </w:rPr>
        <w:t>’</w:t>
      </w:r>
      <w:r>
        <w:rPr>
          <w:lang w:val="fr-FR"/>
        </w:rPr>
        <w:t>élaborer, d</w:t>
      </w:r>
      <w:r w:rsidR="00EB1ECE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EB1ECE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E1AA" w14:textId="6EC7FC73" w:rsidR="00F1190B" w:rsidRPr="00F1190B" w:rsidRDefault="00DA650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57802">
      <w:t>ECE/TRANS/WP.29/GRSG/2019/9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D6B4" w14:textId="119CCC6D" w:rsidR="00F1190B" w:rsidRPr="00F1190B" w:rsidRDefault="00DA6502" w:rsidP="00F1190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57802">
      <w:t>ECE/TRANS/WP.29/GRSG/2019/9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CB"/>
    <w:rsid w:val="000126B8"/>
    <w:rsid w:val="00017F94"/>
    <w:rsid w:val="00023842"/>
    <w:rsid w:val="000334F9"/>
    <w:rsid w:val="00045FEB"/>
    <w:rsid w:val="0007796D"/>
    <w:rsid w:val="00091D07"/>
    <w:rsid w:val="000B7790"/>
    <w:rsid w:val="000D6C31"/>
    <w:rsid w:val="00111F2F"/>
    <w:rsid w:val="00127D10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E0E97"/>
    <w:rsid w:val="003013B9"/>
    <w:rsid w:val="00305801"/>
    <w:rsid w:val="00334868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1445"/>
    <w:rsid w:val="00596AA9"/>
    <w:rsid w:val="005B715A"/>
    <w:rsid w:val="005C4F6B"/>
    <w:rsid w:val="005E4331"/>
    <w:rsid w:val="006631FF"/>
    <w:rsid w:val="0071601D"/>
    <w:rsid w:val="00717433"/>
    <w:rsid w:val="00773A1C"/>
    <w:rsid w:val="00774431"/>
    <w:rsid w:val="007A62E6"/>
    <w:rsid w:val="007F20FA"/>
    <w:rsid w:val="0080684C"/>
    <w:rsid w:val="00832D1B"/>
    <w:rsid w:val="00871C75"/>
    <w:rsid w:val="008776DC"/>
    <w:rsid w:val="008B4827"/>
    <w:rsid w:val="009446C0"/>
    <w:rsid w:val="009705C8"/>
    <w:rsid w:val="009A4575"/>
    <w:rsid w:val="009C1CF4"/>
    <w:rsid w:val="009F2F93"/>
    <w:rsid w:val="009F6B74"/>
    <w:rsid w:val="00A3029F"/>
    <w:rsid w:val="00A30353"/>
    <w:rsid w:val="00A32CC7"/>
    <w:rsid w:val="00A83413"/>
    <w:rsid w:val="00AC3823"/>
    <w:rsid w:val="00AE323C"/>
    <w:rsid w:val="00AF0CB5"/>
    <w:rsid w:val="00B00181"/>
    <w:rsid w:val="00B00B0D"/>
    <w:rsid w:val="00B45F2E"/>
    <w:rsid w:val="00B57802"/>
    <w:rsid w:val="00B765F7"/>
    <w:rsid w:val="00BA0CA9"/>
    <w:rsid w:val="00BF2D74"/>
    <w:rsid w:val="00C02897"/>
    <w:rsid w:val="00C0391C"/>
    <w:rsid w:val="00C07C39"/>
    <w:rsid w:val="00C105FA"/>
    <w:rsid w:val="00C97039"/>
    <w:rsid w:val="00CD5857"/>
    <w:rsid w:val="00D06E10"/>
    <w:rsid w:val="00D2096C"/>
    <w:rsid w:val="00D3439C"/>
    <w:rsid w:val="00D81436"/>
    <w:rsid w:val="00DA2931"/>
    <w:rsid w:val="00DA6502"/>
    <w:rsid w:val="00DB0C7C"/>
    <w:rsid w:val="00DB1831"/>
    <w:rsid w:val="00DD115B"/>
    <w:rsid w:val="00DD3BFD"/>
    <w:rsid w:val="00DD76CB"/>
    <w:rsid w:val="00DF6678"/>
    <w:rsid w:val="00E0299A"/>
    <w:rsid w:val="00E104C5"/>
    <w:rsid w:val="00E31730"/>
    <w:rsid w:val="00E85C74"/>
    <w:rsid w:val="00EA6547"/>
    <w:rsid w:val="00EB1ECE"/>
    <w:rsid w:val="00EF2E22"/>
    <w:rsid w:val="00F06488"/>
    <w:rsid w:val="00F1190B"/>
    <w:rsid w:val="00F35BAF"/>
    <w:rsid w:val="00F660DF"/>
    <w:rsid w:val="00F94664"/>
    <w:rsid w:val="00F9573C"/>
    <w:rsid w:val="00F95C08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ADC64"/>
  <w15:docId w15:val="{9FD3626A-25CD-4481-B409-8A694878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D5857"/>
    <w:pPr>
      <w:suppressAutoHyphens w:val="0"/>
      <w:kinsoku/>
      <w:overflowPunct/>
      <w:autoSpaceDE/>
      <w:autoSpaceDN/>
      <w:adjustRightInd/>
      <w:snapToGrid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character" w:customStyle="1" w:styleId="SingleTxtGChar">
    <w:name w:val="_ Single Txt_G Char"/>
    <w:link w:val="SingleTxtG"/>
    <w:rsid w:val="000126B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126B8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ECE/TRANS/WP.29/GRSG/2019/9</vt:lpstr>
      <vt:lpstr>ECE/TRANS/WP.29/GRSG/2019/9</vt:lpstr>
    </vt:vector>
  </TitlesOfParts>
  <Company>DCM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ECE/TRANS/WP.29/GRSG/2019/9</dc:title>
  <dc:subject/>
  <dc:creator>Corinne ROBERT</dc:creator>
  <cp:keywords/>
  <cp:lastModifiedBy>Benedicte Boudol</cp:lastModifiedBy>
  <cp:revision>2</cp:revision>
  <cp:lastPrinted>2019-02-15T10:07:00Z</cp:lastPrinted>
  <dcterms:created xsi:type="dcterms:W3CDTF">2019-02-18T09:53:00Z</dcterms:created>
  <dcterms:modified xsi:type="dcterms:W3CDTF">2019-02-18T09:53:00Z</dcterms:modified>
</cp:coreProperties>
</file>