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1138"/>
        <w:gridCol w:w="3398"/>
        <w:gridCol w:w="2268"/>
        <w:gridCol w:w="2693"/>
      </w:tblGrid>
      <w:tr w:rsidR="002D5AAC" w:rsidTr="00387CD4">
        <w:trPr>
          <w:trHeight w:hRule="exact" w:val="851"/>
        </w:trPr>
        <w:tc>
          <w:tcPr>
            <w:tcW w:w="142" w:type="dxa"/>
            <w:tcBorders>
              <w:bottom w:val="single" w:sz="4" w:space="0" w:color="auto"/>
            </w:tcBorders>
          </w:tcPr>
          <w:p w:rsidR="002D5AAC" w:rsidRDefault="002D5AAC" w:rsidP="00495009">
            <w:pPr>
              <w:kinsoku w:val="0"/>
              <w:overflowPunct w:val="0"/>
              <w:autoSpaceDE w:val="0"/>
              <w:autoSpaceDN w:val="0"/>
              <w:adjustRightInd w:val="0"/>
              <w:snapToGrid w:val="0"/>
            </w:pPr>
            <w:bookmarkStart w:id="0" w:name="_GoBack"/>
            <w:bookmarkEnd w:id="0"/>
          </w:p>
        </w:tc>
        <w:tc>
          <w:tcPr>
            <w:tcW w:w="4536" w:type="dxa"/>
            <w:gridSpan w:val="2"/>
            <w:tcBorders>
              <w:bottom w:val="single" w:sz="4" w:space="0" w:color="auto"/>
            </w:tcBorders>
            <w:vAlign w:val="bottom"/>
          </w:tcPr>
          <w:p w:rsidR="002D5AAC" w:rsidRPr="00BD33EE" w:rsidRDefault="00DF71B9" w:rsidP="00387CD4">
            <w:pPr>
              <w:spacing w:after="80" w:line="300" w:lineRule="exact"/>
              <w:rPr>
                <w:sz w:val="28"/>
              </w:rPr>
            </w:pPr>
            <w:r>
              <w:rPr>
                <w:sz w:val="28"/>
              </w:rPr>
              <w:t>Организация Объединенных Наций</w:t>
            </w:r>
          </w:p>
        </w:tc>
        <w:tc>
          <w:tcPr>
            <w:tcW w:w="4961" w:type="dxa"/>
            <w:gridSpan w:val="2"/>
            <w:tcBorders>
              <w:bottom w:val="single" w:sz="4" w:space="0" w:color="auto"/>
            </w:tcBorders>
            <w:vAlign w:val="bottom"/>
          </w:tcPr>
          <w:p w:rsidR="002D5AAC" w:rsidRDefault="00495009" w:rsidP="00495009">
            <w:pPr>
              <w:jc w:val="right"/>
            </w:pPr>
            <w:r w:rsidRPr="00495009">
              <w:rPr>
                <w:sz w:val="40"/>
              </w:rPr>
              <w:t>ECE</w:t>
            </w:r>
            <w:r>
              <w:t>/TRANS/WP.29/GRSG/2019/6</w:t>
            </w:r>
          </w:p>
        </w:tc>
      </w:tr>
      <w:tr w:rsidR="002D5AAC" w:rsidRPr="00495009" w:rsidTr="00387CD4">
        <w:trPr>
          <w:trHeight w:hRule="exact" w:val="2835"/>
        </w:trPr>
        <w:tc>
          <w:tcPr>
            <w:tcW w:w="1280" w:type="dxa"/>
            <w:gridSpan w:val="2"/>
            <w:tcBorders>
              <w:top w:val="single" w:sz="4" w:space="0" w:color="auto"/>
              <w:bottom w:val="single" w:sz="12" w:space="0" w:color="auto"/>
            </w:tcBorders>
          </w:tcPr>
          <w:p w:rsidR="002D5AAC" w:rsidRDefault="002E5067" w:rsidP="00387CD4">
            <w:pPr>
              <w:spacing w:before="120"/>
              <w:jc w:val="center"/>
            </w:pPr>
            <w:r>
              <w:rPr>
                <w:noProof/>
                <w:lang w:eastAsia="ru-RU"/>
              </w:rPr>
              <w:drawing>
                <wp:inline distT="0" distB="0" distL="0" distR="0" wp14:anchorId="7E16639B" wp14:editId="3BF82573">
                  <wp:extent cx="714375" cy="590550"/>
                  <wp:effectExtent l="0" t="0" r="0" b="0"/>
                  <wp:docPr id="2" name="Imagen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666" w:type="dxa"/>
            <w:gridSpan w:val="2"/>
            <w:tcBorders>
              <w:top w:val="single" w:sz="4" w:space="0" w:color="auto"/>
              <w:bottom w:val="single" w:sz="12" w:space="0" w:color="auto"/>
            </w:tcBorders>
          </w:tcPr>
          <w:p w:rsidR="002D5AAC" w:rsidRPr="00033EE1" w:rsidRDefault="008A37C8" w:rsidP="00387CD4">
            <w:pPr>
              <w:spacing w:before="120" w:line="460" w:lineRule="exact"/>
              <w:rPr>
                <w:b/>
                <w:sz w:val="34"/>
                <w:szCs w:val="34"/>
              </w:rPr>
            </w:pPr>
            <w:r w:rsidRPr="008A37C8">
              <w:rPr>
                <w:rFonts w:eastAsia="Times New Roman" w:cs="Times New Roman"/>
                <w:b/>
                <w:spacing w:val="-4"/>
                <w:sz w:val="40"/>
                <w:szCs w:val="40"/>
              </w:rPr>
              <w:t xml:space="preserve">Экономический </w:t>
            </w:r>
            <w:r w:rsidRPr="008A37C8">
              <w:rPr>
                <w:rFonts w:eastAsia="Times New Roman" w:cs="Times New Roman"/>
                <w:b/>
                <w:spacing w:val="-4"/>
                <w:sz w:val="40"/>
                <w:szCs w:val="40"/>
              </w:rPr>
              <w:br/>
              <w:t>и Социальный Совет</w:t>
            </w:r>
          </w:p>
        </w:tc>
        <w:tc>
          <w:tcPr>
            <w:tcW w:w="2693" w:type="dxa"/>
            <w:tcBorders>
              <w:top w:val="single" w:sz="4" w:space="0" w:color="auto"/>
              <w:bottom w:val="single" w:sz="12" w:space="0" w:color="auto"/>
            </w:tcBorders>
          </w:tcPr>
          <w:p w:rsidR="002D5AAC" w:rsidRDefault="00495009" w:rsidP="00387CD4">
            <w:pPr>
              <w:spacing w:before="240"/>
              <w:rPr>
                <w:lang w:val="en-US"/>
              </w:rPr>
            </w:pPr>
            <w:r>
              <w:rPr>
                <w:lang w:val="en-US"/>
              </w:rPr>
              <w:t>Distr.: General</w:t>
            </w:r>
          </w:p>
          <w:p w:rsidR="00495009" w:rsidRDefault="00495009" w:rsidP="00495009">
            <w:pPr>
              <w:spacing w:line="240" w:lineRule="exact"/>
              <w:rPr>
                <w:lang w:val="en-US"/>
              </w:rPr>
            </w:pPr>
            <w:r>
              <w:rPr>
                <w:lang w:val="en-US"/>
              </w:rPr>
              <w:t>8 January 2019</w:t>
            </w:r>
          </w:p>
          <w:p w:rsidR="00495009" w:rsidRDefault="00495009" w:rsidP="00495009">
            <w:pPr>
              <w:spacing w:line="240" w:lineRule="exact"/>
              <w:rPr>
                <w:lang w:val="en-US"/>
              </w:rPr>
            </w:pPr>
            <w:r>
              <w:rPr>
                <w:lang w:val="en-US"/>
              </w:rPr>
              <w:t>Russian</w:t>
            </w:r>
          </w:p>
          <w:p w:rsidR="00495009" w:rsidRPr="008D53B6" w:rsidRDefault="00495009" w:rsidP="00495009">
            <w:pPr>
              <w:spacing w:line="240" w:lineRule="exact"/>
              <w:rPr>
                <w:lang w:val="en-US"/>
              </w:rPr>
            </w:pPr>
            <w:r>
              <w:rPr>
                <w:lang w:val="en-US"/>
              </w:rPr>
              <w:t>Original: English</w:t>
            </w:r>
          </w:p>
        </w:tc>
      </w:tr>
    </w:tbl>
    <w:p w:rsidR="00495009" w:rsidRDefault="008A37C8" w:rsidP="00255343">
      <w:pPr>
        <w:spacing w:before="120"/>
        <w:rPr>
          <w:b/>
          <w:sz w:val="28"/>
          <w:szCs w:val="28"/>
        </w:rPr>
      </w:pPr>
      <w:r w:rsidRPr="00245892">
        <w:rPr>
          <w:b/>
          <w:sz w:val="28"/>
          <w:szCs w:val="28"/>
        </w:rPr>
        <w:t>Европейская экономическая комиссия</w:t>
      </w:r>
    </w:p>
    <w:p w:rsidR="00495009" w:rsidRPr="00D11A1C" w:rsidRDefault="00495009" w:rsidP="00495009">
      <w:pPr>
        <w:spacing w:before="120"/>
        <w:rPr>
          <w:sz w:val="28"/>
          <w:szCs w:val="28"/>
        </w:rPr>
      </w:pPr>
      <w:r w:rsidRPr="00D11A1C">
        <w:rPr>
          <w:sz w:val="28"/>
          <w:szCs w:val="28"/>
        </w:rPr>
        <w:t>Комитет по внутреннему транспорту</w:t>
      </w:r>
    </w:p>
    <w:p w:rsidR="00495009" w:rsidRPr="00D11A1C" w:rsidRDefault="00495009" w:rsidP="00495009">
      <w:pPr>
        <w:spacing w:before="120"/>
        <w:rPr>
          <w:b/>
          <w:sz w:val="24"/>
          <w:szCs w:val="24"/>
        </w:rPr>
      </w:pPr>
      <w:r w:rsidRPr="00D11A1C">
        <w:rPr>
          <w:b/>
          <w:bCs/>
          <w:sz w:val="24"/>
          <w:szCs w:val="24"/>
        </w:rPr>
        <w:t>Всемирный форум для согласования правил</w:t>
      </w:r>
      <w:r w:rsidRPr="00D11A1C">
        <w:rPr>
          <w:b/>
          <w:bCs/>
          <w:sz w:val="24"/>
          <w:szCs w:val="24"/>
        </w:rPr>
        <w:br/>
        <w:t>в области транспортных средств</w:t>
      </w:r>
    </w:p>
    <w:p w:rsidR="00495009" w:rsidRPr="00D11A1C" w:rsidRDefault="00495009" w:rsidP="00495009">
      <w:pPr>
        <w:spacing w:before="120"/>
        <w:rPr>
          <w:b/>
        </w:rPr>
      </w:pPr>
      <w:r w:rsidRPr="00D11A1C">
        <w:rPr>
          <w:b/>
          <w:bCs/>
        </w:rPr>
        <w:t xml:space="preserve">Рабочая группа по общим предписаниям, </w:t>
      </w:r>
      <w:r w:rsidRPr="00D11A1C">
        <w:rPr>
          <w:b/>
          <w:bCs/>
        </w:rPr>
        <w:br/>
        <w:t>касающимся безопасности</w:t>
      </w:r>
    </w:p>
    <w:p w:rsidR="00495009" w:rsidRPr="00D11A1C" w:rsidRDefault="00495009" w:rsidP="00495009">
      <w:pPr>
        <w:spacing w:before="120"/>
        <w:rPr>
          <w:b/>
        </w:rPr>
      </w:pPr>
      <w:r w:rsidRPr="00D11A1C">
        <w:rPr>
          <w:b/>
        </w:rPr>
        <w:t xml:space="preserve">116-я </w:t>
      </w:r>
      <w:r w:rsidRPr="00D11A1C">
        <w:rPr>
          <w:b/>
          <w:bCs/>
        </w:rPr>
        <w:t>сессия</w:t>
      </w:r>
    </w:p>
    <w:p w:rsidR="00495009" w:rsidRPr="00D11A1C" w:rsidRDefault="00495009" w:rsidP="00495009">
      <w:r w:rsidRPr="00D11A1C">
        <w:t>Женева, 1–5 апреля 2019 года</w:t>
      </w:r>
    </w:p>
    <w:p w:rsidR="00495009" w:rsidRPr="00D11A1C" w:rsidRDefault="00495009" w:rsidP="00495009">
      <w:r w:rsidRPr="00D11A1C">
        <w:t>Пункт 8 предварительной повестки дня</w:t>
      </w:r>
    </w:p>
    <w:p w:rsidR="00E12C5F" w:rsidRDefault="00495009" w:rsidP="00495009">
      <w:r w:rsidRPr="00D11A1C">
        <w:rPr>
          <w:b/>
        </w:rPr>
        <w:t>Правила № 55 ООН (механические сцепные устройства)</w:t>
      </w:r>
    </w:p>
    <w:p w:rsidR="00495009" w:rsidRPr="00D11A1C" w:rsidRDefault="00495009" w:rsidP="00495009">
      <w:pPr>
        <w:pStyle w:val="HChG"/>
        <w:tabs>
          <w:tab w:val="left" w:pos="8505"/>
        </w:tabs>
      </w:pPr>
      <w:r>
        <w:tab/>
      </w:r>
      <w:r>
        <w:tab/>
      </w:r>
      <w:r w:rsidRPr="00D11A1C">
        <w:t>Предложение по дополнению 8 к поправкам серии 01 к Правилам № 55 ООН</w:t>
      </w:r>
      <w:r w:rsidRPr="00D11A1C">
        <w:rPr>
          <w:szCs w:val="28"/>
        </w:rPr>
        <w:t xml:space="preserve"> </w:t>
      </w:r>
      <w:r w:rsidRPr="00D11A1C">
        <w:t>(механические сцепные устройства)</w:t>
      </w:r>
    </w:p>
    <w:p w:rsidR="00495009" w:rsidRPr="00D11A1C" w:rsidRDefault="00495009" w:rsidP="00495009">
      <w:pPr>
        <w:pStyle w:val="H1G"/>
        <w:rPr>
          <w:vertAlign w:val="superscript"/>
        </w:rPr>
      </w:pPr>
      <w:r>
        <w:tab/>
      </w:r>
      <w:r>
        <w:tab/>
      </w:r>
      <w:r w:rsidRPr="00D11A1C">
        <w:t>Представлено экспертом от Европейской комиссии</w:t>
      </w:r>
      <w:r w:rsidRPr="00495009">
        <w:rPr>
          <w:b w:val="0"/>
          <w:sz w:val="20"/>
        </w:rPr>
        <w:footnoteReference w:customMarkFollows="1" w:id="1"/>
        <w:t>*</w:t>
      </w:r>
    </w:p>
    <w:p w:rsidR="00495009" w:rsidRDefault="00495009" w:rsidP="00495009">
      <w:pPr>
        <w:pStyle w:val="SingleTxtG"/>
      </w:pPr>
      <w:r>
        <w:tab/>
      </w:r>
      <w:r>
        <w:tab/>
      </w:r>
      <w:r w:rsidRPr="00D11A1C">
        <w:t>Воспроизведенный ниже текст был подготовлен экспертом от Европейской комиссии (ЕК) с целью обновить положения, касающиеся устанавливаемых на автотранспортных средствах съемных механических сцепных устройств, в частности, что касается необходимости предоставления водителю соответствующей четкой информации. В его основу положен неофициальный документ GRSG-115-34, представленный на 115-й сессии Рабочей группы по общим предписаниям, касающимся безопасности (</w:t>
      </w:r>
      <w:r w:rsidRPr="00D11A1C">
        <w:rPr>
          <w:lang w:val="en-US"/>
        </w:rPr>
        <w:t>GRSG</w:t>
      </w:r>
      <w:r w:rsidRPr="00D11A1C">
        <w:t>) (см. доклад</w:t>
      </w:r>
      <w:r w:rsidRPr="00D11A1C">
        <w:rPr>
          <w:lang w:val="en-US"/>
        </w:rPr>
        <w:t> </w:t>
      </w:r>
      <w:r w:rsidRPr="00D11A1C">
        <w:t>ECE/TRANS/WP.29/GRSG</w:t>
      </w:r>
      <w:r>
        <w:t>/94, пункт </w:t>
      </w:r>
      <w:r w:rsidRPr="00D11A1C">
        <w:t>30). Изменения к действующему тексту Правил № 55 ООН выделены жирным шрифтом.</w:t>
      </w:r>
    </w:p>
    <w:p w:rsidR="00495009" w:rsidRDefault="00495009">
      <w:pPr>
        <w:suppressAutoHyphens w:val="0"/>
        <w:spacing w:line="240" w:lineRule="auto"/>
        <w:rPr>
          <w:rFonts w:eastAsia="Times New Roman" w:cs="Times New Roman"/>
          <w:szCs w:val="20"/>
        </w:rPr>
      </w:pPr>
      <w:r>
        <w:br w:type="page"/>
      </w:r>
    </w:p>
    <w:p w:rsidR="00495009" w:rsidRPr="00D11A1C" w:rsidRDefault="00495009" w:rsidP="00495009">
      <w:pPr>
        <w:pStyle w:val="HChG"/>
      </w:pPr>
      <w:r>
        <w:lastRenderedPageBreak/>
        <w:tab/>
      </w:r>
      <w:r w:rsidRPr="00D11A1C">
        <w:t>I.</w:t>
      </w:r>
      <w:r w:rsidRPr="00D11A1C">
        <w:tab/>
        <w:t>Предложение</w:t>
      </w:r>
    </w:p>
    <w:p w:rsidR="00495009" w:rsidRPr="00D11A1C" w:rsidRDefault="00495009" w:rsidP="00495009">
      <w:pPr>
        <w:pStyle w:val="SingleTxtG"/>
        <w:keepNext/>
        <w:ind w:right="0"/>
      </w:pPr>
      <w:r w:rsidRPr="00D11A1C">
        <w:rPr>
          <w:i/>
        </w:rPr>
        <w:t>Приложение 7, пункт 1.1.4</w:t>
      </w:r>
      <w:r w:rsidRPr="00D11A1C">
        <w:t xml:space="preserve"> </w:t>
      </w:r>
      <w:r w:rsidRPr="00D11A1C">
        <w:rPr>
          <w:bCs/>
        </w:rPr>
        <w:t>изменить следующим образом</w:t>
      </w:r>
      <w:r w:rsidRPr="00D11A1C">
        <w:t>:</w:t>
      </w:r>
    </w:p>
    <w:p w:rsidR="00495009" w:rsidRPr="00D11A1C" w:rsidRDefault="00495009" w:rsidP="00495009">
      <w:pPr>
        <w:pStyle w:val="SingleTxtG"/>
        <w:spacing w:line="240" w:lineRule="auto"/>
        <w:ind w:left="2268" w:hanging="1134"/>
        <w:rPr>
          <w:b/>
        </w:rPr>
      </w:pPr>
      <w:r>
        <w:t>«</w:t>
      </w:r>
      <w:r w:rsidRPr="00D11A1C">
        <w:t>1.1.4</w:t>
      </w:r>
      <w:r w:rsidRPr="00D11A1C">
        <w:tab/>
        <w:t>Если прицеп …… на транспортном средстве.</w:t>
      </w:r>
      <w:r w:rsidRPr="00D11A1C">
        <w:rPr>
          <w:b/>
        </w:rPr>
        <w:t xml:space="preserve"> В этом случае в инструкции для пользователя автомобиля (например, справочнике владельца, руководстве по эксплуатации транспортного средства) должно быть четко указано, что съемное или переустанавливаемое механическое сцепное устройство, когда оно не используется, всегда должно сниматься либо устанавливаться в иное положение.</w:t>
      </w:r>
    </w:p>
    <w:p w:rsidR="00495009" w:rsidRPr="00D11A1C" w:rsidRDefault="00495009" w:rsidP="00495009">
      <w:pPr>
        <w:tabs>
          <w:tab w:val="left" w:pos="2268"/>
        </w:tabs>
        <w:spacing w:before="120" w:after="120" w:line="240" w:lineRule="auto"/>
        <w:ind w:left="2268" w:right="1134" w:hanging="1134"/>
        <w:jc w:val="both"/>
      </w:pPr>
      <w:r w:rsidRPr="00D11A1C">
        <w:tab/>
        <w:t>Если установленное</w:t>
      </w:r>
      <w:r w:rsidRPr="00D11A1C">
        <w:rPr>
          <w:b/>
        </w:rPr>
        <w:t xml:space="preserve"> </w:t>
      </w:r>
      <w:r w:rsidRPr="00D11A1C">
        <w:t>…</w:t>
      </w:r>
      <w:r>
        <w:t>»</w:t>
      </w:r>
      <w:r w:rsidR="00ED2673">
        <w:t>.</w:t>
      </w:r>
    </w:p>
    <w:p w:rsidR="00495009" w:rsidRPr="00D11A1C" w:rsidRDefault="00495009" w:rsidP="00495009">
      <w:pPr>
        <w:pStyle w:val="HChG"/>
      </w:pPr>
      <w:r w:rsidRPr="00D11A1C">
        <w:tab/>
        <w:t>II.</w:t>
      </w:r>
      <w:r w:rsidRPr="00D11A1C">
        <w:tab/>
        <w:t>Обоснование</w:t>
      </w:r>
    </w:p>
    <w:p w:rsidR="00495009" w:rsidRPr="00495009" w:rsidRDefault="00495009" w:rsidP="00495009">
      <w:pPr>
        <w:pStyle w:val="SingleTxtG"/>
      </w:pPr>
      <w:r w:rsidRPr="00D11A1C">
        <w:t>1.</w:t>
      </w:r>
      <w:r w:rsidRPr="00D11A1C">
        <w:tab/>
        <w:t>После того, как в приложение IV к Регламенту по общей безопасности (ЕК)</w:t>
      </w:r>
      <w:r>
        <w:t> </w:t>
      </w:r>
      <w:r w:rsidRPr="00D11A1C">
        <w:t>№ 661/2009 была внесена соответствующая ссылка на «Правила № 55», официальные утверждения транспортных средств более не соответствуют Регламенту по общей безопасности, если на транспортном средстве установлены несъемные или не поддающиеся переустановке</w:t>
      </w:r>
      <w:r w:rsidRPr="00D11A1C">
        <w:rPr>
          <w:b/>
        </w:rPr>
        <w:t xml:space="preserve"> </w:t>
      </w:r>
      <w:r w:rsidRPr="00D11A1C">
        <w:t>сцепные устройства, которые (частично) закрывают собой элементы освещения или место установки и крепления заднего регистрационного знака (см. Регламент</w:t>
      </w:r>
      <w:r w:rsidRPr="00495009">
        <w:t xml:space="preserve"> </w:t>
      </w:r>
      <w:r w:rsidRPr="00D11A1C">
        <w:t>Европейского</w:t>
      </w:r>
      <w:r w:rsidRPr="00495009">
        <w:t xml:space="preserve"> </w:t>
      </w:r>
      <w:r w:rsidRPr="00D11A1C">
        <w:t>союза</w:t>
      </w:r>
      <w:r w:rsidRPr="00495009">
        <w:t xml:space="preserve"> (</w:t>
      </w:r>
      <w:r w:rsidRPr="00D11A1C">
        <w:t>ЕС</w:t>
      </w:r>
      <w:r w:rsidRPr="00495009">
        <w:t xml:space="preserve">) № 523/2012 </w:t>
      </w:r>
      <w:r w:rsidRPr="00D11A1C">
        <w:t>от</w:t>
      </w:r>
      <w:r w:rsidRPr="00495009">
        <w:t xml:space="preserve"> 20</w:t>
      </w:r>
      <w:r>
        <w:rPr>
          <w:lang w:val="en-US"/>
        </w:rPr>
        <w:t> </w:t>
      </w:r>
      <w:r w:rsidRPr="00D11A1C">
        <w:t>июня</w:t>
      </w:r>
      <w:r w:rsidRPr="00495009">
        <w:t xml:space="preserve"> 2012 </w:t>
      </w:r>
      <w:r w:rsidRPr="00D11A1C">
        <w:t>года</w:t>
      </w:r>
      <w:r w:rsidRPr="00495009">
        <w:t>).</w:t>
      </w:r>
    </w:p>
    <w:p w:rsidR="00495009" w:rsidRPr="00D11A1C" w:rsidRDefault="00495009" w:rsidP="00495009">
      <w:pPr>
        <w:pStyle w:val="SingleTxtG"/>
      </w:pPr>
      <w:r w:rsidRPr="00D11A1C">
        <w:t>2.</w:t>
      </w:r>
      <w:r w:rsidRPr="00D11A1C">
        <w:tab/>
        <w:t>Правилами № 55 ООН все же предусматривается возможность блокировки съемного</w:t>
      </w:r>
      <w:r w:rsidRPr="00D11A1C">
        <w:rPr>
          <w:b/>
        </w:rPr>
        <w:t xml:space="preserve"> </w:t>
      </w:r>
      <w:r w:rsidRPr="00D11A1C">
        <w:t>сцепного устройства при помощи ключа, что не позволяет безопасным образом снимать механическое сцепное устройство либо изменять его положение, когда оно не используется.</w:t>
      </w:r>
    </w:p>
    <w:p w:rsidR="00495009" w:rsidRPr="00D11A1C" w:rsidRDefault="00495009" w:rsidP="00495009">
      <w:pPr>
        <w:pStyle w:val="SingleTxtG"/>
      </w:pPr>
      <w:r w:rsidRPr="00D11A1C">
        <w:t>3.</w:t>
      </w:r>
      <w:r w:rsidRPr="00D11A1C">
        <w:tab/>
        <w:t>В порядке повышения осведомленности пользователей инструкция по эксплуатации должна содержать четкую информацию на этот счет.</w:t>
      </w:r>
    </w:p>
    <w:tbl>
      <w:tblPr>
        <w:tblStyle w:val="TableGrid"/>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3"/>
      </w:tblGrid>
      <w:tr w:rsidR="00495009" w:rsidRPr="00D11A1C" w:rsidTr="00187DA5">
        <w:tc>
          <w:tcPr>
            <w:tcW w:w="7513" w:type="dxa"/>
          </w:tcPr>
          <w:p w:rsidR="00495009" w:rsidRPr="00D11A1C" w:rsidRDefault="00495009" w:rsidP="00187DA5">
            <w:pPr>
              <w:spacing w:before="120" w:line="240" w:lineRule="auto"/>
              <w:ind w:right="828"/>
              <w:jc w:val="center"/>
              <w:rPr>
                <w:position w:val="-1"/>
              </w:rPr>
            </w:pPr>
            <w:r w:rsidRPr="00D11A1C">
              <w:rPr>
                <w:noProof/>
                <w:lang w:eastAsia="ru-RU"/>
              </w:rPr>
              <w:drawing>
                <wp:inline distT="0" distB="0" distL="0" distR="0" wp14:anchorId="5926AF52" wp14:editId="3C20CB9C">
                  <wp:extent cx="2559132" cy="1920299"/>
                  <wp:effectExtent l="0" t="0" r="0"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569572" cy="1928133"/>
                          </a:xfrm>
                          <a:prstGeom prst="rect">
                            <a:avLst/>
                          </a:prstGeom>
                        </pic:spPr>
                      </pic:pic>
                    </a:graphicData>
                  </a:graphic>
                </wp:inline>
              </w:drawing>
            </w:r>
          </w:p>
        </w:tc>
      </w:tr>
      <w:tr w:rsidR="00495009" w:rsidRPr="00D11A1C" w:rsidTr="00187DA5">
        <w:tc>
          <w:tcPr>
            <w:tcW w:w="7513" w:type="dxa"/>
          </w:tcPr>
          <w:p w:rsidR="00495009" w:rsidRPr="00D11A1C" w:rsidRDefault="00495009" w:rsidP="00187DA5">
            <w:pPr>
              <w:spacing w:before="120" w:line="240" w:lineRule="auto"/>
              <w:ind w:right="828"/>
              <w:jc w:val="center"/>
              <w:rPr>
                <w:position w:val="-1"/>
              </w:rPr>
            </w:pPr>
            <w:r w:rsidRPr="00D11A1C">
              <w:rPr>
                <w:noProof/>
                <w:lang w:eastAsia="ru-RU"/>
              </w:rPr>
              <w:drawing>
                <wp:inline distT="0" distB="0" distL="0" distR="0" wp14:anchorId="512FEBF3" wp14:editId="367B9FAC">
                  <wp:extent cx="2481943" cy="105029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r="7295"/>
                          <a:stretch/>
                        </pic:blipFill>
                        <pic:spPr bwMode="auto">
                          <a:xfrm>
                            <a:off x="0" y="0"/>
                            <a:ext cx="2555949" cy="1081611"/>
                          </a:xfrm>
                          <a:prstGeom prst="rect">
                            <a:avLst/>
                          </a:prstGeom>
                          <a:ln>
                            <a:noFill/>
                          </a:ln>
                          <a:extLst>
                            <a:ext uri="{53640926-AAD7-44D8-BBD7-CCE9431645EC}">
                              <a14:shadowObscured xmlns:a14="http://schemas.microsoft.com/office/drawing/2010/main"/>
                            </a:ext>
                          </a:extLst>
                        </pic:spPr>
                      </pic:pic>
                    </a:graphicData>
                  </a:graphic>
                </wp:inline>
              </w:drawing>
            </w:r>
          </w:p>
        </w:tc>
      </w:tr>
      <w:tr w:rsidR="00495009" w:rsidRPr="00D11A1C" w:rsidTr="00187DA5">
        <w:tc>
          <w:tcPr>
            <w:tcW w:w="7513" w:type="dxa"/>
          </w:tcPr>
          <w:p w:rsidR="00495009" w:rsidRPr="00D11A1C" w:rsidRDefault="00495009" w:rsidP="00187DA5">
            <w:pPr>
              <w:spacing w:before="120" w:line="240" w:lineRule="auto"/>
              <w:ind w:right="828"/>
              <w:jc w:val="center"/>
              <w:rPr>
                <w:noProof/>
                <w:lang w:eastAsia="en-GB"/>
              </w:rPr>
            </w:pPr>
          </w:p>
        </w:tc>
      </w:tr>
    </w:tbl>
    <w:p w:rsidR="00495009" w:rsidRPr="00D11A1C" w:rsidRDefault="00495009" w:rsidP="00495009">
      <w:pPr>
        <w:suppressAutoHyphens w:val="0"/>
        <w:spacing w:line="240" w:lineRule="auto"/>
        <w:jc w:val="center"/>
        <w:rPr>
          <w:u w:val="single"/>
        </w:rPr>
      </w:pPr>
      <w:r w:rsidRPr="00D11A1C">
        <w:rPr>
          <w:u w:val="single"/>
        </w:rPr>
        <w:tab/>
      </w:r>
      <w:r w:rsidRPr="00D11A1C">
        <w:rPr>
          <w:u w:val="single"/>
        </w:rPr>
        <w:tab/>
      </w:r>
      <w:r w:rsidRPr="00D11A1C">
        <w:rPr>
          <w:u w:val="single"/>
        </w:rPr>
        <w:tab/>
      </w:r>
    </w:p>
    <w:sectPr w:rsidR="00495009" w:rsidRPr="00D11A1C" w:rsidSect="00495009">
      <w:headerReference w:type="even" r:id="rId10"/>
      <w:headerReference w:type="default" r:id="rId11"/>
      <w:footerReference w:type="even" r:id="rId12"/>
      <w:footerReference w:type="default" r:id="rId13"/>
      <w:footerReference w:type="first" r:id="rId14"/>
      <w:endnotePr>
        <w:numFmt w:val="decimal"/>
      </w:endnotePr>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3E1C" w:rsidRPr="00A312BC" w:rsidRDefault="00273E1C" w:rsidP="00A312BC"/>
  </w:endnote>
  <w:endnote w:type="continuationSeparator" w:id="0">
    <w:p w:rsidR="00273E1C" w:rsidRPr="00A312BC" w:rsidRDefault="00273E1C"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009" w:rsidRPr="00495009" w:rsidRDefault="00495009">
    <w:pPr>
      <w:pStyle w:val="Footer"/>
    </w:pPr>
    <w:r w:rsidRPr="00495009">
      <w:rPr>
        <w:b/>
        <w:sz w:val="18"/>
      </w:rPr>
      <w:fldChar w:fldCharType="begin"/>
    </w:r>
    <w:r w:rsidRPr="00495009">
      <w:rPr>
        <w:b/>
        <w:sz w:val="18"/>
      </w:rPr>
      <w:instrText xml:space="preserve"> PAGE  \* MERGEFORMAT </w:instrText>
    </w:r>
    <w:r w:rsidRPr="00495009">
      <w:rPr>
        <w:b/>
        <w:sz w:val="18"/>
      </w:rPr>
      <w:fldChar w:fldCharType="separate"/>
    </w:r>
    <w:r w:rsidR="00651420">
      <w:rPr>
        <w:b/>
        <w:noProof/>
        <w:sz w:val="18"/>
      </w:rPr>
      <w:t>2</w:t>
    </w:r>
    <w:r w:rsidRPr="00495009">
      <w:rPr>
        <w:b/>
        <w:sz w:val="18"/>
      </w:rPr>
      <w:fldChar w:fldCharType="end"/>
    </w:r>
    <w:r>
      <w:rPr>
        <w:b/>
        <w:sz w:val="18"/>
      </w:rPr>
      <w:tab/>
    </w:r>
    <w:r>
      <w:t>GE.19-00236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009" w:rsidRPr="00495009" w:rsidRDefault="00495009" w:rsidP="00495009">
    <w:pPr>
      <w:pStyle w:val="Footer"/>
      <w:tabs>
        <w:tab w:val="clear" w:pos="9639"/>
        <w:tab w:val="right" w:pos="9638"/>
      </w:tabs>
      <w:rPr>
        <w:b/>
        <w:sz w:val="18"/>
      </w:rPr>
    </w:pPr>
    <w:r>
      <w:t>GE.19-00236</w:t>
    </w:r>
    <w:r>
      <w:tab/>
    </w:r>
    <w:r w:rsidRPr="00495009">
      <w:rPr>
        <w:b/>
        <w:sz w:val="18"/>
      </w:rPr>
      <w:fldChar w:fldCharType="begin"/>
    </w:r>
    <w:r w:rsidRPr="00495009">
      <w:rPr>
        <w:b/>
        <w:sz w:val="18"/>
      </w:rPr>
      <w:instrText xml:space="preserve"> PAGE  \* MERGEFORMAT </w:instrText>
    </w:r>
    <w:r w:rsidRPr="00495009">
      <w:rPr>
        <w:b/>
        <w:sz w:val="18"/>
      </w:rPr>
      <w:fldChar w:fldCharType="separate"/>
    </w:r>
    <w:r>
      <w:rPr>
        <w:b/>
        <w:noProof/>
        <w:sz w:val="18"/>
      </w:rPr>
      <w:t>3</w:t>
    </w:r>
    <w:r w:rsidRPr="0049500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42B72" w:rsidRPr="00495009" w:rsidRDefault="00495009" w:rsidP="00495009">
    <w:pPr>
      <w:spacing w:before="120" w:line="240" w:lineRule="auto"/>
    </w:pPr>
    <w:r>
      <w:t>GE.</w:t>
    </w:r>
    <w:r w:rsidR="00DF71B9">
      <w:rPr>
        <w:b/>
        <w:noProof/>
        <w:lang w:eastAsia="ru-RU"/>
      </w:rPr>
      <w:drawing>
        <wp:anchor distT="0" distB="0" distL="114300" distR="114300" simplePos="0" relativeHeight="251658240" behindDoc="0" locked="0" layoutInCell="1" allowOverlap="1" wp14:anchorId="698A042D" wp14:editId="6ECF2596">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19-00236  (R)  300119  300119</w:t>
    </w:r>
    <w:r>
      <w:br/>
    </w:r>
    <w:r w:rsidRPr="00495009">
      <w:rPr>
        <w:rFonts w:ascii="C39T30Lfz" w:hAnsi="C39T30Lfz"/>
        <w:kern w:val="14"/>
        <w:sz w:val="56"/>
      </w:rPr>
      <w:t></w:t>
    </w:r>
    <w:r w:rsidRPr="00495009">
      <w:rPr>
        <w:rFonts w:ascii="C39T30Lfz" w:hAnsi="C39T30Lfz"/>
        <w:kern w:val="14"/>
        <w:sz w:val="56"/>
      </w:rPr>
      <w:t></w:t>
    </w:r>
    <w:r w:rsidRPr="00495009">
      <w:rPr>
        <w:rFonts w:ascii="C39T30Lfz" w:hAnsi="C39T30Lfz"/>
        <w:kern w:val="14"/>
        <w:sz w:val="56"/>
      </w:rPr>
      <w:t></w:t>
    </w:r>
    <w:r w:rsidRPr="00495009">
      <w:rPr>
        <w:rFonts w:ascii="C39T30Lfz" w:hAnsi="C39T30Lfz"/>
        <w:kern w:val="14"/>
        <w:sz w:val="56"/>
      </w:rPr>
      <w:t></w:t>
    </w:r>
    <w:r w:rsidRPr="00495009">
      <w:rPr>
        <w:rFonts w:ascii="C39T30Lfz" w:hAnsi="C39T30Lfz"/>
        <w:kern w:val="14"/>
        <w:sz w:val="56"/>
      </w:rPr>
      <w:t></w:t>
    </w:r>
    <w:r w:rsidRPr="00495009">
      <w:rPr>
        <w:rFonts w:ascii="C39T30Lfz" w:hAnsi="C39T30Lfz"/>
        <w:kern w:val="14"/>
        <w:sz w:val="56"/>
      </w:rPr>
      <w:t></w:t>
    </w:r>
    <w:r w:rsidRPr="00495009">
      <w:rPr>
        <w:rFonts w:ascii="C39T30Lfz" w:hAnsi="C39T30Lfz"/>
        <w:kern w:val="14"/>
        <w:sz w:val="56"/>
      </w:rPr>
      <w:t></w:t>
    </w:r>
    <w:r w:rsidRPr="00495009">
      <w:rPr>
        <w:rFonts w:ascii="C39T30Lfz" w:hAnsi="C39T30Lfz"/>
        <w:kern w:val="14"/>
        <w:sz w:val="56"/>
      </w:rPr>
      <w:t></w:t>
    </w:r>
    <w:r w:rsidRPr="00495009">
      <w:rPr>
        <w:rFonts w:ascii="C39T30Lfz" w:hAnsi="C39T30Lfz"/>
        <w:kern w:val="14"/>
        <w:sz w:val="56"/>
      </w:rPr>
      <w:t></w:t>
    </w:r>
    <w:r>
      <w:rPr>
        <w:noProof/>
        <w:lang w:eastAsia="ru-RU"/>
      </w:rPr>
      <w:drawing>
        <wp:anchor distT="0" distB="0" distL="114300" distR="114300" simplePos="0" relativeHeight="251659264" behindDoc="0" locked="0" layoutInCell="1" allowOverlap="1">
          <wp:simplePos x="0" y="0"/>
          <wp:positionH relativeFrom="margin">
            <wp:posOffset>5489575</wp:posOffset>
          </wp:positionH>
          <wp:positionV relativeFrom="margin">
            <wp:posOffset>8855710</wp:posOffset>
          </wp:positionV>
          <wp:extent cx="638175" cy="638175"/>
          <wp:effectExtent l="0" t="0" r="9525" b="9525"/>
          <wp:wrapNone/>
          <wp:docPr id="1" name="Рисунок 1" descr="https://undocs.org/m2/QRCode.ashx?DS=ECE/TRANS/WP.29/GRSG/2019/6&amp;Size=2&amp;Lan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WP.29/GRSG/2019/6&amp;Size=2&amp;Lang=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3E1C" w:rsidRPr="001075E9" w:rsidRDefault="00273E1C" w:rsidP="001075E9">
      <w:pPr>
        <w:tabs>
          <w:tab w:val="right" w:pos="2155"/>
        </w:tabs>
        <w:spacing w:after="80" w:line="240" w:lineRule="auto"/>
        <w:ind w:left="680"/>
        <w:rPr>
          <w:u w:val="single"/>
        </w:rPr>
      </w:pPr>
      <w:r>
        <w:rPr>
          <w:u w:val="single"/>
        </w:rPr>
        <w:tab/>
      </w:r>
    </w:p>
  </w:footnote>
  <w:footnote w:type="continuationSeparator" w:id="0">
    <w:p w:rsidR="00273E1C" w:rsidRDefault="00273E1C" w:rsidP="00407B78">
      <w:pPr>
        <w:tabs>
          <w:tab w:val="right" w:pos="2155"/>
        </w:tabs>
        <w:spacing w:after="80"/>
        <w:ind w:left="680"/>
        <w:rPr>
          <w:u w:val="single"/>
        </w:rPr>
      </w:pPr>
      <w:r>
        <w:rPr>
          <w:u w:val="single"/>
        </w:rPr>
        <w:tab/>
      </w:r>
    </w:p>
  </w:footnote>
  <w:footnote w:id="1">
    <w:p w:rsidR="00495009" w:rsidRPr="00B14735" w:rsidRDefault="00495009" w:rsidP="00495009">
      <w:pPr>
        <w:pStyle w:val="FootnoteText"/>
        <w:rPr>
          <w:rFonts w:eastAsia="Calibri"/>
        </w:rPr>
      </w:pPr>
      <w:r>
        <w:rPr>
          <w:rStyle w:val="FootnoteReference"/>
        </w:rPr>
        <w:tab/>
      </w:r>
      <w:r w:rsidRPr="00495009">
        <w:rPr>
          <w:rStyle w:val="FootnoteReference"/>
          <w:sz w:val="20"/>
          <w:vertAlign w:val="baseline"/>
        </w:rPr>
        <w:t>*</w:t>
      </w:r>
      <w:r w:rsidRPr="00BD6817">
        <w:tab/>
      </w:r>
      <w:r w:rsidRPr="009D6549">
        <w:rPr>
          <w:szCs w:val="18"/>
        </w:rPr>
        <w:t>В соответствии с программой работы Комитета по внутреннему транспорту на 2018–2019 годы (</w:t>
      </w:r>
      <w:r w:rsidRPr="005630D1">
        <w:rPr>
          <w:szCs w:val="18"/>
          <w:lang w:val="en-US"/>
        </w:rPr>
        <w:t>ECE</w:t>
      </w:r>
      <w:r w:rsidRPr="009D6549">
        <w:rPr>
          <w:szCs w:val="18"/>
        </w:rPr>
        <w:t>/</w:t>
      </w:r>
      <w:r w:rsidRPr="005630D1">
        <w:rPr>
          <w:szCs w:val="18"/>
          <w:lang w:val="en-US"/>
        </w:rPr>
        <w:t>TRANS</w:t>
      </w:r>
      <w:r>
        <w:rPr>
          <w:szCs w:val="18"/>
        </w:rPr>
        <w:t>/274, пункт 123</w:t>
      </w:r>
      <w:r w:rsidRPr="009D6549">
        <w:rPr>
          <w:szCs w:val="18"/>
        </w:rPr>
        <w:t xml:space="preserve">, и </w:t>
      </w:r>
      <w:r w:rsidRPr="00B15178">
        <w:rPr>
          <w:szCs w:val="18"/>
          <w:lang w:val="en-US"/>
        </w:rPr>
        <w:t>ECE</w:t>
      </w:r>
      <w:r w:rsidRPr="009D6549">
        <w:rPr>
          <w:szCs w:val="18"/>
        </w:rPr>
        <w:t>/</w:t>
      </w:r>
      <w:r w:rsidRPr="00B15178">
        <w:rPr>
          <w:szCs w:val="18"/>
          <w:lang w:val="en-US"/>
        </w:rPr>
        <w:t>TRANS</w:t>
      </w:r>
      <w:r w:rsidRPr="009D6549">
        <w:rPr>
          <w:szCs w:val="18"/>
        </w:rPr>
        <w:t>/2018/21/</w:t>
      </w:r>
      <w:r w:rsidRPr="00B15178">
        <w:rPr>
          <w:szCs w:val="18"/>
          <w:lang w:val="en-US"/>
        </w:rPr>
        <w:t>Add</w:t>
      </w:r>
      <w:r w:rsidRPr="009D6549">
        <w:rPr>
          <w:szCs w:val="18"/>
        </w:rPr>
        <w:t>.1</w:t>
      </w:r>
      <w:r>
        <w:rPr>
          <w:szCs w:val="18"/>
        </w:rPr>
        <w:t>, направление деятельности 3.1</w:t>
      </w:r>
      <w:r w:rsidRPr="009D6549">
        <w:rPr>
          <w:szCs w:val="18"/>
        </w:rPr>
        <w:t xml:space="preserve">) Всемирный форум будет разрабатывать, согласовывать и обновлять правила ООН в целях улучшения характеристик транспортных средств. </w:t>
      </w:r>
      <w:r w:rsidRPr="005630D1">
        <w:rPr>
          <w:szCs w:val="18"/>
          <w:lang w:val="en-US"/>
        </w:rPr>
        <w:t>Н</w:t>
      </w:r>
      <w:r>
        <w:rPr>
          <w:szCs w:val="18"/>
          <w:lang w:val="en-US"/>
        </w:rPr>
        <w:t>астоящий документ представлен в </w:t>
      </w:r>
      <w:r w:rsidRPr="005630D1">
        <w:rPr>
          <w:szCs w:val="18"/>
          <w:lang w:val="en-US"/>
        </w:rPr>
        <w:t>соответствии с этим мандатом</w:t>
      </w:r>
      <w:r w:rsidRPr="00B15178">
        <w:rPr>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009" w:rsidRPr="00495009" w:rsidRDefault="008E4946">
    <w:pPr>
      <w:pStyle w:val="Header"/>
    </w:pPr>
    <w:r>
      <w:fldChar w:fldCharType="begin"/>
    </w:r>
    <w:r>
      <w:instrText xml:space="preserve"> TITLE  \* MERGEFORMAT </w:instrText>
    </w:r>
    <w:r>
      <w:fldChar w:fldCharType="separate"/>
    </w:r>
    <w:r w:rsidR="00651420">
      <w:t>ECE/TRANS/WP.29/GRSG/2019/6</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5009" w:rsidRPr="00495009" w:rsidRDefault="008E4946" w:rsidP="00495009">
    <w:pPr>
      <w:pStyle w:val="Header"/>
      <w:jc w:val="right"/>
    </w:pPr>
    <w:r>
      <w:fldChar w:fldCharType="begin"/>
    </w:r>
    <w:r>
      <w:instrText xml:space="preserve"> TITLE  \* MERGEFORMAT </w:instrText>
    </w:r>
    <w:r>
      <w:fldChar w:fldCharType="separate"/>
    </w:r>
    <w:r w:rsidR="00651420">
      <w:t>ECE/TRANS/WP.29/GRSG/2019/6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771040"/>
    <w:multiLevelType w:val="hybridMultilevel"/>
    <w:tmpl w:val="966AF0FE"/>
    <w:lvl w:ilvl="0" w:tplc="F4CE0ABA">
      <w:start w:val="1"/>
      <w:numFmt w:val="decimal"/>
      <w:lvlText w:val="%1."/>
      <w:lvlJc w:val="left"/>
      <w:pPr>
        <w:ind w:left="1689" w:hanging="555"/>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7"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1"/>
  </w:num>
  <w:num w:numId="3">
    <w:abstractNumId w:val="10"/>
  </w:num>
  <w:num w:numId="4">
    <w:abstractNumId w:val="18"/>
  </w:num>
  <w:num w:numId="5">
    <w:abstractNumId w:val="13"/>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15"/>
  </w:num>
  <w:num w:numId="17">
    <w:abstractNumId w:val="12"/>
  </w:num>
  <w:num w:numId="18">
    <w:abstractNumId w:val="14"/>
  </w:num>
  <w:num w:numId="19">
    <w:abstractNumId w:val="15"/>
  </w:num>
  <w:num w:numId="20">
    <w:abstractNumId w:val="12"/>
  </w:num>
  <w:num w:numId="21">
    <w:abstractNumId w:val="14"/>
  </w:num>
  <w:num w:numId="22">
    <w:abstractNumId w:val="1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inkAnnotation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E1C"/>
    <w:rsid w:val="00033EE1"/>
    <w:rsid w:val="00042B72"/>
    <w:rsid w:val="000558BD"/>
    <w:rsid w:val="000B57E7"/>
    <w:rsid w:val="000B6373"/>
    <w:rsid w:val="000E4E5B"/>
    <w:rsid w:val="000F09DF"/>
    <w:rsid w:val="000F61B2"/>
    <w:rsid w:val="001075E9"/>
    <w:rsid w:val="0014152F"/>
    <w:rsid w:val="00180183"/>
    <w:rsid w:val="0018024D"/>
    <w:rsid w:val="0018649F"/>
    <w:rsid w:val="00196389"/>
    <w:rsid w:val="001B3EF6"/>
    <w:rsid w:val="001C7A89"/>
    <w:rsid w:val="00255343"/>
    <w:rsid w:val="0027151D"/>
    <w:rsid w:val="00273E1C"/>
    <w:rsid w:val="002A2EFC"/>
    <w:rsid w:val="002B0106"/>
    <w:rsid w:val="002B74B1"/>
    <w:rsid w:val="002C0E18"/>
    <w:rsid w:val="002D5AAC"/>
    <w:rsid w:val="002E5067"/>
    <w:rsid w:val="002F405F"/>
    <w:rsid w:val="002F7EEC"/>
    <w:rsid w:val="00301299"/>
    <w:rsid w:val="00305C08"/>
    <w:rsid w:val="00307FB6"/>
    <w:rsid w:val="00317339"/>
    <w:rsid w:val="00322004"/>
    <w:rsid w:val="003402C2"/>
    <w:rsid w:val="00381C24"/>
    <w:rsid w:val="00387CD4"/>
    <w:rsid w:val="003958D0"/>
    <w:rsid w:val="003A0D43"/>
    <w:rsid w:val="003A48CE"/>
    <w:rsid w:val="003B00E5"/>
    <w:rsid w:val="003E0B46"/>
    <w:rsid w:val="00407B78"/>
    <w:rsid w:val="00424203"/>
    <w:rsid w:val="00452493"/>
    <w:rsid w:val="00453318"/>
    <w:rsid w:val="00454AF2"/>
    <w:rsid w:val="00454E07"/>
    <w:rsid w:val="00472C5C"/>
    <w:rsid w:val="00495009"/>
    <w:rsid w:val="004E05B7"/>
    <w:rsid w:val="0050108D"/>
    <w:rsid w:val="00513081"/>
    <w:rsid w:val="00517901"/>
    <w:rsid w:val="00526683"/>
    <w:rsid w:val="005639C1"/>
    <w:rsid w:val="005709E0"/>
    <w:rsid w:val="00572E19"/>
    <w:rsid w:val="005961C8"/>
    <w:rsid w:val="005966F1"/>
    <w:rsid w:val="005D7914"/>
    <w:rsid w:val="005E2B41"/>
    <w:rsid w:val="005F0B42"/>
    <w:rsid w:val="00617A43"/>
    <w:rsid w:val="006345DB"/>
    <w:rsid w:val="00640F49"/>
    <w:rsid w:val="00651420"/>
    <w:rsid w:val="00680D03"/>
    <w:rsid w:val="00681A10"/>
    <w:rsid w:val="006A1ED8"/>
    <w:rsid w:val="006C2031"/>
    <w:rsid w:val="006D461A"/>
    <w:rsid w:val="006F35EE"/>
    <w:rsid w:val="007021FF"/>
    <w:rsid w:val="00712895"/>
    <w:rsid w:val="00734ACB"/>
    <w:rsid w:val="00757357"/>
    <w:rsid w:val="0076662E"/>
    <w:rsid w:val="00792497"/>
    <w:rsid w:val="00806737"/>
    <w:rsid w:val="00825F8D"/>
    <w:rsid w:val="00834B71"/>
    <w:rsid w:val="0086445C"/>
    <w:rsid w:val="00894693"/>
    <w:rsid w:val="008A08D7"/>
    <w:rsid w:val="008A37C8"/>
    <w:rsid w:val="008B6909"/>
    <w:rsid w:val="008D53B6"/>
    <w:rsid w:val="008E4946"/>
    <w:rsid w:val="008F7609"/>
    <w:rsid w:val="00906890"/>
    <w:rsid w:val="00911BE4"/>
    <w:rsid w:val="00951972"/>
    <w:rsid w:val="009608F3"/>
    <w:rsid w:val="009A24AC"/>
    <w:rsid w:val="009C59D7"/>
    <w:rsid w:val="009C6FE6"/>
    <w:rsid w:val="009D7E7D"/>
    <w:rsid w:val="00A14DA8"/>
    <w:rsid w:val="00A312BC"/>
    <w:rsid w:val="00A84021"/>
    <w:rsid w:val="00A84D35"/>
    <w:rsid w:val="00A917B3"/>
    <w:rsid w:val="00AB4B51"/>
    <w:rsid w:val="00B10CC7"/>
    <w:rsid w:val="00B36DF7"/>
    <w:rsid w:val="00B539E7"/>
    <w:rsid w:val="00B62458"/>
    <w:rsid w:val="00BC18B2"/>
    <w:rsid w:val="00BD33EE"/>
    <w:rsid w:val="00BD5B91"/>
    <w:rsid w:val="00BE1CC7"/>
    <w:rsid w:val="00C106D6"/>
    <w:rsid w:val="00C119AE"/>
    <w:rsid w:val="00C60F0C"/>
    <w:rsid w:val="00C71E84"/>
    <w:rsid w:val="00C805C9"/>
    <w:rsid w:val="00C92939"/>
    <w:rsid w:val="00CA1679"/>
    <w:rsid w:val="00CB151C"/>
    <w:rsid w:val="00CE5A1A"/>
    <w:rsid w:val="00CF55F6"/>
    <w:rsid w:val="00D33D63"/>
    <w:rsid w:val="00D5253A"/>
    <w:rsid w:val="00D873A8"/>
    <w:rsid w:val="00D90028"/>
    <w:rsid w:val="00D90138"/>
    <w:rsid w:val="00D9145B"/>
    <w:rsid w:val="00DD78D1"/>
    <w:rsid w:val="00DE32CD"/>
    <w:rsid w:val="00DF5767"/>
    <w:rsid w:val="00DF71B9"/>
    <w:rsid w:val="00E12C5F"/>
    <w:rsid w:val="00E73F76"/>
    <w:rsid w:val="00EA2C9F"/>
    <w:rsid w:val="00EA420E"/>
    <w:rsid w:val="00ED0BDA"/>
    <w:rsid w:val="00ED2673"/>
    <w:rsid w:val="00EE142A"/>
    <w:rsid w:val="00EF1360"/>
    <w:rsid w:val="00EF3220"/>
    <w:rsid w:val="00F2523A"/>
    <w:rsid w:val="00F43903"/>
    <w:rsid w:val="00F94155"/>
    <w:rsid w:val="00F9783F"/>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D3DAD3A-04E9-4060-BF52-281EC3415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
    <w:lsdException w:name="List 2" w:semiHidden="1" w:unhideWhenUsed="1"/>
    <w:lsdException w:name="List 3" w:semiHidden="1" w:unhideWhenUsed="1"/>
    <w:lsdException w:name="List 4" w:semiHidden="1" w:uiPriority="1"/>
    <w:lsdException w:name="List 5" w:semiHidden="1" w:uiPriority="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
    <w:lsdException w:name="Salutation" w:semiHidden="1" w:uiPriority="1"/>
    <w:lsdException w:name="Date" w:semiHidden="1" w:uiPriority="1"/>
    <w:lsdException w:name="Body Text First Indent" w:semiHidden="1"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1"/>
    <w:lsdException w:name="Emphasis" w:semiHidden="1" w:uiPriority="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9145B"/>
    <w:pPr>
      <w:suppressAutoHyphens/>
      <w:spacing w:line="240" w:lineRule="atLeast"/>
    </w:pPr>
    <w:rPr>
      <w:rFonts w:eastAsiaTheme="minorHAnsi" w:cstheme="minorBidi"/>
      <w:szCs w:val="22"/>
      <w:lang w:val="ru-RU" w:eastAsia="en-US"/>
    </w:rPr>
  </w:style>
  <w:style w:type="paragraph" w:styleId="Heading1">
    <w:name w:val="heading 1"/>
    <w:aliases w:val="Table_G"/>
    <w:basedOn w:val="Normal"/>
    <w:next w:val="Normal"/>
    <w:link w:val="Heading1Char"/>
    <w:qFormat/>
    <w:rsid w:val="00617A43"/>
    <w:pPr>
      <w:keepNext/>
      <w:tabs>
        <w:tab w:val="left" w:pos="567"/>
      </w:tabs>
      <w:jc w:val="both"/>
      <w:outlineLvl w:val="0"/>
    </w:pPr>
    <w:rPr>
      <w:rFonts w:eastAsia="Times New Roman" w:cs="Arial"/>
      <w:b/>
      <w:bCs/>
      <w:szCs w:val="32"/>
      <w:lang w:eastAsia="ru-RU"/>
    </w:rPr>
  </w:style>
  <w:style w:type="paragraph" w:styleId="Heading2">
    <w:name w:val="heading 2"/>
    <w:basedOn w:val="Normal"/>
    <w:next w:val="Normal"/>
    <w:semiHidden/>
    <w:rsid w:val="009C6FE6"/>
    <w:pPr>
      <w:keepNext/>
      <w:outlineLvl w:val="1"/>
    </w:pPr>
    <w:rPr>
      <w:rFonts w:cs="Arial"/>
      <w:bCs/>
      <w:iCs/>
      <w:szCs w:val="28"/>
    </w:rPr>
  </w:style>
  <w:style w:type="paragraph" w:styleId="Heading3">
    <w:name w:val="heading 3"/>
    <w:basedOn w:val="Normal"/>
    <w:next w:val="Normal"/>
    <w:semiHidden/>
    <w:rsid w:val="009C6FE6"/>
    <w:pPr>
      <w:keepNext/>
      <w:spacing w:before="240" w:after="60"/>
      <w:outlineLvl w:val="2"/>
    </w:pPr>
    <w:rPr>
      <w:rFonts w:ascii="Arial" w:hAnsi="Arial" w:cs="Arial"/>
      <w:b/>
      <w:bCs/>
      <w:sz w:val="26"/>
      <w:szCs w:val="26"/>
    </w:rPr>
  </w:style>
  <w:style w:type="paragraph" w:styleId="Heading4">
    <w:name w:val="heading 4"/>
    <w:basedOn w:val="Normal"/>
    <w:next w:val="Normal"/>
    <w:semiHidden/>
    <w:rsid w:val="009C6FE6"/>
    <w:pPr>
      <w:keepNext/>
      <w:spacing w:before="240" w:after="60"/>
      <w:outlineLvl w:val="3"/>
    </w:pPr>
    <w:rPr>
      <w:b/>
      <w:bCs/>
      <w:sz w:val="28"/>
      <w:szCs w:val="28"/>
    </w:rPr>
  </w:style>
  <w:style w:type="paragraph" w:styleId="Heading5">
    <w:name w:val="heading 5"/>
    <w:basedOn w:val="Normal"/>
    <w:next w:val="Normal"/>
    <w:semiHidden/>
    <w:rsid w:val="009C6FE6"/>
    <w:pPr>
      <w:spacing w:before="240" w:after="60"/>
      <w:outlineLvl w:val="4"/>
    </w:pPr>
    <w:rPr>
      <w:b/>
      <w:bCs/>
      <w:i/>
      <w:iCs/>
      <w:sz w:val="26"/>
      <w:szCs w:val="26"/>
    </w:rPr>
  </w:style>
  <w:style w:type="paragraph" w:styleId="Heading6">
    <w:name w:val="heading 6"/>
    <w:basedOn w:val="Normal"/>
    <w:next w:val="Normal"/>
    <w:semiHidden/>
    <w:rsid w:val="009C6FE6"/>
    <w:pPr>
      <w:spacing w:before="240" w:after="60"/>
      <w:outlineLvl w:val="5"/>
    </w:pPr>
    <w:rPr>
      <w:b/>
      <w:bCs/>
      <w:sz w:val="22"/>
    </w:rPr>
  </w:style>
  <w:style w:type="paragraph" w:styleId="Heading7">
    <w:name w:val="heading 7"/>
    <w:basedOn w:val="Normal"/>
    <w:next w:val="Normal"/>
    <w:semiHidden/>
    <w:rsid w:val="009C6FE6"/>
    <w:pPr>
      <w:spacing w:before="240" w:after="60"/>
      <w:outlineLvl w:val="6"/>
    </w:pPr>
    <w:rPr>
      <w:sz w:val="24"/>
      <w:szCs w:val="24"/>
    </w:rPr>
  </w:style>
  <w:style w:type="paragraph" w:styleId="Heading8">
    <w:name w:val="heading 8"/>
    <w:basedOn w:val="Normal"/>
    <w:next w:val="Normal"/>
    <w:semiHidden/>
    <w:rsid w:val="009C6FE6"/>
    <w:pPr>
      <w:spacing w:before="240" w:after="60"/>
      <w:outlineLvl w:val="7"/>
    </w:pPr>
    <w:rPr>
      <w:i/>
      <w:iCs/>
      <w:sz w:val="24"/>
      <w:szCs w:val="24"/>
    </w:rPr>
  </w:style>
  <w:style w:type="paragraph" w:styleId="Heading9">
    <w:name w:val="heading 9"/>
    <w:basedOn w:val="Normal"/>
    <w:next w:val="Normal"/>
    <w:semiHidden/>
    <w:rsid w:val="009C6FE6"/>
    <w:pPr>
      <w:spacing w:before="240" w:after="60"/>
      <w:outlineLvl w:val="8"/>
    </w:pPr>
    <w:rPr>
      <w:rFonts w:ascii="Arial"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1"/>
    <w:semiHidden/>
    <w:rsid w:val="009C6FE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C71E84"/>
    <w:rPr>
      <w:rFonts w:ascii="Tahoma" w:eastAsiaTheme="minorHAnsi" w:hAnsi="Tahoma" w:cs="Tahoma"/>
      <w:sz w:val="16"/>
      <w:szCs w:val="16"/>
      <w:lang w:val="ru-RU" w:eastAsia="en-US"/>
    </w:rPr>
  </w:style>
  <w:style w:type="paragraph" w:customStyle="1" w:styleId="HMG">
    <w:name w:val="_ H __M_G"/>
    <w:basedOn w:val="Normal"/>
    <w:next w:val="Normal"/>
    <w:qFormat/>
    <w:rsid w:val="00617A43"/>
    <w:pPr>
      <w:keepNext/>
      <w:keepLines/>
      <w:tabs>
        <w:tab w:val="right" w:pos="851"/>
      </w:tabs>
      <w:spacing w:before="240" w:after="240" w:line="360" w:lineRule="exact"/>
      <w:ind w:left="1134" w:right="1134" w:hanging="1134"/>
    </w:pPr>
    <w:rPr>
      <w:rFonts w:eastAsia="Times New Roman" w:cs="Times New Roman"/>
      <w:b/>
      <w:sz w:val="34"/>
      <w:szCs w:val="20"/>
      <w:lang w:eastAsia="ru-RU"/>
    </w:rPr>
  </w:style>
  <w:style w:type="paragraph" w:customStyle="1" w:styleId="HChG">
    <w:name w:val="_ H _Ch_G"/>
    <w:basedOn w:val="Normal"/>
    <w:next w:val="Normal"/>
    <w:link w:val="HChGChar"/>
    <w:qFormat/>
    <w:rsid w:val="00617A43"/>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paragraph" w:customStyle="1" w:styleId="H1G">
    <w:name w:val="_ H_1_G"/>
    <w:basedOn w:val="Normal"/>
    <w:next w:val="Normal"/>
    <w:qFormat/>
    <w:rsid w:val="00617A43"/>
    <w:pPr>
      <w:keepNext/>
      <w:keepLines/>
      <w:tabs>
        <w:tab w:val="right" w:pos="851"/>
      </w:tabs>
      <w:spacing w:before="360" w:after="240" w:line="270" w:lineRule="exact"/>
      <w:ind w:left="1134" w:right="1134" w:hanging="1134"/>
    </w:pPr>
    <w:rPr>
      <w:rFonts w:eastAsia="Times New Roman" w:cs="Times New Roman"/>
      <w:b/>
      <w:sz w:val="24"/>
      <w:szCs w:val="20"/>
      <w:lang w:eastAsia="ru-RU"/>
    </w:rPr>
  </w:style>
  <w:style w:type="paragraph" w:customStyle="1" w:styleId="H23G">
    <w:name w:val="_ H_2/3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b/>
      <w:szCs w:val="20"/>
      <w:lang w:eastAsia="ru-RU"/>
    </w:rPr>
  </w:style>
  <w:style w:type="paragraph" w:customStyle="1" w:styleId="H4G">
    <w:name w:val="_ H_4_G"/>
    <w:basedOn w:val="Normal"/>
    <w:next w:val="Normal"/>
    <w:qFormat/>
    <w:rsid w:val="00617A43"/>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56G">
    <w:name w:val="_ H_5/6_G"/>
    <w:basedOn w:val="Normal"/>
    <w:next w:val="Normal"/>
    <w:qFormat/>
    <w:rsid w:val="00617A43"/>
    <w:pPr>
      <w:keepNext/>
      <w:keepLines/>
      <w:tabs>
        <w:tab w:val="right" w:pos="851"/>
      </w:tabs>
      <w:spacing w:before="240" w:after="120" w:line="240" w:lineRule="exact"/>
      <w:ind w:left="1134" w:right="1134" w:hanging="1134"/>
    </w:pPr>
    <w:rPr>
      <w:rFonts w:eastAsia="Times New Roman" w:cs="Times New Roman"/>
      <w:szCs w:val="20"/>
      <w:lang w:eastAsia="ru-RU"/>
    </w:rPr>
  </w:style>
  <w:style w:type="paragraph" w:customStyle="1" w:styleId="SingleTxtG">
    <w:name w:val="_ Single Txt_G"/>
    <w:basedOn w:val="Normal"/>
    <w:link w:val="SingleTxtGChar"/>
    <w:qFormat/>
    <w:rsid w:val="00C71E84"/>
    <w:pPr>
      <w:spacing w:after="120"/>
      <w:ind w:left="1134" w:right="1134"/>
      <w:jc w:val="both"/>
    </w:pPr>
    <w:rPr>
      <w:rFonts w:eastAsia="Times New Roman" w:cs="Times New Roman"/>
      <w:szCs w:val="20"/>
    </w:rPr>
  </w:style>
  <w:style w:type="paragraph" w:customStyle="1" w:styleId="SLG">
    <w:name w:val="__S_L_G"/>
    <w:basedOn w:val="Normal"/>
    <w:next w:val="Normal"/>
    <w:qFormat/>
    <w:rsid w:val="00617A43"/>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Normal"/>
    <w:next w:val="Normal"/>
    <w:qFormat/>
    <w:rsid w:val="00617A43"/>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Normal"/>
    <w:next w:val="Normal"/>
    <w:qFormat/>
    <w:rsid w:val="00617A43"/>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Normal"/>
    <w:qFormat/>
    <w:rsid w:val="00617A43"/>
    <w:pPr>
      <w:numPr>
        <w:numId w:val="19"/>
      </w:numPr>
      <w:spacing w:after="120"/>
      <w:ind w:right="1134"/>
      <w:jc w:val="both"/>
    </w:pPr>
    <w:rPr>
      <w:rFonts w:eastAsia="Times New Roman" w:cs="Times New Roman"/>
      <w:szCs w:val="20"/>
      <w:lang w:eastAsia="ru-RU"/>
    </w:rPr>
  </w:style>
  <w:style w:type="paragraph" w:customStyle="1" w:styleId="Bullet2G">
    <w:name w:val="_Bullet 2_G"/>
    <w:basedOn w:val="Normal"/>
    <w:qFormat/>
    <w:rsid w:val="00617A43"/>
    <w:pPr>
      <w:numPr>
        <w:numId w:val="20"/>
      </w:numPr>
      <w:spacing w:after="120"/>
      <w:ind w:right="1134"/>
      <w:jc w:val="both"/>
    </w:pPr>
    <w:rPr>
      <w:rFonts w:eastAsia="Times New Roman" w:cs="Times New Roman"/>
      <w:szCs w:val="20"/>
      <w:lang w:eastAsia="ru-RU"/>
    </w:rPr>
  </w:style>
  <w:style w:type="paragraph" w:customStyle="1" w:styleId="ParaNoG">
    <w:name w:val="_ParaNo._G"/>
    <w:basedOn w:val="Normal"/>
    <w:next w:val="Normal"/>
    <w:qFormat/>
    <w:rsid w:val="00C71E84"/>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TableNormal"/>
    <w:rsid w:val="00617A43"/>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TableNormal"/>
    <w:rsid w:val="00617A43"/>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Header">
    <w:name w:val="header"/>
    <w:aliases w:val="6_G"/>
    <w:basedOn w:val="Normal"/>
    <w:next w:val="Normal"/>
    <w:link w:val="HeaderChar"/>
    <w:qFormat/>
    <w:rsid w:val="00617A43"/>
    <w:pPr>
      <w:pBdr>
        <w:bottom w:val="single" w:sz="4" w:space="4" w:color="auto"/>
      </w:pBdr>
      <w:tabs>
        <w:tab w:val="right" w:pos="9639"/>
      </w:tabs>
    </w:pPr>
    <w:rPr>
      <w:rFonts w:eastAsia="Times New Roman" w:cs="Times New Roman"/>
      <w:b/>
      <w:sz w:val="18"/>
      <w:szCs w:val="20"/>
      <w:lang w:val="en-GB" w:eastAsia="ru-RU"/>
    </w:rPr>
  </w:style>
  <w:style w:type="character" w:customStyle="1" w:styleId="HeaderChar">
    <w:name w:val="Header Char"/>
    <w:aliases w:val="6_G Char"/>
    <w:basedOn w:val="DefaultParagraphFont"/>
    <w:link w:val="Header"/>
    <w:rsid w:val="00617A43"/>
    <w:rPr>
      <w:b/>
      <w:sz w:val="18"/>
      <w:lang w:val="en-GB" w:eastAsia="ru-RU"/>
    </w:rPr>
  </w:style>
  <w:style w:type="character" w:styleId="PageNumber">
    <w:name w:val="page number"/>
    <w:aliases w:val="7_G"/>
    <w:basedOn w:val="DefaultParagraphFont"/>
    <w:qFormat/>
    <w:rsid w:val="00617A43"/>
    <w:rPr>
      <w:rFonts w:ascii="Times New Roman" w:hAnsi="Times New Roman"/>
      <w:b/>
      <w:sz w:val="18"/>
    </w:rPr>
  </w:style>
  <w:style w:type="paragraph" w:styleId="Footer">
    <w:name w:val="footer"/>
    <w:aliases w:val="3_G"/>
    <w:basedOn w:val="Normal"/>
    <w:link w:val="FooterChar"/>
    <w:qFormat/>
    <w:rsid w:val="00617A43"/>
    <w:pPr>
      <w:tabs>
        <w:tab w:val="right" w:pos="9639"/>
      </w:tabs>
    </w:pPr>
    <w:rPr>
      <w:rFonts w:eastAsia="Times New Roman" w:cs="Times New Roman"/>
      <w:sz w:val="16"/>
      <w:szCs w:val="20"/>
      <w:lang w:val="en-GB" w:eastAsia="ru-RU"/>
    </w:rPr>
  </w:style>
  <w:style w:type="character" w:customStyle="1" w:styleId="FooterChar">
    <w:name w:val="Footer Char"/>
    <w:aliases w:val="3_G Char"/>
    <w:basedOn w:val="DefaultParagraphFont"/>
    <w:link w:val="Footer"/>
    <w:rsid w:val="00617A43"/>
    <w:rPr>
      <w:sz w:val="16"/>
      <w:lang w:val="en-GB" w:eastAsia="ru-RU"/>
    </w:rPr>
  </w:style>
  <w:style w:type="character" w:styleId="FootnoteReference">
    <w:name w:val="footnote reference"/>
    <w:aliases w:val="4_G,(Footnote Reference),BVI fnr, BVI fnr,Footnote symbol,Footnote,Footnote Reference Superscript,SUPERS,-E Fußnotenzeichen"/>
    <w:basedOn w:val="DefaultParagraphFont"/>
    <w:qFormat/>
    <w:rsid w:val="00617A43"/>
    <w:rPr>
      <w:rFonts w:ascii="Times New Roman" w:hAnsi="Times New Roman"/>
      <w:dstrike w:val="0"/>
      <w:sz w:val="18"/>
      <w:vertAlign w:val="superscript"/>
    </w:rPr>
  </w:style>
  <w:style w:type="character" w:styleId="EndnoteReference">
    <w:name w:val="endnote reference"/>
    <w:aliases w:val="1_G"/>
    <w:basedOn w:val="FootnoteReference"/>
    <w:qFormat/>
    <w:rsid w:val="00617A43"/>
    <w:rPr>
      <w:rFonts w:ascii="Times New Roman" w:hAnsi="Times New Roman"/>
      <w:dstrike w:val="0"/>
      <w:sz w:val="18"/>
      <w:vertAlign w:val="superscript"/>
    </w:rPr>
  </w:style>
  <w:style w:type="table" w:styleId="TableGrid">
    <w:name w:val="Table Grid"/>
    <w:basedOn w:val="TableNormal"/>
    <w:rsid w:val="00D9145B"/>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5_G,PP"/>
    <w:basedOn w:val="Normal"/>
    <w:link w:val="FootnoteTextChar"/>
    <w:qFormat/>
    <w:rsid w:val="00617A43"/>
    <w:pPr>
      <w:tabs>
        <w:tab w:val="right" w:pos="1021"/>
      </w:tabs>
      <w:spacing w:line="220" w:lineRule="exact"/>
      <w:ind w:left="1134" w:right="1134" w:hanging="1134"/>
    </w:pPr>
    <w:rPr>
      <w:rFonts w:eastAsia="Times New Roman" w:cs="Times New Roman"/>
      <w:sz w:val="18"/>
      <w:szCs w:val="20"/>
      <w:lang w:eastAsia="ru-RU"/>
    </w:rPr>
  </w:style>
  <w:style w:type="character" w:customStyle="1" w:styleId="FootnoteTextChar">
    <w:name w:val="Footnote Text Char"/>
    <w:aliases w:val="5_G Char,PP Char"/>
    <w:basedOn w:val="DefaultParagraphFont"/>
    <w:link w:val="FootnoteText"/>
    <w:rsid w:val="00617A43"/>
    <w:rPr>
      <w:sz w:val="18"/>
      <w:lang w:val="ru-RU" w:eastAsia="ru-RU"/>
    </w:rPr>
  </w:style>
  <w:style w:type="paragraph" w:styleId="EndnoteText">
    <w:name w:val="endnote text"/>
    <w:aliases w:val="2_G"/>
    <w:basedOn w:val="FootnoteText"/>
    <w:link w:val="EndnoteTextChar"/>
    <w:qFormat/>
    <w:rsid w:val="00617A43"/>
  </w:style>
  <w:style w:type="character" w:customStyle="1" w:styleId="EndnoteTextChar">
    <w:name w:val="Endnote Text Char"/>
    <w:aliases w:val="2_G Char"/>
    <w:basedOn w:val="DefaultParagraphFont"/>
    <w:link w:val="EndnoteText"/>
    <w:rsid w:val="00617A43"/>
    <w:rPr>
      <w:sz w:val="18"/>
      <w:lang w:val="ru-RU" w:eastAsia="ru-RU"/>
    </w:rPr>
  </w:style>
  <w:style w:type="character" w:customStyle="1" w:styleId="Heading1Char">
    <w:name w:val="Heading 1 Char"/>
    <w:aliases w:val="Table_G Char"/>
    <w:basedOn w:val="DefaultParagraphFont"/>
    <w:link w:val="Heading1"/>
    <w:rsid w:val="00617A43"/>
    <w:rPr>
      <w:rFonts w:cs="Arial"/>
      <w:b/>
      <w:bCs/>
      <w:szCs w:val="32"/>
      <w:lang w:val="ru-RU" w:eastAsia="ru-RU"/>
    </w:rPr>
  </w:style>
  <w:style w:type="character" w:styleId="Hyperlink">
    <w:name w:val="Hyperlink"/>
    <w:basedOn w:val="DefaultParagraphFont"/>
    <w:rsid w:val="00617A43"/>
    <w:rPr>
      <w:color w:val="0000FF" w:themeColor="hyperlink"/>
      <w:u w:val="none"/>
    </w:rPr>
  </w:style>
  <w:style w:type="character" w:styleId="FollowedHyperlink">
    <w:name w:val="FollowedHyperlink"/>
    <w:basedOn w:val="DefaultParagraphFont"/>
    <w:rsid w:val="00617A43"/>
    <w:rPr>
      <w:color w:val="800080" w:themeColor="followedHyperlink"/>
      <w:u w:val="none"/>
    </w:rPr>
  </w:style>
  <w:style w:type="paragraph" w:styleId="BlockText">
    <w:name w:val="Block Text"/>
    <w:basedOn w:val="Normal"/>
    <w:semiHidden/>
    <w:rsid w:val="00495009"/>
    <w:pPr>
      <w:ind w:left="1440" w:right="1440"/>
    </w:pPr>
    <w:rPr>
      <w:rFonts w:eastAsia="Times New Roman" w:cs="Times New Roman"/>
      <w:szCs w:val="20"/>
      <w:lang w:val="en-GB"/>
    </w:rPr>
  </w:style>
  <w:style w:type="character" w:customStyle="1" w:styleId="HChGChar">
    <w:name w:val="_ H _Ch_G Char"/>
    <w:link w:val="HChG"/>
    <w:rsid w:val="00495009"/>
    <w:rPr>
      <w:b/>
      <w:sz w:val="28"/>
      <w:lang w:val="ru-RU" w:eastAsia="ru-RU"/>
    </w:rPr>
  </w:style>
  <w:style w:type="character" w:customStyle="1" w:styleId="SingleTxtGChar">
    <w:name w:val="_ Single Txt_G Char"/>
    <w:link w:val="SingleTxtG"/>
    <w:rsid w:val="00495009"/>
    <w:rPr>
      <w:lang w:val="ru-R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2252</Characters>
  <Application>Microsoft Office Word</Application>
  <DocSecurity>0</DocSecurity>
  <Lines>18</Lines>
  <Paragraphs>5</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ECE/TRANS/WP.29/GRSG/2019/6</vt:lpstr>
      <vt:lpstr>ECE/TRANS/WP.29/GRSG/2019/6</vt:lpstr>
      <vt:lpstr>A/</vt:lpstr>
    </vt:vector>
  </TitlesOfParts>
  <Company>DCM</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ECE/TRANS/WP.29/GRSG/2019/6</dc:title>
  <dc:subject/>
  <dc:creator>Marina KOROTKOVA</dc:creator>
  <cp:keywords/>
  <cp:lastModifiedBy>Benedicte Boudol</cp:lastModifiedBy>
  <cp:revision>2</cp:revision>
  <cp:lastPrinted>2019-01-30T12:59:00Z</cp:lastPrinted>
  <dcterms:created xsi:type="dcterms:W3CDTF">2019-02-14T16:17:00Z</dcterms:created>
  <dcterms:modified xsi:type="dcterms:W3CDTF">2019-02-14T16:17:00Z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