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84BD6">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84BD6" w:rsidP="00484BD6">
            <w:pPr>
              <w:jc w:val="right"/>
            </w:pPr>
            <w:r w:rsidRPr="00484BD6">
              <w:rPr>
                <w:sz w:val="40"/>
              </w:rPr>
              <w:t>ECE</w:t>
            </w:r>
            <w:r>
              <w:t>/TRANS/WP.29/GRPE/2019/11</w:t>
            </w:r>
            <w:r w:rsidR="00D638AE" w:rsidRPr="00D638AE">
              <w:rPr>
                <w:rStyle w:val="FootnoteReference"/>
                <w:sz w:val="20"/>
                <w:vertAlign w:val="baseline"/>
              </w:rPr>
              <w:footnoteReference w:customMarkFollows="1" w:id="2"/>
              <w:t>*</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84BD6" w:rsidP="00C97039">
            <w:pPr>
              <w:spacing w:before="240"/>
            </w:pPr>
            <w:r>
              <w:t xml:space="preserve">Distr. </w:t>
            </w:r>
            <w:proofErr w:type="gramStart"/>
            <w:r>
              <w:t>générale</w:t>
            </w:r>
            <w:proofErr w:type="gramEnd"/>
          </w:p>
          <w:p w:rsidR="00484BD6" w:rsidRDefault="00D638AE" w:rsidP="00484BD6">
            <w:pPr>
              <w:spacing w:line="240" w:lineRule="exact"/>
            </w:pPr>
            <w:r>
              <w:t>12</w:t>
            </w:r>
            <w:r w:rsidR="00484BD6">
              <w:t xml:space="preserve"> mars 2019</w:t>
            </w:r>
          </w:p>
          <w:p w:rsidR="00484BD6" w:rsidRDefault="00484BD6" w:rsidP="00484BD6">
            <w:pPr>
              <w:spacing w:line="240" w:lineRule="exact"/>
            </w:pPr>
            <w:r>
              <w:t>Français</w:t>
            </w:r>
          </w:p>
          <w:p w:rsidR="00484BD6" w:rsidRPr="00DB58B5" w:rsidRDefault="00484BD6" w:rsidP="00484BD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E0C38" w:rsidRDefault="008E0C38"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8E0C38" w:rsidRDefault="008E0C38" w:rsidP="00257168">
      <w:pPr>
        <w:spacing w:before="120" w:after="120" w:line="240" w:lineRule="exact"/>
        <w:rPr>
          <w:b/>
        </w:rPr>
      </w:pPr>
      <w:r>
        <w:rPr>
          <w:b/>
        </w:rPr>
        <w:t>Groupe de travail de la pollution et de l’énergie</w:t>
      </w:r>
    </w:p>
    <w:p w:rsidR="008E0C38" w:rsidRDefault="008E0C38" w:rsidP="00257168">
      <w:pPr>
        <w:spacing w:before="120" w:line="240" w:lineRule="exact"/>
        <w:rPr>
          <w:b/>
        </w:rPr>
      </w:pPr>
      <w:r w:rsidRPr="006E1E4B">
        <w:rPr>
          <w:b/>
          <w:lang w:val="fr-FR"/>
        </w:rPr>
        <w:t>Soixante-dix-neuvième</w:t>
      </w:r>
      <w:r>
        <w:rPr>
          <w:b/>
        </w:rPr>
        <w:t xml:space="preserve"> session</w:t>
      </w:r>
    </w:p>
    <w:p w:rsidR="008E0C38" w:rsidRDefault="008E0C38" w:rsidP="00257168">
      <w:pPr>
        <w:spacing w:line="240" w:lineRule="exact"/>
      </w:pPr>
      <w:r>
        <w:t xml:space="preserve">Genève, </w:t>
      </w:r>
      <w:r>
        <w:rPr>
          <w:lang w:val="fr-FR"/>
        </w:rPr>
        <w:t>21-24 mai 2019</w:t>
      </w:r>
    </w:p>
    <w:p w:rsidR="008E0C38" w:rsidRDefault="008E0C38" w:rsidP="00257168">
      <w:pPr>
        <w:spacing w:line="240" w:lineRule="exact"/>
      </w:pPr>
      <w:r>
        <w:t>Point 5 de l’ordre du jour provisoire</w:t>
      </w:r>
    </w:p>
    <w:p w:rsidR="008E0C38" w:rsidRPr="00EE424D" w:rsidRDefault="008E0C38" w:rsidP="00677EC9">
      <w:pPr>
        <w:rPr>
          <w:b/>
          <w:bCs/>
        </w:rPr>
      </w:pPr>
      <w:r w:rsidRPr="00EE424D">
        <w:rPr>
          <w:b/>
          <w:lang w:val="fr-FR"/>
        </w:rPr>
        <w:t xml:space="preserve">Règlements ONU </w:t>
      </w:r>
      <w:r w:rsidR="000F26D4" w:rsidRPr="00EE424D">
        <w:rPr>
          <w:rFonts w:eastAsia="MS Mincho"/>
          <w:b/>
          <w:szCs w:val="22"/>
          <w:lang w:val="fr-FR"/>
        </w:rPr>
        <w:t>n</w:t>
      </w:r>
      <w:r w:rsidR="000F26D4" w:rsidRPr="00EE424D">
        <w:rPr>
          <w:rFonts w:eastAsia="MS Mincho"/>
          <w:b/>
          <w:szCs w:val="22"/>
          <w:vertAlign w:val="superscript"/>
          <w:lang w:val="fr-FR"/>
        </w:rPr>
        <w:t>os</w:t>
      </w:r>
      <w:r w:rsidR="000F26D4" w:rsidRPr="00EE424D">
        <w:rPr>
          <w:b/>
          <w:lang w:val="fr-FR"/>
        </w:rPr>
        <w:t> </w:t>
      </w:r>
      <w:r w:rsidRPr="00EE424D">
        <w:rPr>
          <w:b/>
          <w:lang w:val="fr-FR"/>
        </w:rPr>
        <w:t xml:space="preserve">24 (Émissions de polluants visibles, mesure de la </w:t>
      </w:r>
      <w:r w:rsidR="00EE424D" w:rsidRPr="00EE424D">
        <w:rPr>
          <w:b/>
          <w:lang w:val="fr-FR"/>
        </w:rPr>
        <w:br/>
      </w:r>
      <w:r w:rsidRPr="00EE424D">
        <w:rPr>
          <w:b/>
          <w:lang w:val="fr-FR"/>
        </w:rPr>
        <w:t>puissance des moteurs à allumage par compression (fumées des</w:t>
      </w:r>
      <w:r w:rsidR="008B52A1" w:rsidRPr="00EE424D">
        <w:rPr>
          <w:b/>
          <w:lang w:val="fr-FR"/>
        </w:rPr>
        <w:t xml:space="preserve"> </w:t>
      </w:r>
      <w:r w:rsidRPr="00EE424D">
        <w:rPr>
          <w:b/>
          <w:lang w:val="fr-FR"/>
        </w:rPr>
        <w:t xml:space="preserve">moteurs </w:t>
      </w:r>
      <w:r w:rsidR="00EE424D" w:rsidRPr="00EE424D">
        <w:rPr>
          <w:b/>
          <w:lang w:val="fr-FR"/>
        </w:rPr>
        <w:br/>
      </w:r>
      <w:r w:rsidRPr="00EE424D">
        <w:rPr>
          <w:b/>
          <w:lang w:val="fr-FR"/>
        </w:rPr>
        <w:t xml:space="preserve">diesel)), 85 (Mesure de la puissance nette), 115 (Systèmes d’adaptation </w:t>
      </w:r>
      <w:r w:rsidR="00EE424D" w:rsidRPr="00EE424D">
        <w:rPr>
          <w:b/>
          <w:lang w:val="fr-FR"/>
        </w:rPr>
        <w:br/>
      </w:r>
      <w:r w:rsidRPr="00EE424D">
        <w:rPr>
          <w:b/>
          <w:lang w:val="fr-FR"/>
        </w:rPr>
        <w:t xml:space="preserve">au GPL et au GNC), 133 (Aptitude au recyclage des véhicules automobiles) </w:t>
      </w:r>
      <w:r w:rsidR="00EE424D" w:rsidRPr="00EE424D">
        <w:rPr>
          <w:b/>
          <w:lang w:val="fr-FR"/>
        </w:rPr>
        <w:br/>
      </w:r>
      <w:r w:rsidRPr="00EE424D">
        <w:rPr>
          <w:b/>
          <w:lang w:val="fr-FR"/>
        </w:rPr>
        <w:t xml:space="preserve">et 143 (Systèmes d’adaptation des moteurs de véhicules utilitaires lourds </w:t>
      </w:r>
      <w:r w:rsidR="008B52A1" w:rsidRPr="00EE424D">
        <w:rPr>
          <w:b/>
          <w:lang w:val="fr-FR"/>
        </w:rPr>
        <w:br/>
      </w:r>
      <w:r w:rsidRPr="00EE424D">
        <w:rPr>
          <w:b/>
          <w:lang w:val="fr-FR"/>
        </w:rPr>
        <w:t>à la bicarburation)</w:t>
      </w:r>
    </w:p>
    <w:p w:rsidR="008E0C38" w:rsidRPr="008E0C38" w:rsidRDefault="008E0C38" w:rsidP="008B52A1">
      <w:pPr>
        <w:pStyle w:val="HChG"/>
      </w:pPr>
      <w:r w:rsidRPr="008E0C38">
        <w:rPr>
          <w:lang w:val="fr-FR"/>
        </w:rPr>
        <w:tab/>
      </w:r>
      <w:r w:rsidRPr="008E0C38">
        <w:rPr>
          <w:lang w:val="fr-FR"/>
        </w:rPr>
        <w:tab/>
        <w:t xml:space="preserve">Proposition de nouveau complément au Règlement ONU </w:t>
      </w:r>
      <w:r w:rsidR="009E17F5" w:rsidRPr="009E17F5">
        <w:rPr>
          <w:rFonts w:eastAsia="MS Mincho"/>
          <w:szCs w:val="22"/>
          <w:lang w:val="fr-FR"/>
        </w:rPr>
        <w:t>n</w:t>
      </w:r>
      <w:r w:rsidR="009E17F5" w:rsidRPr="009E17F5">
        <w:rPr>
          <w:rFonts w:eastAsia="MS Mincho"/>
          <w:szCs w:val="22"/>
          <w:vertAlign w:val="superscript"/>
          <w:lang w:val="fr-FR"/>
        </w:rPr>
        <w:t>o</w:t>
      </w:r>
      <w:r w:rsidR="009E17F5">
        <w:rPr>
          <w:lang w:val="fr-FR"/>
        </w:rPr>
        <w:t> </w:t>
      </w:r>
      <w:r w:rsidRPr="008E0C38">
        <w:rPr>
          <w:lang w:val="fr-FR"/>
        </w:rPr>
        <w:t>85 (Mesure de la puissance nette)</w:t>
      </w:r>
    </w:p>
    <w:p w:rsidR="008E0C38" w:rsidRPr="008E0C38" w:rsidRDefault="008E0C38" w:rsidP="009E17F5">
      <w:pPr>
        <w:pStyle w:val="H1G"/>
      </w:pPr>
      <w:r w:rsidRPr="008E0C38">
        <w:rPr>
          <w:lang w:val="fr-FR"/>
        </w:rPr>
        <w:tab/>
      </w:r>
      <w:r w:rsidRPr="008E0C38">
        <w:rPr>
          <w:lang w:val="fr-FR"/>
        </w:rPr>
        <w:tab/>
        <w:t xml:space="preserve">Communication de l’expert de l’Organisation internationale </w:t>
      </w:r>
      <w:r w:rsidR="009E17F5">
        <w:rPr>
          <w:lang w:val="fr-FR"/>
        </w:rPr>
        <w:br/>
      </w:r>
      <w:r w:rsidRPr="008E0C38">
        <w:rPr>
          <w:lang w:val="fr-FR"/>
        </w:rPr>
        <w:t>des constructeurs d’automobiles</w:t>
      </w:r>
      <w:r w:rsidR="00B237AE" w:rsidRPr="00B237AE">
        <w:rPr>
          <w:rStyle w:val="FootnoteReference"/>
          <w:b w:val="0"/>
          <w:sz w:val="20"/>
          <w:vertAlign w:val="baseline"/>
        </w:rPr>
        <w:footnoteReference w:customMarkFollows="1" w:id="3"/>
        <w:t>**</w:t>
      </w:r>
    </w:p>
    <w:p w:rsidR="00C93E5B" w:rsidRDefault="008E0C38" w:rsidP="009E17F5">
      <w:pPr>
        <w:pStyle w:val="SingleTxtG"/>
        <w:ind w:firstLine="567"/>
        <w:rPr>
          <w:lang w:val="fr-FR"/>
        </w:rPr>
      </w:pPr>
      <w:r w:rsidRPr="008E0C38">
        <w:rPr>
          <w:lang w:val="fr-FR"/>
        </w:rPr>
        <w:t>Le texte reproduit ci-après a été établi par l’expert de l’Organisation internationale des constructeurs d’automobiles (OICA). Il a pour objet de modifier la procédure relative aux auxiliaires à utiliser pour les essais, afin de faciliter ceux-ci. Les modifications qu’il est proposé d’apporter au texte actuel du Règlement figurent en caractères gras pour les ajouts et biffés pour les suppressions.</w:t>
      </w:r>
    </w:p>
    <w:p w:rsidR="008E0C38" w:rsidRPr="008E0C38" w:rsidRDefault="00C93E5B" w:rsidP="00C93E5B">
      <w:pPr>
        <w:pStyle w:val="HChG"/>
      </w:pPr>
      <w:r>
        <w:rPr>
          <w:lang w:val="fr-FR"/>
        </w:rPr>
        <w:br w:type="page"/>
      </w:r>
      <w:r>
        <w:rPr>
          <w:lang w:val="fr-FR"/>
        </w:rPr>
        <w:lastRenderedPageBreak/>
        <w:tab/>
      </w:r>
      <w:r w:rsidR="008E0C38" w:rsidRPr="008E0C38">
        <w:rPr>
          <w:lang w:val="fr-FR"/>
        </w:rPr>
        <w:t>I.</w:t>
      </w:r>
      <w:r w:rsidR="008E0C38" w:rsidRPr="008E0C38">
        <w:rPr>
          <w:lang w:val="fr-FR"/>
        </w:rPr>
        <w:tab/>
        <w:t>Proposition</w:t>
      </w:r>
    </w:p>
    <w:p w:rsidR="008E0C38" w:rsidRPr="008E0C38" w:rsidRDefault="008E0C38" w:rsidP="00C93E5B">
      <w:pPr>
        <w:pStyle w:val="SingleTxtG"/>
      </w:pPr>
      <w:r w:rsidRPr="00C93E5B">
        <w:rPr>
          <w:i/>
          <w:lang w:val="fr-FR"/>
        </w:rPr>
        <w:t>Annexe 5, tableau 1, note 1b</w:t>
      </w:r>
      <w:r w:rsidR="00C93E5B">
        <w:rPr>
          <w:lang w:val="fr-FR"/>
        </w:rPr>
        <w:t>, lire </w:t>
      </w:r>
      <w:r w:rsidRPr="008E0C38">
        <w:rPr>
          <w:lang w:val="fr-FR"/>
        </w:rPr>
        <w:t>:</w:t>
      </w:r>
    </w:p>
    <w:p w:rsidR="008E0C38" w:rsidRPr="008E0C38" w:rsidRDefault="00C93E5B" w:rsidP="008E0C38">
      <w:pPr>
        <w:pStyle w:val="SingleTxtG"/>
      </w:pPr>
      <w:r>
        <w:rPr>
          <w:lang w:val="fr-FR"/>
        </w:rPr>
        <w:t>« </w:t>
      </w:r>
      <w:r w:rsidR="008E0C38" w:rsidRPr="008E0C38">
        <w:rPr>
          <w:vertAlign w:val="superscript"/>
          <w:lang w:val="fr-FR"/>
        </w:rPr>
        <w:t>9</w:t>
      </w:r>
      <w:r w:rsidR="008E0C38" w:rsidRPr="008E0C38">
        <w:rPr>
          <w:lang w:val="fr-FR"/>
        </w:rPr>
        <w:t xml:space="preserve"> Les moteurs suralimentés à refroidissement intermédiaire sont essayés avec les dispositifs de refroidissement de la charge, qu’ils soient à air ou à liquide. Toutefois, si le constructeur le souhaite, une installation sur banc d’essai peut remplacer le refroidisseur à air. Dans tous les cas, la puissance à chaque régime est mesurée d’après la même chute de température et la même chute de pression de l’air aspiré dans le refroidisseur sur le banc d’essai que celles fixées par le constructeur pour le véhicule.</w:t>
      </w:r>
    </w:p>
    <w:p w:rsidR="008E0C38" w:rsidRPr="008E0C38" w:rsidRDefault="008E0C38" w:rsidP="008E0C38">
      <w:pPr>
        <w:pStyle w:val="SingleTxtG"/>
        <w:rPr>
          <w:b/>
        </w:rPr>
      </w:pPr>
      <w:r w:rsidRPr="008E0C38">
        <w:rPr>
          <w:b/>
        </w:rPr>
        <w:t>À la demande du constructeur, la mesure de la puissance (à chaque régime) peut également être réalisée dans les conditions suivantes pour la température en sortie du refroidisseur à air :</w:t>
      </w:r>
    </w:p>
    <w:p w:rsidR="008E0C38" w:rsidRPr="008E0C38" w:rsidRDefault="008E0C38" w:rsidP="0081176C">
      <w:pPr>
        <w:pStyle w:val="SingleTxtG"/>
        <w:ind w:left="1701"/>
        <w:rPr>
          <w:lang w:val="fr-FR"/>
        </w:rPr>
      </w:pPr>
      <w:r w:rsidRPr="008E0C38">
        <w:rPr>
          <w:lang w:val="fr-FR"/>
        </w:rPr>
        <w:t>T</w:t>
      </w:r>
      <w:r w:rsidRPr="008E0C38">
        <w:rPr>
          <w:vertAlign w:val="subscript"/>
          <w:lang w:val="fr-FR"/>
        </w:rPr>
        <w:t>sortie, banc, N</w:t>
      </w:r>
      <w:r w:rsidRPr="008E0C38">
        <w:rPr>
          <w:lang w:val="fr-FR"/>
        </w:rPr>
        <w:t xml:space="preserve"> = T</w:t>
      </w:r>
      <w:r w:rsidRPr="008E0C38">
        <w:rPr>
          <w:vertAlign w:val="subscript"/>
          <w:lang w:val="fr-FR"/>
        </w:rPr>
        <w:t>sortie, véhicule, N</w:t>
      </w:r>
      <w:r w:rsidRPr="008E0C38">
        <w:rPr>
          <w:lang w:val="fr-FR"/>
        </w:rPr>
        <w:t xml:space="preserve"> - (T</w:t>
      </w:r>
      <w:r w:rsidRPr="008E0C38">
        <w:rPr>
          <w:vertAlign w:val="subscript"/>
          <w:lang w:val="fr-FR"/>
        </w:rPr>
        <w:t>amb</w:t>
      </w:r>
      <w:r w:rsidRPr="008E0C38">
        <w:rPr>
          <w:lang w:val="fr-FR"/>
        </w:rPr>
        <w:t xml:space="preserve"> – 298)</w:t>
      </w:r>
    </w:p>
    <w:p w:rsidR="008E0C38" w:rsidRPr="008E0C38" w:rsidRDefault="008E0C38" w:rsidP="0081176C">
      <w:pPr>
        <w:pStyle w:val="SingleTxtG"/>
        <w:ind w:left="1701"/>
        <w:rPr>
          <w:lang w:val="fr-FR"/>
        </w:rPr>
      </w:pPr>
      <w:r w:rsidRPr="008E0C38">
        <w:rPr>
          <w:lang w:val="fr-FR"/>
        </w:rPr>
        <w:t>Où</w:t>
      </w:r>
      <w:r w:rsidR="00E96DF6">
        <w:rPr>
          <w:lang w:val="fr-FR"/>
        </w:rPr>
        <w:t> </w:t>
      </w:r>
      <w:r w:rsidRPr="008E0C38">
        <w:rPr>
          <w:lang w:val="fr-FR"/>
        </w:rPr>
        <w:t>:</w:t>
      </w:r>
    </w:p>
    <w:p w:rsidR="008E0C38" w:rsidRPr="008E0C38" w:rsidRDefault="008E0C38" w:rsidP="0081176C">
      <w:pPr>
        <w:pStyle w:val="SingleTxtG"/>
        <w:ind w:left="1701"/>
        <w:rPr>
          <w:lang w:val="fr-FR"/>
        </w:rPr>
      </w:pPr>
      <w:r w:rsidRPr="008E0C38">
        <w:rPr>
          <w:lang w:val="fr-FR"/>
        </w:rPr>
        <w:t>T</w:t>
      </w:r>
      <w:r w:rsidRPr="008E0C38">
        <w:rPr>
          <w:vertAlign w:val="subscript"/>
          <w:lang w:val="fr-FR"/>
        </w:rPr>
        <w:t>sortie, banc, N</w:t>
      </w:r>
      <w:r w:rsidRPr="008E0C38">
        <w:rPr>
          <w:lang w:val="fr-FR"/>
        </w:rPr>
        <w:t xml:space="preserve"> est la température au régime moteur N durant l’essai sur banc</w:t>
      </w:r>
      <w:r w:rsidR="00E96DF6">
        <w:rPr>
          <w:lang w:val="fr-FR"/>
        </w:rPr>
        <w:t xml:space="preserve"> (K)</w:t>
      </w:r>
    </w:p>
    <w:p w:rsidR="008E0C38" w:rsidRPr="008E0C38" w:rsidRDefault="008E0C38" w:rsidP="0081176C">
      <w:pPr>
        <w:pStyle w:val="SingleTxtG"/>
        <w:ind w:left="1701"/>
        <w:rPr>
          <w:lang w:val="fr-FR"/>
        </w:rPr>
      </w:pPr>
      <w:r w:rsidRPr="008E0C38">
        <w:rPr>
          <w:lang w:val="fr-FR"/>
        </w:rPr>
        <w:t>T</w:t>
      </w:r>
      <w:r w:rsidRPr="008E0C38">
        <w:rPr>
          <w:vertAlign w:val="subscript"/>
          <w:lang w:val="fr-FR"/>
        </w:rPr>
        <w:t>sortie, véhicule, N</w:t>
      </w:r>
      <w:r w:rsidRPr="008E0C38">
        <w:rPr>
          <w:lang w:val="fr-FR"/>
        </w:rPr>
        <w:t xml:space="preserve"> est la température mesurée au régime moteur N durant l’essai complet du véhicule (K)</w:t>
      </w:r>
    </w:p>
    <w:p w:rsidR="008E0C38" w:rsidRPr="008E0C38" w:rsidRDefault="008E0C38" w:rsidP="0081176C">
      <w:pPr>
        <w:pStyle w:val="SingleTxtG"/>
        <w:ind w:left="1701"/>
        <w:rPr>
          <w:lang w:val="fr-FR"/>
        </w:rPr>
      </w:pPr>
      <w:r w:rsidRPr="008E0C38">
        <w:rPr>
          <w:lang w:val="fr-FR"/>
        </w:rPr>
        <w:t>T</w:t>
      </w:r>
      <w:r w:rsidRPr="008E0C38">
        <w:rPr>
          <w:vertAlign w:val="subscript"/>
          <w:lang w:val="fr-FR"/>
        </w:rPr>
        <w:t>amb</w:t>
      </w:r>
      <w:r w:rsidRPr="008E0C38">
        <w:rPr>
          <w:lang w:val="fr-FR"/>
        </w:rPr>
        <w:t xml:space="preserve"> est la température ambiante durant l’essai complet du véhicule (K)</w:t>
      </w:r>
      <w:r w:rsidR="0081176C">
        <w:rPr>
          <w:lang w:val="fr-FR"/>
        </w:rPr>
        <w:t> ».</w:t>
      </w:r>
    </w:p>
    <w:p w:rsidR="008E0C38" w:rsidRPr="008E0C38" w:rsidRDefault="0081176C" w:rsidP="0081176C">
      <w:pPr>
        <w:pStyle w:val="HChG"/>
      </w:pPr>
      <w:r>
        <w:rPr>
          <w:lang w:val="fr-FR"/>
        </w:rPr>
        <w:tab/>
      </w:r>
      <w:r w:rsidR="008E0C38" w:rsidRPr="008E0C38">
        <w:rPr>
          <w:lang w:val="fr-FR"/>
        </w:rPr>
        <w:t>II.</w:t>
      </w:r>
      <w:r w:rsidR="008E0C38" w:rsidRPr="008E0C38">
        <w:rPr>
          <w:lang w:val="fr-FR"/>
        </w:rPr>
        <w:tab/>
        <w:t>Justification</w:t>
      </w:r>
    </w:p>
    <w:p w:rsidR="008E0C38" w:rsidRPr="008E0C38" w:rsidRDefault="008E0C38" w:rsidP="008E0C38">
      <w:pPr>
        <w:pStyle w:val="SingleTxtG"/>
      </w:pPr>
      <w:r w:rsidRPr="008E0C38">
        <w:rPr>
          <w:lang w:val="fr-FR"/>
        </w:rPr>
        <w:t>1.</w:t>
      </w:r>
      <w:r w:rsidRPr="008E0C38">
        <w:rPr>
          <w:lang w:val="fr-FR"/>
        </w:rPr>
        <w:tab/>
        <w:t>La méthode d’essai actuelle pour la mesure de la puissance nette des moteurs suralimentés à refroidissement intermédiaire ne convient pas aux moteurs à forte puissance de cette catégorie. Durant l’attente des conditions nécessaires pour effectuer la mesure (voir annexe 5, 3.4), la température en sortie du refroidisseur à air augmente et la puissance nette ne peut pas être mesurée correctement.</w:t>
      </w:r>
    </w:p>
    <w:p w:rsidR="008E0C38" w:rsidRDefault="008E0C38" w:rsidP="008E0C38">
      <w:pPr>
        <w:pStyle w:val="SingleTxtG"/>
      </w:pPr>
      <w:r w:rsidRPr="008E0C38">
        <w:rPr>
          <w:lang w:val="fr-FR"/>
        </w:rPr>
        <w:t>2.</w:t>
      </w:r>
      <w:r w:rsidRPr="008E0C38">
        <w:rPr>
          <w:lang w:val="fr-FR"/>
        </w:rPr>
        <w:tab/>
        <w:t>Afin de résoudre ce problème, une autre méthode d’essai est proposée qui consiste à calculer la température en sortie du refroidisseur à air durant l’essai sur le banc à partir de la température constatée durant l’essai sur le véhicule et après correction en fonction de la température de référence indiquée au paragraphe 5.2.1 de la présente annexe. Cette autre méthode est bien établie dans la norme SAE J1349.</w:t>
      </w:r>
    </w:p>
    <w:p w:rsidR="008E0C38" w:rsidRPr="0081176C" w:rsidRDefault="0081176C" w:rsidP="0081176C">
      <w:pPr>
        <w:pStyle w:val="SingleTxtG"/>
        <w:spacing w:before="240" w:after="0"/>
        <w:jc w:val="center"/>
        <w:rPr>
          <w:u w:val="single"/>
        </w:rPr>
      </w:pPr>
      <w:r>
        <w:rPr>
          <w:u w:val="single"/>
        </w:rPr>
        <w:tab/>
      </w:r>
      <w:r>
        <w:rPr>
          <w:u w:val="single"/>
        </w:rPr>
        <w:tab/>
      </w:r>
      <w:r>
        <w:rPr>
          <w:u w:val="single"/>
        </w:rPr>
        <w:tab/>
      </w:r>
    </w:p>
    <w:sectPr w:rsidR="008E0C38" w:rsidRPr="0081176C" w:rsidSect="00484BD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FF5" w:rsidRDefault="00952FF5" w:rsidP="00F95C08">
      <w:pPr>
        <w:spacing w:line="240" w:lineRule="auto"/>
      </w:pPr>
    </w:p>
  </w:endnote>
  <w:endnote w:type="continuationSeparator" w:id="0">
    <w:p w:rsidR="00952FF5" w:rsidRPr="00AC3823" w:rsidRDefault="00952FF5" w:rsidP="00AC3823">
      <w:pPr>
        <w:pStyle w:val="Footer"/>
      </w:pPr>
    </w:p>
  </w:endnote>
  <w:endnote w:type="continuationNotice" w:id="1">
    <w:p w:rsidR="00952FF5" w:rsidRDefault="00952F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BD6" w:rsidRPr="00484BD6" w:rsidRDefault="00484BD6" w:rsidP="00484BD6">
    <w:pPr>
      <w:pStyle w:val="Footer"/>
      <w:tabs>
        <w:tab w:val="right" w:pos="9638"/>
      </w:tabs>
    </w:pPr>
    <w:r w:rsidRPr="00484BD6">
      <w:rPr>
        <w:b/>
        <w:sz w:val="18"/>
      </w:rPr>
      <w:fldChar w:fldCharType="begin"/>
    </w:r>
    <w:r w:rsidRPr="00484BD6">
      <w:rPr>
        <w:b/>
        <w:sz w:val="18"/>
      </w:rPr>
      <w:instrText xml:space="preserve"> PAGE  \* MERGEFORMAT </w:instrText>
    </w:r>
    <w:r w:rsidRPr="00484BD6">
      <w:rPr>
        <w:b/>
        <w:sz w:val="18"/>
      </w:rPr>
      <w:fldChar w:fldCharType="separate"/>
    </w:r>
    <w:r w:rsidR="008E6932">
      <w:rPr>
        <w:b/>
        <w:noProof/>
        <w:sz w:val="18"/>
      </w:rPr>
      <w:t>2</w:t>
    </w:r>
    <w:r w:rsidRPr="00484BD6">
      <w:rPr>
        <w:b/>
        <w:sz w:val="18"/>
      </w:rPr>
      <w:fldChar w:fldCharType="end"/>
    </w:r>
    <w:r>
      <w:rPr>
        <w:b/>
        <w:sz w:val="18"/>
      </w:rPr>
      <w:tab/>
    </w:r>
    <w:r>
      <w:t>GE.19-04007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BD6" w:rsidRPr="00484BD6" w:rsidRDefault="00484BD6" w:rsidP="00484BD6">
    <w:pPr>
      <w:pStyle w:val="Footer"/>
      <w:tabs>
        <w:tab w:val="right" w:pos="9638"/>
      </w:tabs>
      <w:rPr>
        <w:b/>
        <w:sz w:val="18"/>
      </w:rPr>
    </w:pPr>
    <w:r>
      <w:t>GE.19-04007</w:t>
    </w:r>
    <w:r>
      <w:tab/>
    </w:r>
    <w:r w:rsidRPr="00484BD6">
      <w:rPr>
        <w:b/>
        <w:sz w:val="18"/>
      </w:rPr>
      <w:fldChar w:fldCharType="begin"/>
    </w:r>
    <w:r w:rsidRPr="00484BD6">
      <w:rPr>
        <w:b/>
        <w:sz w:val="18"/>
      </w:rPr>
      <w:instrText xml:space="preserve"> PAGE  \* MERGEFORMAT </w:instrText>
    </w:r>
    <w:r w:rsidRPr="00484BD6">
      <w:rPr>
        <w:b/>
        <w:sz w:val="18"/>
      </w:rPr>
      <w:fldChar w:fldCharType="separate"/>
    </w:r>
    <w:r w:rsidR="00367641">
      <w:rPr>
        <w:b/>
        <w:noProof/>
        <w:sz w:val="18"/>
      </w:rPr>
      <w:t>2</w:t>
    </w:r>
    <w:r w:rsidRPr="00484B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484BD6" w:rsidRDefault="00484BD6" w:rsidP="00484BD6">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04007  (</w:t>
    </w:r>
    <w:proofErr w:type="gramEnd"/>
    <w:r>
      <w:rPr>
        <w:sz w:val="20"/>
      </w:rPr>
      <w:t>F)</w:t>
    </w:r>
    <w:r w:rsidR="00B23026">
      <w:rPr>
        <w:sz w:val="20"/>
      </w:rPr>
      <w:t xml:space="preserve">    150319    080419</w:t>
    </w:r>
    <w:r>
      <w:rPr>
        <w:sz w:val="20"/>
      </w:rPr>
      <w:br/>
    </w:r>
    <w:r w:rsidRPr="00484BD6">
      <w:rPr>
        <w:rFonts w:ascii="C39T30Lfz" w:hAnsi="C39T30Lfz"/>
        <w:sz w:val="56"/>
      </w:rPr>
      <w:t></w:t>
    </w:r>
    <w:r w:rsidRPr="00484BD6">
      <w:rPr>
        <w:rFonts w:ascii="C39T30Lfz" w:hAnsi="C39T30Lfz"/>
        <w:sz w:val="56"/>
      </w:rPr>
      <w:t></w:t>
    </w:r>
    <w:r w:rsidRPr="00484BD6">
      <w:rPr>
        <w:rFonts w:ascii="C39T30Lfz" w:hAnsi="C39T30Lfz"/>
        <w:sz w:val="56"/>
      </w:rPr>
      <w:t></w:t>
    </w:r>
    <w:r w:rsidRPr="00484BD6">
      <w:rPr>
        <w:rFonts w:ascii="C39T30Lfz" w:hAnsi="C39T30Lfz"/>
        <w:sz w:val="56"/>
      </w:rPr>
      <w:t></w:t>
    </w:r>
    <w:r w:rsidRPr="00484BD6">
      <w:rPr>
        <w:rFonts w:ascii="C39T30Lfz" w:hAnsi="C39T30Lfz"/>
        <w:sz w:val="56"/>
      </w:rPr>
      <w:t></w:t>
    </w:r>
    <w:r w:rsidRPr="00484BD6">
      <w:rPr>
        <w:rFonts w:ascii="C39T30Lfz" w:hAnsi="C39T30Lfz"/>
        <w:sz w:val="56"/>
      </w:rPr>
      <w:t></w:t>
    </w:r>
    <w:r w:rsidRPr="00484BD6">
      <w:rPr>
        <w:rFonts w:ascii="C39T30Lfz" w:hAnsi="C39T30Lfz"/>
        <w:sz w:val="56"/>
      </w:rPr>
      <w:t></w:t>
    </w:r>
    <w:r w:rsidRPr="00484BD6">
      <w:rPr>
        <w:rFonts w:ascii="C39T30Lfz" w:hAnsi="C39T30Lfz"/>
        <w:sz w:val="56"/>
      </w:rPr>
      <w:t></w:t>
    </w:r>
    <w:r w:rsidRPr="00484BD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PE/2019/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9/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FF5" w:rsidRPr="00AC3823" w:rsidRDefault="00952FF5" w:rsidP="00AC3823">
      <w:pPr>
        <w:pStyle w:val="Footer"/>
        <w:tabs>
          <w:tab w:val="right" w:pos="2155"/>
        </w:tabs>
        <w:spacing w:after="80" w:line="240" w:lineRule="atLeast"/>
        <w:ind w:left="680"/>
        <w:rPr>
          <w:u w:val="single"/>
        </w:rPr>
      </w:pPr>
      <w:r>
        <w:rPr>
          <w:u w:val="single"/>
        </w:rPr>
        <w:tab/>
      </w:r>
    </w:p>
  </w:footnote>
  <w:footnote w:type="continuationSeparator" w:id="0">
    <w:p w:rsidR="00952FF5" w:rsidRPr="00AC3823" w:rsidRDefault="00952FF5" w:rsidP="00AC3823">
      <w:pPr>
        <w:pStyle w:val="Footer"/>
        <w:tabs>
          <w:tab w:val="right" w:pos="2155"/>
        </w:tabs>
        <w:spacing w:after="80" w:line="240" w:lineRule="atLeast"/>
        <w:ind w:left="680"/>
        <w:rPr>
          <w:u w:val="single"/>
        </w:rPr>
      </w:pPr>
      <w:r>
        <w:rPr>
          <w:u w:val="single"/>
        </w:rPr>
        <w:tab/>
      </w:r>
    </w:p>
  </w:footnote>
  <w:footnote w:type="continuationNotice" w:id="1">
    <w:p w:rsidR="00952FF5" w:rsidRPr="00AC3823" w:rsidRDefault="00952FF5">
      <w:pPr>
        <w:spacing w:line="240" w:lineRule="auto"/>
        <w:rPr>
          <w:sz w:val="2"/>
          <w:szCs w:val="2"/>
        </w:rPr>
      </w:pPr>
    </w:p>
  </w:footnote>
  <w:footnote w:id="2">
    <w:p w:rsidR="00D638AE" w:rsidRPr="00D638AE" w:rsidRDefault="00D638AE">
      <w:pPr>
        <w:pStyle w:val="FootnoteText"/>
      </w:pPr>
      <w:r>
        <w:rPr>
          <w:rStyle w:val="FootnoteReference"/>
        </w:rPr>
        <w:tab/>
      </w:r>
      <w:r w:rsidRPr="00D638AE">
        <w:rPr>
          <w:rStyle w:val="FootnoteReference"/>
          <w:sz w:val="20"/>
          <w:vertAlign w:val="baseline"/>
        </w:rPr>
        <w:t>*</w:t>
      </w:r>
      <w:r>
        <w:rPr>
          <w:rStyle w:val="FootnoteReference"/>
          <w:sz w:val="20"/>
          <w:vertAlign w:val="baseline"/>
        </w:rPr>
        <w:tab/>
      </w:r>
      <w:r>
        <w:t>Nouveau tirage pour raisons techniques (10 avril 2019).</w:t>
      </w:r>
    </w:p>
  </w:footnote>
  <w:footnote w:id="3">
    <w:p w:rsidR="00B237AE" w:rsidRPr="00B237AE" w:rsidRDefault="00B237AE">
      <w:pPr>
        <w:pStyle w:val="FootnoteText"/>
      </w:pPr>
      <w:r>
        <w:rPr>
          <w:rStyle w:val="FootnoteReference"/>
        </w:rPr>
        <w:tab/>
      </w:r>
      <w:r w:rsidRPr="00B237AE">
        <w:rPr>
          <w:rStyle w:val="FootnoteReference"/>
          <w:sz w:val="20"/>
          <w:vertAlign w:val="baseline"/>
        </w:rPr>
        <w:t>**</w:t>
      </w:r>
      <w:r>
        <w:rPr>
          <w:rStyle w:val="FootnoteReference"/>
          <w:sz w:val="20"/>
          <w:vertAlign w:val="baseline"/>
        </w:rPr>
        <w:tab/>
      </w:r>
      <w:r w:rsidRPr="009E17F5">
        <w:rPr>
          <w:spacing w:val="-2"/>
          <w:lang w:val="fr-FR"/>
        </w:rPr>
        <w:t>Conformément au programme de travail du Comité des transports intérieurs pour la période 2018</w:t>
      </w:r>
      <w:r>
        <w:rPr>
          <w:lang w:val="fr-FR"/>
        </w:rPr>
        <w:t>-2019 (ECE/TRANS/274, par. 123, et ECE/TRANS/2018/21 et Add.1, module 3),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BD6" w:rsidRPr="00484BD6" w:rsidRDefault="007F42BA">
    <w:pPr>
      <w:pStyle w:val="Header"/>
    </w:pPr>
    <w:r>
      <w:fldChar w:fldCharType="begin"/>
    </w:r>
    <w:r>
      <w:instrText xml:space="preserve"> TITLE  \* MERGEFORMAT </w:instrText>
    </w:r>
    <w:r>
      <w:fldChar w:fldCharType="separate"/>
    </w:r>
    <w:r w:rsidR="00367641">
      <w:t>ECE/TRANS/WP.29/GRPE/2019/11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BD6" w:rsidRPr="00484BD6" w:rsidRDefault="007F42BA" w:rsidP="00484BD6">
    <w:pPr>
      <w:pStyle w:val="Header"/>
      <w:jc w:val="right"/>
    </w:pPr>
    <w:r>
      <w:fldChar w:fldCharType="begin"/>
    </w:r>
    <w:r>
      <w:instrText xml:space="preserve"> TITLE  \* MERGEFORMAT </w:instrText>
    </w:r>
    <w:r>
      <w:fldChar w:fldCharType="separate"/>
    </w:r>
    <w:r w:rsidR="00367641">
      <w:t>ECE/TRANS/WP.29/GRPE/2019/11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FF5"/>
    <w:rsid w:val="00017F94"/>
    <w:rsid w:val="00023842"/>
    <w:rsid w:val="000334F9"/>
    <w:rsid w:val="00045FEB"/>
    <w:rsid w:val="0007796D"/>
    <w:rsid w:val="000B7790"/>
    <w:rsid w:val="000F26D4"/>
    <w:rsid w:val="00111F2F"/>
    <w:rsid w:val="0014365E"/>
    <w:rsid w:val="00143C66"/>
    <w:rsid w:val="00176178"/>
    <w:rsid w:val="001F525A"/>
    <w:rsid w:val="00223272"/>
    <w:rsid w:val="0024779E"/>
    <w:rsid w:val="00257168"/>
    <w:rsid w:val="002744B8"/>
    <w:rsid w:val="002832AC"/>
    <w:rsid w:val="002D7C93"/>
    <w:rsid w:val="00305801"/>
    <w:rsid w:val="00367641"/>
    <w:rsid w:val="003916DE"/>
    <w:rsid w:val="00421996"/>
    <w:rsid w:val="00441C3B"/>
    <w:rsid w:val="00446FE5"/>
    <w:rsid w:val="00452396"/>
    <w:rsid w:val="004837D8"/>
    <w:rsid w:val="00484BD6"/>
    <w:rsid w:val="004E2EED"/>
    <w:rsid w:val="004E468C"/>
    <w:rsid w:val="005505B7"/>
    <w:rsid w:val="00573BE5"/>
    <w:rsid w:val="00586ED3"/>
    <w:rsid w:val="00596AA9"/>
    <w:rsid w:val="00677EC9"/>
    <w:rsid w:val="0071601D"/>
    <w:rsid w:val="007A1213"/>
    <w:rsid w:val="007A62E6"/>
    <w:rsid w:val="007F20FA"/>
    <w:rsid w:val="007F42BA"/>
    <w:rsid w:val="0080684C"/>
    <w:rsid w:val="0081176C"/>
    <w:rsid w:val="00871C75"/>
    <w:rsid w:val="008776DC"/>
    <w:rsid w:val="008B52A1"/>
    <w:rsid w:val="008E0C38"/>
    <w:rsid w:val="008E6932"/>
    <w:rsid w:val="009446C0"/>
    <w:rsid w:val="00952FF5"/>
    <w:rsid w:val="009705C8"/>
    <w:rsid w:val="009C1CF4"/>
    <w:rsid w:val="009E17F5"/>
    <w:rsid w:val="009F6B74"/>
    <w:rsid w:val="00A3029F"/>
    <w:rsid w:val="00A30353"/>
    <w:rsid w:val="00AC3823"/>
    <w:rsid w:val="00AE323C"/>
    <w:rsid w:val="00AF0CB5"/>
    <w:rsid w:val="00B00181"/>
    <w:rsid w:val="00B00B0D"/>
    <w:rsid w:val="00B23026"/>
    <w:rsid w:val="00B237AE"/>
    <w:rsid w:val="00B45F2E"/>
    <w:rsid w:val="00B765F7"/>
    <w:rsid w:val="00BA0CA9"/>
    <w:rsid w:val="00C02897"/>
    <w:rsid w:val="00C93E5B"/>
    <w:rsid w:val="00C97039"/>
    <w:rsid w:val="00D3439C"/>
    <w:rsid w:val="00D638AE"/>
    <w:rsid w:val="00DB1831"/>
    <w:rsid w:val="00DD3BFD"/>
    <w:rsid w:val="00DF6678"/>
    <w:rsid w:val="00E0299A"/>
    <w:rsid w:val="00E85C74"/>
    <w:rsid w:val="00E96DF6"/>
    <w:rsid w:val="00EA6547"/>
    <w:rsid w:val="00EE424D"/>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FA183B9-D6ED-4ECC-8583-322C010B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2816</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ECE/TRANS/WP.29/GRPE/2019/11</vt:lpstr>
      <vt:lpstr>ECE/TRANS/WP.29/GRPE/2019/11</vt:lpstr>
    </vt:vector>
  </TitlesOfParts>
  <Company>DCM</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ECE/TRANS/WP.29/GRPE/2019/11</dc:title>
  <dc:subject/>
  <dc:creator>Fabienne CRELIER</dc:creator>
  <cp:keywords/>
  <cp:lastModifiedBy>Benedicte Boudol</cp:lastModifiedBy>
  <cp:revision>2</cp:revision>
  <cp:lastPrinted>2019-04-08T15:14:00Z</cp:lastPrinted>
  <dcterms:created xsi:type="dcterms:W3CDTF">2019-04-10T12:51:00Z</dcterms:created>
  <dcterms:modified xsi:type="dcterms:W3CDTF">2019-04-10T12:51:00Z</dcterms:modified>
</cp:coreProperties>
</file>