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2A26FA" w:rsidTr="00C97039">
        <w:trPr>
          <w:trHeight w:hRule="exact" w:val="851"/>
        </w:trPr>
        <w:tc>
          <w:tcPr>
            <w:tcW w:w="1276" w:type="dxa"/>
            <w:tcBorders>
              <w:bottom w:val="single" w:sz="4" w:space="0" w:color="auto"/>
            </w:tcBorders>
          </w:tcPr>
          <w:p w:rsidR="00F35BAF" w:rsidRPr="006E409E" w:rsidRDefault="00F35BAF" w:rsidP="0027362D">
            <w:bookmarkStart w:id="0" w:name="_GoBack"/>
            <w:bookmarkEnd w:id="0"/>
          </w:p>
        </w:tc>
        <w:tc>
          <w:tcPr>
            <w:tcW w:w="2268" w:type="dxa"/>
            <w:tcBorders>
              <w:bottom w:val="single" w:sz="4" w:space="0" w:color="auto"/>
            </w:tcBorders>
            <w:vAlign w:val="bottom"/>
          </w:tcPr>
          <w:p w:rsidR="00F35BAF" w:rsidRPr="002A26FA" w:rsidRDefault="00F35BAF" w:rsidP="00C97039">
            <w:pPr>
              <w:spacing w:after="80" w:line="300" w:lineRule="exact"/>
              <w:rPr>
                <w:sz w:val="28"/>
              </w:rPr>
            </w:pPr>
            <w:r w:rsidRPr="002A26FA">
              <w:rPr>
                <w:sz w:val="28"/>
              </w:rPr>
              <w:t>Nations Unies</w:t>
            </w:r>
          </w:p>
        </w:tc>
        <w:tc>
          <w:tcPr>
            <w:tcW w:w="6095" w:type="dxa"/>
            <w:gridSpan w:val="2"/>
            <w:tcBorders>
              <w:bottom w:val="single" w:sz="4" w:space="0" w:color="auto"/>
            </w:tcBorders>
            <w:vAlign w:val="bottom"/>
          </w:tcPr>
          <w:p w:rsidR="00F35BAF" w:rsidRPr="002A26FA" w:rsidRDefault="0027362D" w:rsidP="0027362D">
            <w:pPr>
              <w:jc w:val="right"/>
            </w:pPr>
            <w:r w:rsidRPr="002A26FA">
              <w:rPr>
                <w:sz w:val="40"/>
              </w:rPr>
              <w:t>ECE</w:t>
            </w:r>
            <w:r w:rsidRPr="002A26FA">
              <w:t>/TRANS/WP.29/GRPE/2019/3</w:t>
            </w:r>
          </w:p>
        </w:tc>
      </w:tr>
      <w:tr w:rsidR="00F35BAF" w:rsidRPr="002A26FA" w:rsidTr="00C97039">
        <w:trPr>
          <w:trHeight w:hRule="exact" w:val="2835"/>
        </w:trPr>
        <w:tc>
          <w:tcPr>
            <w:tcW w:w="1276" w:type="dxa"/>
            <w:tcBorders>
              <w:top w:val="single" w:sz="4" w:space="0" w:color="auto"/>
              <w:bottom w:val="single" w:sz="12" w:space="0" w:color="auto"/>
            </w:tcBorders>
          </w:tcPr>
          <w:p w:rsidR="00F35BAF" w:rsidRPr="002A26FA" w:rsidRDefault="00F35BAF" w:rsidP="00C97039">
            <w:pPr>
              <w:spacing w:before="120"/>
              <w:jc w:val="center"/>
            </w:pPr>
            <w:r w:rsidRPr="002A26FA">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2A26FA" w:rsidRDefault="00F35BAF" w:rsidP="00C97039">
            <w:pPr>
              <w:spacing w:before="120" w:line="420" w:lineRule="exact"/>
              <w:rPr>
                <w:b/>
                <w:sz w:val="40"/>
                <w:szCs w:val="40"/>
              </w:rPr>
            </w:pPr>
            <w:r w:rsidRPr="002A26FA">
              <w:rPr>
                <w:b/>
                <w:sz w:val="40"/>
                <w:szCs w:val="40"/>
              </w:rPr>
              <w:t>Conseil économique et social</w:t>
            </w:r>
          </w:p>
        </w:tc>
        <w:tc>
          <w:tcPr>
            <w:tcW w:w="2835" w:type="dxa"/>
            <w:tcBorders>
              <w:top w:val="single" w:sz="4" w:space="0" w:color="auto"/>
              <w:bottom w:val="single" w:sz="12" w:space="0" w:color="auto"/>
            </w:tcBorders>
          </w:tcPr>
          <w:p w:rsidR="00F35BAF" w:rsidRPr="002A26FA" w:rsidRDefault="0027362D" w:rsidP="00C97039">
            <w:pPr>
              <w:spacing w:before="240"/>
            </w:pPr>
            <w:r w:rsidRPr="002A26FA">
              <w:t>Distr. générale</w:t>
            </w:r>
          </w:p>
          <w:p w:rsidR="0027362D" w:rsidRPr="002A26FA" w:rsidRDefault="0027362D" w:rsidP="0027362D">
            <w:pPr>
              <w:spacing w:line="240" w:lineRule="exact"/>
            </w:pPr>
            <w:r w:rsidRPr="002A26FA">
              <w:t>30 octobre 2018</w:t>
            </w:r>
          </w:p>
          <w:p w:rsidR="0027362D" w:rsidRPr="002A26FA" w:rsidRDefault="0027362D" w:rsidP="0027362D">
            <w:pPr>
              <w:spacing w:line="240" w:lineRule="exact"/>
            </w:pPr>
            <w:r w:rsidRPr="002A26FA">
              <w:t>Français</w:t>
            </w:r>
          </w:p>
          <w:p w:rsidR="0027362D" w:rsidRPr="002A26FA" w:rsidRDefault="0027362D" w:rsidP="0027362D">
            <w:pPr>
              <w:spacing w:line="240" w:lineRule="exact"/>
            </w:pPr>
            <w:r w:rsidRPr="002A26FA">
              <w:t>Original</w:t>
            </w:r>
            <w:r w:rsidR="00EE7593" w:rsidRPr="002A26FA">
              <w:t> :</w:t>
            </w:r>
            <w:r w:rsidRPr="002A26FA">
              <w:t xml:space="preserve"> anglais</w:t>
            </w:r>
          </w:p>
        </w:tc>
      </w:tr>
    </w:tbl>
    <w:p w:rsidR="007F20FA" w:rsidRPr="002A26FA" w:rsidRDefault="007F20FA" w:rsidP="007F20FA">
      <w:pPr>
        <w:spacing w:before="120"/>
        <w:rPr>
          <w:b/>
          <w:sz w:val="28"/>
          <w:szCs w:val="28"/>
        </w:rPr>
      </w:pPr>
      <w:r w:rsidRPr="002A26FA">
        <w:rPr>
          <w:b/>
          <w:sz w:val="28"/>
          <w:szCs w:val="28"/>
        </w:rPr>
        <w:t>Commission économique pour l’Europe</w:t>
      </w:r>
    </w:p>
    <w:p w:rsidR="007F20FA" w:rsidRPr="002A26FA" w:rsidRDefault="007F20FA" w:rsidP="007F20FA">
      <w:pPr>
        <w:spacing w:before="120"/>
        <w:rPr>
          <w:sz w:val="28"/>
          <w:szCs w:val="28"/>
        </w:rPr>
      </w:pPr>
      <w:r w:rsidRPr="002A26FA">
        <w:rPr>
          <w:sz w:val="28"/>
          <w:szCs w:val="28"/>
        </w:rPr>
        <w:t>Comité des transports intérieurs</w:t>
      </w:r>
    </w:p>
    <w:p w:rsidR="008D5FFF" w:rsidRPr="002A26FA" w:rsidRDefault="008D5FFF" w:rsidP="008D5FFF">
      <w:pPr>
        <w:tabs>
          <w:tab w:val="left" w:pos="567"/>
          <w:tab w:val="left" w:pos="1134"/>
        </w:tabs>
        <w:spacing w:before="120" w:after="120"/>
        <w:rPr>
          <w:b/>
          <w:bCs/>
          <w:sz w:val="24"/>
          <w:szCs w:val="24"/>
        </w:rPr>
      </w:pPr>
      <w:r w:rsidRPr="002A26FA">
        <w:rPr>
          <w:b/>
          <w:bCs/>
          <w:sz w:val="24"/>
          <w:szCs w:val="24"/>
        </w:rPr>
        <w:t xml:space="preserve">Forum mondial de l’harmonisation des Règlements </w:t>
      </w:r>
      <w:r w:rsidRPr="002A26FA">
        <w:rPr>
          <w:b/>
          <w:bCs/>
          <w:sz w:val="24"/>
          <w:szCs w:val="24"/>
        </w:rPr>
        <w:br/>
        <w:t xml:space="preserve">concernant les véhicules </w:t>
      </w:r>
    </w:p>
    <w:p w:rsidR="008D5FFF" w:rsidRPr="002A26FA" w:rsidRDefault="008D5FFF" w:rsidP="008D5FFF">
      <w:pPr>
        <w:spacing w:after="120"/>
        <w:rPr>
          <w:b/>
          <w:bCs/>
          <w:szCs w:val="24"/>
        </w:rPr>
      </w:pPr>
      <w:r w:rsidRPr="002A26FA">
        <w:rPr>
          <w:b/>
          <w:bCs/>
          <w:szCs w:val="24"/>
        </w:rPr>
        <w:t>Groupe de travail de la pollution et de l’énergie</w:t>
      </w:r>
    </w:p>
    <w:p w:rsidR="008D5FFF" w:rsidRPr="002A26FA" w:rsidRDefault="008D5FFF" w:rsidP="008D5FFF">
      <w:pPr>
        <w:rPr>
          <w:b/>
          <w:szCs w:val="24"/>
        </w:rPr>
      </w:pPr>
      <w:r w:rsidRPr="002A26FA">
        <w:rPr>
          <w:b/>
          <w:szCs w:val="24"/>
        </w:rPr>
        <w:t xml:space="preserve">Soixante-dix-huitième session </w:t>
      </w:r>
    </w:p>
    <w:p w:rsidR="008D5FFF" w:rsidRPr="002A26FA" w:rsidRDefault="008D5FFF" w:rsidP="008D5FFF">
      <w:pPr>
        <w:rPr>
          <w:szCs w:val="24"/>
        </w:rPr>
      </w:pPr>
      <w:r w:rsidRPr="002A26FA">
        <w:rPr>
          <w:szCs w:val="24"/>
        </w:rPr>
        <w:t>Genève, 8-11 janvier 2019</w:t>
      </w:r>
    </w:p>
    <w:p w:rsidR="008D5FFF" w:rsidRPr="002A26FA" w:rsidRDefault="008D5FFF" w:rsidP="008D5FFF">
      <w:pPr>
        <w:tabs>
          <w:tab w:val="left" w:pos="567"/>
          <w:tab w:val="left" w:pos="1134"/>
        </w:tabs>
        <w:rPr>
          <w:bCs/>
          <w:szCs w:val="24"/>
        </w:rPr>
      </w:pPr>
      <w:r w:rsidRPr="002A26FA">
        <w:rPr>
          <w:bCs/>
          <w:szCs w:val="24"/>
        </w:rPr>
        <w:t xml:space="preserve">Point </w:t>
      </w:r>
      <w:r w:rsidR="006F4911" w:rsidRPr="002A26FA">
        <w:rPr>
          <w:bCs/>
          <w:szCs w:val="24"/>
        </w:rPr>
        <w:t>5</w:t>
      </w:r>
      <w:r w:rsidRPr="002A26FA">
        <w:rPr>
          <w:bCs/>
          <w:szCs w:val="24"/>
        </w:rPr>
        <w:t xml:space="preserve"> de l’ordre du jour provisoire</w:t>
      </w:r>
    </w:p>
    <w:p w:rsidR="006F4911" w:rsidRPr="002A26FA" w:rsidRDefault="006F4911" w:rsidP="006F4911">
      <w:pPr>
        <w:rPr>
          <w:b/>
          <w:bCs/>
          <w:szCs w:val="24"/>
        </w:rPr>
      </w:pPr>
      <w:r w:rsidRPr="002A26FA">
        <w:rPr>
          <w:b/>
          <w:bCs/>
          <w:szCs w:val="24"/>
        </w:rPr>
        <w:t xml:space="preserve">Règlements ONU </w:t>
      </w:r>
      <w:r w:rsidRPr="002A26FA">
        <w:rPr>
          <w:rFonts w:eastAsia="MS Mincho"/>
          <w:b/>
          <w:szCs w:val="24"/>
        </w:rPr>
        <w:t>n</w:t>
      </w:r>
      <w:r w:rsidRPr="002A26FA">
        <w:rPr>
          <w:rFonts w:eastAsia="MS Mincho"/>
          <w:b/>
          <w:szCs w:val="24"/>
          <w:vertAlign w:val="superscript"/>
        </w:rPr>
        <w:t>os</w:t>
      </w:r>
      <w:r w:rsidR="00AB73B1" w:rsidRPr="002A26FA">
        <w:rPr>
          <w:b/>
          <w:szCs w:val="24"/>
        </w:rPr>
        <w:t xml:space="preserve"> </w:t>
      </w:r>
      <w:r w:rsidRPr="002A26FA">
        <w:rPr>
          <w:b/>
          <w:bCs/>
          <w:szCs w:val="24"/>
        </w:rPr>
        <w:t xml:space="preserve">24 (Émissions de polluants visibles, mesure </w:t>
      </w:r>
      <w:r w:rsidR="00C42AEB" w:rsidRPr="002A26FA">
        <w:rPr>
          <w:b/>
          <w:bCs/>
          <w:szCs w:val="24"/>
        </w:rPr>
        <w:br/>
      </w:r>
      <w:r w:rsidRPr="002A26FA">
        <w:rPr>
          <w:b/>
          <w:bCs/>
          <w:szCs w:val="24"/>
        </w:rPr>
        <w:t xml:space="preserve">de la puissance des moteurs à allumage par compression (fumées </w:t>
      </w:r>
      <w:r w:rsidR="00C42AEB" w:rsidRPr="002A26FA">
        <w:rPr>
          <w:b/>
          <w:bCs/>
          <w:szCs w:val="24"/>
        </w:rPr>
        <w:br/>
      </w:r>
      <w:r w:rsidRPr="002A26FA">
        <w:rPr>
          <w:b/>
          <w:bCs/>
          <w:szCs w:val="24"/>
        </w:rPr>
        <w:t xml:space="preserve">des moteurs diesel)), 85 (Mesure de la puissance nette), 115 </w:t>
      </w:r>
      <w:r w:rsidR="00C42AEB" w:rsidRPr="002A26FA">
        <w:rPr>
          <w:b/>
          <w:bCs/>
          <w:szCs w:val="24"/>
        </w:rPr>
        <w:br/>
      </w:r>
      <w:r w:rsidRPr="002A26FA">
        <w:rPr>
          <w:b/>
          <w:bCs/>
          <w:szCs w:val="24"/>
        </w:rPr>
        <w:t xml:space="preserve">(Systèmes d’adaptation au GPL et au GNC), 133 (Aptitude </w:t>
      </w:r>
      <w:r w:rsidR="00C42AEB" w:rsidRPr="002A26FA">
        <w:rPr>
          <w:b/>
          <w:bCs/>
          <w:szCs w:val="24"/>
        </w:rPr>
        <w:br/>
      </w:r>
      <w:r w:rsidRPr="002A26FA">
        <w:rPr>
          <w:b/>
          <w:bCs/>
          <w:szCs w:val="24"/>
        </w:rPr>
        <w:t xml:space="preserve">au recyclage des véhicules automobiles) et 143 (Systèmes </w:t>
      </w:r>
      <w:r w:rsidR="00C42AEB" w:rsidRPr="002A26FA">
        <w:rPr>
          <w:b/>
          <w:bCs/>
          <w:szCs w:val="24"/>
        </w:rPr>
        <w:br/>
      </w:r>
      <w:r w:rsidRPr="002A26FA">
        <w:rPr>
          <w:b/>
          <w:bCs/>
          <w:szCs w:val="24"/>
        </w:rPr>
        <w:t xml:space="preserve">d’adaptation des moteurs de véhicules utilitaires lourds </w:t>
      </w:r>
      <w:r w:rsidR="00C42AEB" w:rsidRPr="002A26FA">
        <w:rPr>
          <w:b/>
          <w:bCs/>
          <w:szCs w:val="24"/>
        </w:rPr>
        <w:br/>
      </w:r>
      <w:r w:rsidRPr="002A26FA">
        <w:rPr>
          <w:b/>
          <w:bCs/>
          <w:szCs w:val="24"/>
        </w:rPr>
        <w:t>à la bicarburation)</w:t>
      </w:r>
    </w:p>
    <w:p w:rsidR="006F4911" w:rsidRPr="002A26FA" w:rsidRDefault="006F4911" w:rsidP="00C42AEB">
      <w:pPr>
        <w:pStyle w:val="HChG"/>
      </w:pPr>
      <w:r w:rsidRPr="002A26FA">
        <w:tab/>
      </w:r>
      <w:r w:rsidRPr="002A26FA">
        <w:tab/>
        <w:t>Proposition de nouveau complément au Règlement ONU n</w:t>
      </w:r>
      <w:r w:rsidRPr="002A26FA">
        <w:rPr>
          <w:vertAlign w:val="superscript"/>
        </w:rPr>
        <w:t>o</w:t>
      </w:r>
      <w:r w:rsidR="00C42AEB" w:rsidRPr="002A26FA">
        <w:t> </w:t>
      </w:r>
      <w:r w:rsidRPr="002A26FA">
        <w:t>115 (Systèmes d’adaptation au GPL et au GNC)</w:t>
      </w:r>
    </w:p>
    <w:p w:rsidR="006F4911" w:rsidRPr="002A26FA" w:rsidRDefault="006F4911" w:rsidP="00C42AEB">
      <w:pPr>
        <w:pStyle w:val="H1G"/>
      </w:pPr>
      <w:r w:rsidRPr="002A26FA">
        <w:tab/>
      </w:r>
      <w:r w:rsidRPr="002A26FA">
        <w:tab/>
        <w:t>Communication de l’expert de l’Italie</w:t>
      </w:r>
      <w:r w:rsidRPr="002A26FA">
        <w:rPr>
          <w:b w:val="0"/>
          <w:sz w:val="20"/>
        </w:rPr>
        <w:footnoteReference w:customMarkFollows="1" w:id="2"/>
        <w:t>*</w:t>
      </w:r>
    </w:p>
    <w:p w:rsidR="006F4911" w:rsidRPr="002A26FA" w:rsidRDefault="006F4911" w:rsidP="00C42AEB">
      <w:pPr>
        <w:pStyle w:val="SingleTxtG"/>
        <w:ind w:firstLine="567"/>
      </w:pPr>
      <w:r w:rsidRPr="002A26FA">
        <w:t>Le texte ci-après, établi par l’expert de l’Italie, est fondé sur le document informel GRPE-71-03 (voir rapport ECE/TRANS/WP.29/GRPE/71, par. 36</w:t>
      </w:r>
      <w:r w:rsidR="00C42AEB" w:rsidRPr="002A26FA">
        <w:t xml:space="preserve"> et </w:t>
      </w:r>
      <w:r w:rsidRPr="002A26FA">
        <w:t>37). La proposition vise à harmoniser le Règlement ONU n</w:t>
      </w:r>
      <w:r w:rsidRPr="002A26FA">
        <w:rPr>
          <w:vertAlign w:val="superscript"/>
        </w:rPr>
        <w:t>o</w:t>
      </w:r>
      <w:r w:rsidR="00C42AEB" w:rsidRPr="002A26FA">
        <w:t> </w:t>
      </w:r>
      <w:r w:rsidRPr="002A26FA">
        <w:t>115 avec le nouveau cycle d’essai mondial harmonisé pour voitures particulières et véhicules utilitaires légers (WLTC),</w:t>
      </w:r>
      <w:r w:rsidR="00AB73B1" w:rsidRPr="002A26FA">
        <w:t xml:space="preserve"> </w:t>
      </w:r>
      <w:r w:rsidRPr="002A26FA">
        <w:t>décrit dans le RTM ONU n</w:t>
      </w:r>
      <w:r w:rsidRPr="002A26FA">
        <w:rPr>
          <w:vertAlign w:val="superscript"/>
        </w:rPr>
        <w:t>o</w:t>
      </w:r>
      <w:r w:rsidR="00C42AEB" w:rsidRPr="002A26FA">
        <w:t> </w:t>
      </w:r>
      <w:r w:rsidRPr="002A26FA">
        <w:t xml:space="preserve">15. Les modifications qu’il est proposé d’apporter au texte actuel du Règlement ONU </w:t>
      </w:r>
      <w:r w:rsidR="00C42AEB" w:rsidRPr="002A26FA">
        <w:rPr>
          <w:rFonts w:eastAsia="MS Mincho"/>
        </w:rPr>
        <w:t>n</w:t>
      </w:r>
      <w:r w:rsidR="00C42AEB" w:rsidRPr="002A26FA">
        <w:rPr>
          <w:rFonts w:eastAsia="MS Mincho"/>
          <w:vertAlign w:val="superscript"/>
        </w:rPr>
        <w:t>o</w:t>
      </w:r>
      <w:r w:rsidR="00C42AEB" w:rsidRPr="002A26FA">
        <w:t> </w:t>
      </w:r>
      <w:r w:rsidRPr="002A26FA">
        <w:t>115 figurent en caractères gras pour les ajouts et biffés pour les suppressions.</w:t>
      </w:r>
    </w:p>
    <w:p w:rsidR="006F4911" w:rsidRPr="002A26FA" w:rsidRDefault="006F4911" w:rsidP="005D4252">
      <w:pPr>
        <w:pStyle w:val="HChG"/>
        <w:rPr>
          <w:sz w:val="20"/>
        </w:rPr>
      </w:pPr>
      <w:r w:rsidRPr="002A26FA">
        <w:br w:type="page"/>
      </w:r>
      <w:r w:rsidR="005D4252" w:rsidRPr="002A26FA">
        <w:lastRenderedPageBreak/>
        <w:tab/>
      </w:r>
      <w:r w:rsidRPr="002A26FA">
        <w:t>I.</w:t>
      </w:r>
      <w:r w:rsidRPr="002A26FA">
        <w:tab/>
        <w:t>Proposition</w:t>
      </w:r>
    </w:p>
    <w:p w:rsidR="006F4911" w:rsidRPr="002A26FA" w:rsidRDefault="006F4911" w:rsidP="006E409E">
      <w:pPr>
        <w:pStyle w:val="SingleTxtG"/>
        <w:keepNext/>
      </w:pPr>
      <w:r w:rsidRPr="002A26FA">
        <w:rPr>
          <w:i/>
        </w:rPr>
        <w:t xml:space="preserve">Ajouter les nouveaux paragraphes </w:t>
      </w:r>
      <w:r w:rsidR="005D4252" w:rsidRPr="002A26FA">
        <w:rPr>
          <w:i/>
        </w:rPr>
        <w:t>2.6</w:t>
      </w:r>
      <w:r w:rsidRPr="002A26FA">
        <w:rPr>
          <w:i/>
        </w:rPr>
        <w:t xml:space="preserve"> et 2.7</w:t>
      </w:r>
      <w:r w:rsidR="00BE0A78" w:rsidRPr="00BE0A78">
        <w:t>,</w:t>
      </w:r>
      <w:r w:rsidRPr="002A26FA">
        <w:t xml:space="preserve"> comme suit</w:t>
      </w:r>
      <w:r w:rsidR="00EE7593" w:rsidRPr="002A26FA">
        <w:t> :</w:t>
      </w:r>
    </w:p>
    <w:p w:rsidR="006F4911" w:rsidRPr="002A26FA" w:rsidRDefault="006E409E" w:rsidP="00F12738">
      <w:pPr>
        <w:pStyle w:val="SingleTxtG"/>
        <w:ind w:left="2438" w:hanging="1304"/>
        <w:rPr>
          <w:b/>
          <w:lang w:eastAsia="nl-NL"/>
        </w:rPr>
      </w:pPr>
      <w:r w:rsidRPr="002A26FA">
        <w:rPr>
          <w:lang w:eastAsia="nl-NL"/>
        </w:rPr>
        <w:t>« </w:t>
      </w:r>
      <w:r w:rsidRPr="002A26FA">
        <w:rPr>
          <w:b/>
          <w:lang w:eastAsia="nl-NL"/>
        </w:rPr>
        <w:t>2.8</w:t>
      </w:r>
      <w:r w:rsidR="006F4911" w:rsidRPr="002A26FA">
        <w:rPr>
          <w:b/>
          <w:lang w:eastAsia="nl-NL"/>
        </w:rPr>
        <w:tab/>
        <w:t xml:space="preserve">Par </w:t>
      </w:r>
      <w:r w:rsidR="00B1351B" w:rsidRPr="002A26FA">
        <w:rPr>
          <w:b/>
          <w:lang w:eastAsia="nl-NL"/>
        </w:rPr>
        <w:t>“</w:t>
      </w:r>
      <w:r w:rsidR="006F4911" w:rsidRPr="002A26FA">
        <w:rPr>
          <w:b/>
          <w:lang w:eastAsia="nl-NL"/>
        </w:rPr>
        <w:t>NCEE</w:t>
      </w:r>
      <w:r w:rsidR="00B1351B" w:rsidRPr="002A26FA">
        <w:rPr>
          <w:b/>
          <w:lang w:eastAsia="nl-NL"/>
        </w:rPr>
        <w:t>”</w:t>
      </w:r>
      <w:r w:rsidR="006F4911" w:rsidRPr="002A26FA">
        <w:rPr>
          <w:b/>
          <w:lang w:eastAsia="nl-NL"/>
        </w:rPr>
        <w:t>, on entend le cycle d’essai pour mesurer les émissions à l’échappement après un démarrage à froid, tel que</w:t>
      </w:r>
      <w:r w:rsidR="00AB73B1" w:rsidRPr="002A26FA">
        <w:rPr>
          <w:b/>
          <w:lang w:eastAsia="nl-NL"/>
        </w:rPr>
        <w:t xml:space="preserve"> </w:t>
      </w:r>
      <w:r w:rsidR="006F4911" w:rsidRPr="002A26FA">
        <w:rPr>
          <w:b/>
          <w:lang w:eastAsia="nl-NL"/>
        </w:rPr>
        <w:t>décrit dans le Règlement ONU n</w:t>
      </w:r>
      <w:r w:rsidR="006F4911" w:rsidRPr="002A26FA">
        <w:rPr>
          <w:b/>
          <w:vertAlign w:val="superscript"/>
          <w:lang w:eastAsia="nl-NL"/>
        </w:rPr>
        <w:t>o</w:t>
      </w:r>
      <w:r w:rsidR="00B1351B" w:rsidRPr="002A26FA">
        <w:rPr>
          <w:b/>
          <w:lang w:eastAsia="nl-NL"/>
        </w:rPr>
        <w:t> </w:t>
      </w:r>
      <w:r w:rsidR="006F4911" w:rsidRPr="002A26FA">
        <w:rPr>
          <w:b/>
          <w:lang w:eastAsia="nl-NL"/>
        </w:rPr>
        <w:t>83 jusqu’à la série 07 d’amendements.</w:t>
      </w:r>
    </w:p>
    <w:p w:rsidR="006F4911" w:rsidRPr="002A26FA" w:rsidRDefault="006E409E" w:rsidP="00F12738">
      <w:pPr>
        <w:pStyle w:val="SingleTxtG"/>
        <w:ind w:left="2438" w:hanging="1304"/>
        <w:rPr>
          <w:lang w:eastAsia="nl-NL"/>
        </w:rPr>
      </w:pPr>
      <w:r w:rsidRPr="002A26FA">
        <w:rPr>
          <w:b/>
          <w:lang w:eastAsia="nl-NL"/>
        </w:rPr>
        <w:t>2.9</w:t>
      </w:r>
      <w:r w:rsidR="006F4911" w:rsidRPr="002A26FA">
        <w:rPr>
          <w:b/>
          <w:lang w:eastAsia="nl-NL"/>
        </w:rPr>
        <w:tab/>
        <w:t xml:space="preserve">Par </w:t>
      </w:r>
      <w:r w:rsidR="00B1351B" w:rsidRPr="002A26FA">
        <w:rPr>
          <w:b/>
          <w:lang w:eastAsia="nl-NL"/>
        </w:rPr>
        <w:t>“</w:t>
      </w:r>
      <w:r w:rsidR="006F4911" w:rsidRPr="002A26FA">
        <w:rPr>
          <w:b/>
          <w:lang w:eastAsia="nl-NL"/>
        </w:rPr>
        <w:t>WLTC</w:t>
      </w:r>
      <w:r w:rsidR="00B1351B" w:rsidRPr="002A26FA">
        <w:rPr>
          <w:b/>
          <w:lang w:eastAsia="nl-NL"/>
        </w:rPr>
        <w:t>”</w:t>
      </w:r>
      <w:r w:rsidR="006F4911" w:rsidRPr="002A26FA">
        <w:rPr>
          <w:b/>
          <w:lang w:eastAsia="nl-NL"/>
        </w:rPr>
        <w:t>, on entend le cycle d’essai mondial harmonisé pour voitures particulières et véhicules utilitaires légers</w:t>
      </w:r>
      <w:r w:rsidR="00AB73B1" w:rsidRPr="002A26FA">
        <w:rPr>
          <w:b/>
          <w:lang w:eastAsia="nl-NL"/>
        </w:rPr>
        <w:t xml:space="preserve"> </w:t>
      </w:r>
      <w:r w:rsidR="006F4911" w:rsidRPr="002A26FA">
        <w:rPr>
          <w:b/>
          <w:lang w:eastAsia="nl-NL"/>
        </w:rPr>
        <w:t>servant à mesurer les émissions à l’échappement après un démarrage à froid, tel que</w:t>
      </w:r>
      <w:r w:rsidR="00AB73B1" w:rsidRPr="002A26FA">
        <w:rPr>
          <w:b/>
          <w:lang w:eastAsia="nl-NL"/>
        </w:rPr>
        <w:t xml:space="preserve"> </w:t>
      </w:r>
      <w:r w:rsidR="006F4911" w:rsidRPr="002A26FA">
        <w:rPr>
          <w:b/>
          <w:lang w:eastAsia="nl-NL"/>
        </w:rPr>
        <w:t>décrit dans le RTM ONU n</w:t>
      </w:r>
      <w:r w:rsidR="006F4911" w:rsidRPr="002A26FA">
        <w:rPr>
          <w:b/>
          <w:vertAlign w:val="superscript"/>
          <w:lang w:eastAsia="nl-NL"/>
        </w:rPr>
        <w:t>o</w:t>
      </w:r>
      <w:r w:rsidR="00B1351B" w:rsidRPr="002A26FA">
        <w:rPr>
          <w:b/>
          <w:lang w:eastAsia="nl-NL"/>
        </w:rPr>
        <w:t> </w:t>
      </w:r>
      <w:r w:rsidR="006F4911" w:rsidRPr="002A26FA">
        <w:rPr>
          <w:b/>
          <w:lang w:eastAsia="nl-NL"/>
        </w:rPr>
        <w:t>15.</w:t>
      </w:r>
      <w:r w:rsidRPr="002A26FA">
        <w:rPr>
          <w:lang w:eastAsia="nl-NL"/>
        </w:rPr>
        <w:t> »</w:t>
      </w:r>
      <w:r w:rsidR="006F4911" w:rsidRPr="002A26FA">
        <w:rPr>
          <w:lang w:eastAsia="nl-NL"/>
        </w:rPr>
        <w:t>.</w:t>
      </w:r>
    </w:p>
    <w:p w:rsidR="006F4911" w:rsidRPr="002A26FA" w:rsidRDefault="006F4911" w:rsidP="00B1351B">
      <w:pPr>
        <w:pStyle w:val="SingleTxtG"/>
        <w:keepNext/>
      </w:pPr>
      <w:r w:rsidRPr="002A26FA">
        <w:rPr>
          <w:i/>
        </w:rPr>
        <w:t>Paragraphe 6.1.2.1</w:t>
      </w:r>
      <w:r w:rsidRPr="002A26FA">
        <w:t>,</w:t>
      </w:r>
      <w:r w:rsidRPr="002A26FA">
        <w:rPr>
          <w:i/>
        </w:rPr>
        <w:t xml:space="preserve"> </w:t>
      </w:r>
      <w:r w:rsidRPr="002A26FA">
        <w:t>lire</w:t>
      </w:r>
      <w:r w:rsidR="00EE7593" w:rsidRPr="002A26FA">
        <w:t> :</w:t>
      </w:r>
    </w:p>
    <w:p w:rsidR="006F4911" w:rsidRPr="002A26FA" w:rsidRDefault="00BE0A78" w:rsidP="00F12738">
      <w:pPr>
        <w:pStyle w:val="SingleTxtG"/>
        <w:ind w:left="2438" w:hanging="1304"/>
      </w:pPr>
      <w:r>
        <w:t>« </w:t>
      </w:r>
      <w:r w:rsidR="00191EF8">
        <w:t>6.1.2.1</w:t>
      </w:r>
      <w:r w:rsidR="006F4911" w:rsidRPr="002A26FA">
        <w:tab/>
        <w:t xml:space="preserve">Un échantillon de système d’adaptation au GPL, tel que défini au paragraphe 2.2 du présent Règlement, monté sur le véhicule de base, tel que défini au paragraphe 2.5 du présent Règlement, doit être présenté aux essais définis dans les Règlements </w:t>
      </w:r>
      <w:r w:rsidR="006F4911" w:rsidRPr="002A26FA">
        <w:rPr>
          <w:b/>
        </w:rPr>
        <w:t>ONU</w:t>
      </w:r>
      <w:r w:rsidR="006F4911" w:rsidRPr="002A26FA">
        <w:t xml:space="preserve"> </w:t>
      </w:r>
      <w:r w:rsidR="00191EF8">
        <w:rPr>
          <w:rFonts w:eastAsia="MS Mincho"/>
        </w:rPr>
        <w:t>n</w:t>
      </w:r>
      <w:r w:rsidR="00191EF8">
        <w:rPr>
          <w:rFonts w:eastAsia="MS Mincho"/>
          <w:vertAlign w:val="superscript"/>
        </w:rPr>
        <w:t>os</w:t>
      </w:r>
      <w:r w:rsidR="00191EF8">
        <w:t> </w:t>
      </w:r>
      <w:r w:rsidR="006F4911" w:rsidRPr="002A26FA">
        <w:t xml:space="preserve">83 et 101, </w:t>
      </w:r>
      <w:r w:rsidR="006F4911" w:rsidRPr="002A26FA">
        <w:rPr>
          <w:b/>
        </w:rPr>
        <w:t>dans le</w:t>
      </w:r>
      <w:r w:rsidR="006F4911" w:rsidRPr="002A26FA">
        <w:t xml:space="preserve"> </w:t>
      </w:r>
      <w:r w:rsidR="006F4911" w:rsidRPr="002A26FA">
        <w:rPr>
          <w:b/>
        </w:rPr>
        <w:t xml:space="preserve">RTM ONU </w:t>
      </w:r>
      <w:r w:rsidR="00191EF8" w:rsidRPr="00191EF8">
        <w:rPr>
          <w:rFonts w:eastAsia="MS Mincho"/>
          <w:b/>
        </w:rPr>
        <w:t>n</w:t>
      </w:r>
      <w:r w:rsidR="00191EF8" w:rsidRPr="00191EF8">
        <w:rPr>
          <w:rFonts w:eastAsia="MS Mincho"/>
          <w:b/>
          <w:vertAlign w:val="superscript"/>
        </w:rPr>
        <w:t>o</w:t>
      </w:r>
      <w:r w:rsidR="00191EF8">
        <w:rPr>
          <w:b/>
        </w:rPr>
        <w:t> </w:t>
      </w:r>
      <w:r w:rsidR="006F4911" w:rsidRPr="002A26FA">
        <w:rPr>
          <w:b/>
        </w:rPr>
        <w:t>15</w:t>
      </w:r>
      <w:r w:rsidR="006F4911" w:rsidRPr="002A26FA">
        <w:t xml:space="preserve"> ou</w:t>
      </w:r>
      <w:r w:rsidR="006F4911" w:rsidRPr="002A26FA">
        <w:rPr>
          <w:b/>
        </w:rPr>
        <w:t xml:space="preserve"> dans le</w:t>
      </w:r>
      <w:r w:rsidR="006F4911" w:rsidRPr="002A26FA">
        <w:t xml:space="preserve"> </w:t>
      </w:r>
      <w:r w:rsidR="006F4911" w:rsidRPr="002A26FA">
        <w:rPr>
          <w:b/>
        </w:rPr>
        <w:t xml:space="preserve">Règlement ONU </w:t>
      </w:r>
      <w:r w:rsidR="00191EF8" w:rsidRPr="00191EF8">
        <w:rPr>
          <w:rFonts w:eastAsia="MS Mincho"/>
          <w:b/>
        </w:rPr>
        <w:t>n</w:t>
      </w:r>
      <w:r w:rsidR="00191EF8" w:rsidRPr="00191EF8">
        <w:rPr>
          <w:rFonts w:eastAsia="MS Mincho"/>
          <w:b/>
          <w:vertAlign w:val="superscript"/>
        </w:rPr>
        <w:t>o</w:t>
      </w:r>
      <w:r w:rsidR="00191EF8">
        <w:rPr>
          <w:b/>
        </w:rPr>
        <w:t> </w:t>
      </w:r>
      <w:r w:rsidR="006F4911" w:rsidRPr="002A26FA">
        <w:t xml:space="preserve">49 selon le cas, dans les limites des prescriptions énoncées aux paragraphes 6.1.2.4 et 6.1.2.5 ci-dessous. Les véhicules et/ou les moteurs sont aussi soumis à un essai de comparaison de la puissance maximale, telle que définie dans le Règlement </w:t>
      </w:r>
      <w:r w:rsidR="006F4911" w:rsidRPr="002A26FA">
        <w:rPr>
          <w:b/>
        </w:rPr>
        <w:t>ONU</w:t>
      </w:r>
      <w:r w:rsidR="006F4911" w:rsidRPr="002A26FA">
        <w:t xml:space="preserve"> </w:t>
      </w:r>
      <w:r w:rsidR="00191EF8">
        <w:rPr>
          <w:rFonts w:eastAsia="MS Mincho"/>
        </w:rPr>
        <w:t>n</w:t>
      </w:r>
      <w:r w:rsidR="00191EF8">
        <w:rPr>
          <w:rFonts w:eastAsia="MS Mincho"/>
          <w:vertAlign w:val="superscript"/>
        </w:rPr>
        <w:t>o</w:t>
      </w:r>
      <w:r w:rsidR="00191EF8">
        <w:t> </w:t>
      </w:r>
      <w:r w:rsidR="006F4911" w:rsidRPr="002A26FA">
        <w:t>85 pour les moteurs, ou au paragraphe 6.1.3 ci-dessous pour les véhicules</w:t>
      </w:r>
      <w:r>
        <w:t> »</w:t>
      </w:r>
      <w:r w:rsidR="006F4911" w:rsidRPr="002A26FA">
        <w:t>.</w:t>
      </w:r>
    </w:p>
    <w:p w:rsidR="006F4911" w:rsidRPr="002A26FA" w:rsidRDefault="006F4911" w:rsidP="00B1351B">
      <w:pPr>
        <w:pStyle w:val="SingleTxtG"/>
        <w:keepNext/>
      </w:pPr>
      <w:r w:rsidRPr="002A26FA">
        <w:rPr>
          <w:i/>
        </w:rPr>
        <w:t>Paragraphe 6.1.2.4.1.1</w:t>
      </w:r>
      <w:r w:rsidRPr="002A26FA">
        <w:t>,</w:t>
      </w:r>
      <w:r w:rsidRPr="002A26FA">
        <w:rPr>
          <w:i/>
        </w:rPr>
        <w:t xml:space="preserve"> </w:t>
      </w:r>
      <w:r w:rsidRPr="002A26FA">
        <w:t>lire</w:t>
      </w:r>
      <w:r w:rsidR="00EE7593" w:rsidRPr="002A26FA">
        <w:t> :</w:t>
      </w:r>
    </w:p>
    <w:p w:rsidR="006F4911" w:rsidRPr="002A26FA" w:rsidRDefault="002A26FA" w:rsidP="00F12738">
      <w:pPr>
        <w:pStyle w:val="SingleTxtG"/>
        <w:ind w:left="2438" w:hanging="1304"/>
        <w:rPr>
          <w:lang w:eastAsia="fr-FR"/>
        </w:rPr>
      </w:pPr>
      <w:r>
        <w:t>« </w:t>
      </w:r>
      <w:r w:rsidR="006F4911" w:rsidRPr="002A26FA">
        <w:t>6.1.2.4.1.1</w:t>
      </w:r>
      <w:r w:rsidR="006F4911" w:rsidRPr="002A26FA">
        <w:tab/>
      </w:r>
      <w:r w:rsidR="006F4911" w:rsidRPr="002A26FA">
        <w:rPr>
          <w:lang w:eastAsia="fr-FR"/>
        </w:rPr>
        <w:t>Mesures des émissions d’échappement à froid, pour chacun des carburants suivants</w:t>
      </w:r>
      <w:r w:rsidR="00EE7593" w:rsidRPr="002A26FA">
        <w:rPr>
          <w:lang w:eastAsia="fr-FR"/>
        </w:rPr>
        <w:t> :</w:t>
      </w:r>
      <w:r w:rsidR="006F4911" w:rsidRPr="002A26FA">
        <w:rPr>
          <w:lang w:eastAsia="fr-FR"/>
        </w:rPr>
        <w:t xml:space="preserve"> </w:t>
      </w:r>
    </w:p>
    <w:p w:rsidR="006F4911" w:rsidRPr="002A26FA" w:rsidRDefault="002A26FA" w:rsidP="00F17316">
      <w:pPr>
        <w:pStyle w:val="SingleTxtG"/>
        <w:ind w:left="3005" w:hanging="567"/>
        <w:rPr>
          <w:lang w:eastAsia="fr-FR"/>
        </w:rPr>
      </w:pPr>
      <w:r>
        <w:rPr>
          <w:lang w:eastAsia="fr-FR"/>
        </w:rPr>
        <w:t>a)</w:t>
      </w:r>
      <w:r>
        <w:rPr>
          <w:lang w:eastAsia="fr-FR"/>
        </w:rPr>
        <w:tab/>
        <w:t>Essence de référence ;</w:t>
      </w:r>
    </w:p>
    <w:p w:rsidR="006F4911" w:rsidRPr="002A26FA" w:rsidRDefault="002A26FA" w:rsidP="00F17316">
      <w:pPr>
        <w:pStyle w:val="SingleTxtG"/>
        <w:ind w:left="3005" w:hanging="567"/>
        <w:rPr>
          <w:lang w:eastAsia="fr-FR"/>
        </w:rPr>
      </w:pPr>
      <w:r>
        <w:rPr>
          <w:lang w:eastAsia="fr-FR"/>
        </w:rPr>
        <w:t>b)</w:t>
      </w:r>
      <w:r>
        <w:rPr>
          <w:lang w:eastAsia="fr-FR"/>
        </w:rPr>
        <w:tab/>
        <w:t>GPL A de référence ;</w:t>
      </w:r>
    </w:p>
    <w:p w:rsidR="006F4911" w:rsidRPr="002A26FA" w:rsidRDefault="006F4911" w:rsidP="00F17316">
      <w:pPr>
        <w:pStyle w:val="SingleTxtG"/>
        <w:ind w:left="3005" w:hanging="567"/>
        <w:rPr>
          <w:lang w:eastAsia="fr-FR"/>
        </w:rPr>
      </w:pPr>
      <w:r w:rsidRPr="002A26FA">
        <w:rPr>
          <w:lang w:eastAsia="fr-FR"/>
        </w:rPr>
        <w:t>c)</w:t>
      </w:r>
      <w:r w:rsidRPr="002A26FA">
        <w:rPr>
          <w:lang w:eastAsia="fr-FR"/>
        </w:rPr>
        <w:tab/>
        <w:t xml:space="preserve">GPL B de référence. </w:t>
      </w:r>
    </w:p>
    <w:p w:rsidR="006F4911" w:rsidRPr="002A26FA" w:rsidRDefault="006F4911" w:rsidP="00F17316">
      <w:pPr>
        <w:pStyle w:val="SingleTxtG"/>
        <w:ind w:left="2438"/>
      </w:pPr>
      <w:r w:rsidRPr="002A26FA">
        <w:rPr>
          <w:lang w:eastAsia="fr-FR"/>
        </w:rPr>
        <w:t>Les émissions de CO, HC et NO</w:t>
      </w:r>
      <w:r w:rsidRPr="002A26FA">
        <w:rPr>
          <w:vertAlign w:val="subscript"/>
        </w:rPr>
        <w:t xml:space="preserve">x </w:t>
      </w:r>
      <w:r w:rsidRPr="002A26FA">
        <w:rPr>
          <w:lang w:eastAsia="fr-FR"/>
        </w:rPr>
        <w:t>sont calculées conformément au Règlement </w:t>
      </w:r>
      <w:r w:rsidRPr="002A26FA">
        <w:rPr>
          <w:b/>
          <w:lang w:eastAsia="fr-FR"/>
        </w:rPr>
        <w:t>ONU</w:t>
      </w:r>
      <w:r w:rsidRPr="002A26FA">
        <w:rPr>
          <w:lang w:eastAsia="fr-FR"/>
        </w:rPr>
        <w:t xml:space="preserve"> </w:t>
      </w:r>
      <w:r w:rsidR="00A12987" w:rsidRPr="00A12987">
        <w:rPr>
          <w:rFonts w:eastAsia="MS Mincho"/>
          <w:lang w:eastAsia="fr-FR"/>
        </w:rPr>
        <w:t>n</w:t>
      </w:r>
      <w:r w:rsidR="00A12987" w:rsidRPr="00A12987">
        <w:rPr>
          <w:rFonts w:eastAsia="MS Mincho"/>
          <w:vertAlign w:val="superscript"/>
          <w:lang w:eastAsia="fr-FR"/>
        </w:rPr>
        <w:t>o</w:t>
      </w:r>
      <w:r w:rsidR="00A12987">
        <w:rPr>
          <w:lang w:eastAsia="fr-FR"/>
        </w:rPr>
        <w:t> </w:t>
      </w:r>
      <w:r w:rsidRPr="002A26FA">
        <w:rPr>
          <w:lang w:eastAsia="fr-FR"/>
        </w:rPr>
        <w:t>83</w:t>
      </w:r>
      <w:r w:rsidRPr="00A12987">
        <w:rPr>
          <w:sz w:val="18"/>
          <w:szCs w:val="18"/>
          <w:vertAlign w:val="superscript"/>
          <w:lang w:eastAsia="fr-FR"/>
        </w:rPr>
        <w:t>5</w:t>
      </w:r>
      <w:r w:rsidR="00AB73B1" w:rsidRPr="002A26FA">
        <w:rPr>
          <w:vertAlign w:val="superscript"/>
          <w:lang w:eastAsia="fr-FR"/>
        </w:rPr>
        <w:t xml:space="preserve"> </w:t>
      </w:r>
      <w:r w:rsidRPr="002A26FA">
        <w:rPr>
          <w:b/>
        </w:rPr>
        <w:t xml:space="preserve">ou au RTM ONU </w:t>
      </w:r>
      <w:r w:rsidR="00A12987" w:rsidRPr="00A12987">
        <w:rPr>
          <w:rFonts w:eastAsia="MS Mincho"/>
          <w:b/>
        </w:rPr>
        <w:t>n</w:t>
      </w:r>
      <w:r w:rsidR="00A12987" w:rsidRPr="00A12987">
        <w:rPr>
          <w:rFonts w:eastAsia="MS Mincho"/>
          <w:b/>
          <w:vertAlign w:val="superscript"/>
        </w:rPr>
        <w:t>o</w:t>
      </w:r>
      <w:r w:rsidR="00A12987">
        <w:rPr>
          <w:b/>
        </w:rPr>
        <w:t> </w:t>
      </w:r>
      <w:r w:rsidRPr="002A26FA">
        <w:rPr>
          <w:b/>
        </w:rPr>
        <w:t>15, selon le cas.</w:t>
      </w:r>
      <w:r w:rsidR="00A12987">
        <w:t> »</w:t>
      </w:r>
      <w:r w:rsidRPr="002A26FA">
        <w:t>.</w:t>
      </w:r>
    </w:p>
    <w:p w:rsidR="006F4911" w:rsidRPr="002A26FA" w:rsidRDefault="006F4911" w:rsidP="00B1351B">
      <w:pPr>
        <w:pStyle w:val="SingleTxtG"/>
        <w:keepNext/>
      </w:pPr>
      <w:r w:rsidRPr="002A26FA">
        <w:rPr>
          <w:i/>
        </w:rPr>
        <w:t>Paragraphes</w:t>
      </w:r>
      <w:r w:rsidRPr="002A26FA">
        <w:rPr>
          <w:i/>
          <w:iCs/>
        </w:rPr>
        <w:t xml:space="preserve"> </w:t>
      </w:r>
      <w:r w:rsidRPr="002A26FA">
        <w:rPr>
          <w:bCs/>
          <w:i/>
          <w:iCs/>
        </w:rPr>
        <w:t>6.1.2.4.1.2.2,</w:t>
      </w:r>
      <w:r w:rsidR="005E427B">
        <w:rPr>
          <w:i/>
        </w:rPr>
        <w:t xml:space="preserve"> 6.1.2.4.1.3</w:t>
      </w:r>
      <w:r w:rsidRPr="002A26FA">
        <w:rPr>
          <w:i/>
        </w:rPr>
        <w:t xml:space="preserve"> et 6.1.2.4.1.4</w:t>
      </w:r>
      <w:r w:rsidRPr="002A26FA">
        <w:t>,</w:t>
      </w:r>
      <w:r w:rsidRPr="002A26FA">
        <w:rPr>
          <w:i/>
        </w:rPr>
        <w:t xml:space="preserve"> </w:t>
      </w:r>
      <w:r w:rsidRPr="002A26FA">
        <w:t>lire</w:t>
      </w:r>
      <w:r w:rsidR="00EE7593" w:rsidRPr="002A26FA">
        <w:t> :</w:t>
      </w:r>
    </w:p>
    <w:p w:rsidR="006F4911" w:rsidRPr="002A26FA" w:rsidRDefault="005E427B" w:rsidP="00F12738">
      <w:pPr>
        <w:pStyle w:val="SingleTxtG"/>
        <w:ind w:left="2438" w:hanging="1304"/>
        <w:rPr>
          <w:bCs/>
        </w:rPr>
      </w:pPr>
      <w:r>
        <w:rPr>
          <w:bCs/>
        </w:rPr>
        <w:t>« </w:t>
      </w:r>
      <w:r w:rsidRPr="005E427B">
        <w:rPr>
          <w:bCs/>
          <w:spacing w:val="-2"/>
        </w:rPr>
        <w:t>6.1.2.4.1.2.2</w:t>
      </w:r>
      <w:r>
        <w:rPr>
          <w:bCs/>
        </w:rPr>
        <w:tab/>
        <w:t xml:space="preserve"> </w:t>
      </w:r>
      <w:r w:rsidR="006F4911" w:rsidRPr="002A26FA">
        <w:rPr>
          <w:bCs/>
        </w:rPr>
        <w:t xml:space="preserve">En utilisant les valeurs du tableau </w:t>
      </w:r>
      <w:r w:rsidR="006F4911" w:rsidRPr="002A26FA">
        <w:rPr>
          <w:b/>
          <w:bCs/>
        </w:rPr>
        <w:t>uniquement pour le cycle NCEE</w:t>
      </w:r>
      <w:r w:rsidR="00EE7593" w:rsidRPr="002A26FA">
        <w:rPr>
          <w:bCs/>
        </w:rPr>
        <w:t> :</w:t>
      </w:r>
    </w:p>
    <w:p w:rsidR="006F4911" w:rsidRPr="002A26FA" w:rsidRDefault="006F4911" w:rsidP="00BE0A78">
      <w:pPr>
        <w:pStyle w:val="SingleTxtG"/>
        <w:ind w:left="3005" w:hanging="567"/>
        <w:rPr>
          <w:bCs/>
        </w:rPr>
      </w:pPr>
      <w:r w:rsidRPr="002A26FA">
        <w:rPr>
          <w:bCs/>
        </w:rPr>
        <w:t>....</w:t>
      </w:r>
    </w:p>
    <w:p w:rsidR="006F4911" w:rsidRPr="002A26FA" w:rsidRDefault="006F4911" w:rsidP="00F12738">
      <w:pPr>
        <w:pStyle w:val="SingleTxtG"/>
        <w:ind w:left="2438" w:hanging="1304"/>
      </w:pPr>
      <w:r w:rsidRPr="002A26FA">
        <w:rPr>
          <w:bCs/>
        </w:rPr>
        <w:t>6.1.2.4</w:t>
      </w:r>
      <w:r w:rsidR="001124D0">
        <w:t>.1.3</w:t>
      </w:r>
      <w:r w:rsidRPr="002A26FA">
        <w:tab/>
        <w:t>Essai de mesure des émissions d’échappement en mode essence</w:t>
      </w:r>
    </w:p>
    <w:p w:rsidR="006F4911" w:rsidRPr="002A26FA" w:rsidRDefault="006F4911" w:rsidP="00F17316">
      <w:pPr>
        <w:pStyle w:val="SingleTxtG"/>
        <w:ind w:left="2438"/>
      </w:pPr>
      <w:r w:rsidRPr="002A26FA">
        <w:rPr>
          <w:b/>
        </w:rPr>
        <w:t>Le cycle d’essai (NCEE ou WLTC) doit être choisi en fonction de l’homologation de type initiale du véhicule.</w:t>
      </w:r>
      <w:r w:rsidRPr="002A26FA">
        <w:t xml:space="preserve"> Le ou les véhicules de base, équipés du système d’adaptation, ne doivent pas dépasser les valeurs limites fixées lors de l’homologation de type du ou des véhicules d’origine, corrigées des coefficients de détérioration appliqués à cette occasion.</w:t>
      </w:r>
    </w:p>
    <w:p w:rsidR="006F4911" w:rsidRPr="002A26FA" w:rsidRDefault="006F4911" w:rsidP="00F12738">
      <w:pPr>
        <w:pStyle w:val="SingleTxtG"/>
        <w:ind w:left="2438" w:hanging="1304"/>
        <w:rPr>
          <w:b/>
        </w:rPr>
      </w:pPr>
      <w:r w:rsidRPr="002A26FA">
        <w:rPr>
          <w:bCs/>
        </w:rPr>
        <w:t>6.1.2.4</w:t>
      </w:r>
      <w:r w:rsidR="001124D0">
        <w:t>.1.4</w:t>
      </w:r>
      <w:r w:rsidRPr="002A26FA">
        <w:tab/>
      </w:r>
      <w:r w:rsidRPr="002A26FA">
        <w:rPr>
          <w:b/>
        </w:rPr>
        <w:t>Prescriptions spécifiques s’appliquant au cycle d’essai NCEE</w:t>
      </w:r>
    </w:p>
    <w:p w:rsidR="006F4911" w:rsidRPr="002A26FA" w:rsidRDefault="006F4911" w:rsidP="00F17316">
      <w:pPr>
        <w:pStyle w:val="SingleTxtG"/>
        <w:ind w:left="2438"/>
        <w:rPr>
          <w:b/>
        </w:rPr>
      </w:pPr>
      <w:r w:rsidRPr="002A26FA">
        <w:rPr>
          <w:b/>
        </w:rPr>
        <w:t>Sous réserve des prescripti</w:t>
      </w:r>
      <w:r w:rsidR="00D17811">
        <w:rPr>
          <w:b/>
        </w:rPr>
        <w:t>ons du paragraphe 6.1.2.4.1.4.2</w:t>
      </w:r>
      <w:r w:rsidRPr="002A26FA">
        <w:rPr>
          <w:b/>
        </w:rPr>
        <w:t xml:space="preserve"> ci-dessous, l’essai doit être effectué trois fois avec de l’essence de référence.</w:t>
      </w:r>
      <w:r w:rsidR="001124D0">
        <w:t> »</w:t>
      </w:r>
      <w:r w:rsidRPr="002A26FA">
        <w:t>.</w:t>
      </w:r>
    </w:p>
    <w:p w:rsidR="006F4911" w:rsidRPr="002A26FA" w:rsidRDefault="00F17316" w:rsidP="001124D0">
      <w:pPr>
        <w:pStyle w:val="SingleTxtG"/>
      </w:pPr>
      <w:r>
        <w:rPr>
          <w:i/>
        </w:rPr>
        <w:t>Le paragraphe 6.1.2.4.1.4</w:t>
      </w:r>
      <w:r w:rsidR="006F4911" w:rsidRPr="002A26FA">
        <w:rPr>
          <w:i/>
        </w:rPr>
        <w:t xml:space="preserve"> devient le paragraphe 6.1.2.4.1.4.1.</w:t>
      </w:r>
    </w:p>
    <w:p w:rsidR="006F4911" w:rsidRPr="002A26FA" w:rsidRDefault="00F17316" w:rsidP="00B1351B">
      <w:pPr>
        <w:pStyle w:val="SingleTxtG"/>
        <w:keepNext/>
        <w:rPr>
          <w:iCs/>
        </w:rPr>
      </w:pPr>
      <w:r>
        <w:rPr>
          <w:i/>
        </w:rPr>
        <w:t>Le paragraphe 6.1.2.4.1.5</w:t>
      </w:r>
      <w:r w:rsidR="006F4911" w:rsidRPr="002A26FA">
        <w:rPr>
          <w:i/>
        </w:rPr>
        <w:t xml:space="preserve"> devi</w:t>
      </w:r>
      <w:r>
        <w:rPr>
          <w:i/>
        </w:rPr>
        <w:t>ent le paragraphe 6.1.2.4.1.4.2</w:t>
      </w:r>
      <w:r w:rsidR="006F4911" w:rsidRPr="002A26FA">
        <w:rPr>
          <w:i/>
        </w:rPr>
        <w:t xml:space="preserve"> </w:t>
      </w:r>
      <w:r w:rsidR="006F4911" w:rsidRPr="002A26FA">
        <w:rPr>
          <w:iCs/>
        </w:rPr>
        <w:t>avec la modification suivante</w:t>
      </w:r>
      <w:r w:rsidR="00EE7593" w:rsidRPr="002A26FA">
        <w:rPr>
          <w:iCs/>
        </w:rPr>
        <w:t> :</w:t>
      </w:r>
    </w:p>
    <w:p w:rsidR="006F4911" w:rsidRPr="002A26FA" w:rsidRDefault="001124D0" w:rsidP="00F12738">
      <w:pPr>
        <w:pStyle w:val="SingleTxtG"/>
        <w:ind w:left="2438" w:hanging="1304"/>
        <w:rPr>
          <w:bCs/>
        </w:rPr>
      </w:pPr>
      <w:r>
        <w:rPr>
          <w:lang w:eastAsia="it-IT"/>
        </w:rPr>
        <w:t>« </w:t>
      </w:r>
      <w:r w:rsidRPr="001124D0">
        <w:rPr>
          <w:bCs/>
          <w:spacing w:val="-2"/>
        </w:rPr>
        <w:t>6.1.2.4.1.4.2</w:t>
      </w:r>
      <w:r>
        <w:rPr>
          <w:lang w:eastAsia="it-IT"/>
        </w:rPr>
        <w:tab/>
      </w:r>
      <w:r w:rsidR="00F12738">
        <w:rPr>
          <w:lang w:eastAsia="it-IT"/>
        </w:rPr>
        <w:t xml:space="preserve"> </w:t>
      </w:r>
      <w:r w:rsidR="006F4911" w:rsidRPr="002A26FA">
        <w:rPr>
          <w:lang w:eastAsia="it-IT"/>
        </w:rPr>
        <w:t>Le nombre d’essais d’émission prescrit au paragraphe 6.1.2.4.1.</w:t>
      </w:r>
      <w:r w:rsidR="006F4911" w:rsidRPr="002A26FA">
        <w:rPr>
          <w:b/>
          <w:lang w:eastAsia="it-IT"/>
        </w:rPr>
        <w:t>4</w:t>
      </w:r>
      <w:r w:rsidR="006F4911" w:rsidRPr="002A26FA">
        <w:rPr>
          <w:lang w:eastAsia="it-IT"/>
        </w:rPr>
        <w:t xml:space="preserve"> peut…</w:t>
      </w:r>
      <w:r>
        <w:rPr>
          <w:lang w:eastAsia="it-IT"/>
        </w:rPr>
        <w:t> »</w:t>
      </w:r>
      <w:r w:rsidR="006F4911" w:rsidRPr="002A26FA">
        <w:rPr>
          <w:lang w:eastAsia="it-IT"/>
        </w:rPr>
        <w:t>.</w:t>
      </w:r>
    </w:p>
    <w:p w:rsidR="006F4911" w:rsidRPr="002A26FA" w:rsidRDefault="006F4911" w:rsidP="00974E22">
      <w:pPr>
        <w:pStyle w:val="SingleTxtG"/>
        <w:keepNext/>
      </w:pPr>
      <w:r w:rsidRPr="002A26FA">
        <w:rPr>
          <w:i/>
        </w:rPr>
        <w:lastRenderedPageBreak/>
        <w:t>Ajouter deux nouveaux paragraphes, 6.1.2.4.1.5. et 6.1.2.4.1.5.1</w:t>
      </w:r>
      <w:r w:rsidRPr="00D17811">
        <w:t>,</w:t>
      </w:r>
      <w:r w:rsidR="00AB73B1" w:rsidRPr="002A26FA">
        <w:rPr>
          <w:i/>
        </w:rPr>
        <w:t xml:space="preserve"> </w:t>
      </w:r>
      <w:r w:rsidRPr="002A26FA">
        <w:rPr>
          <w:iCs/>
        </w:rPr>
        <w:t>comme suit</w:t>
      </w:r>
      <w:r w:rsidR="00EE7593" w:rsidRPr="002A26FA">
        <w:rPr>
          <w:iCs/>
        </w:rPr>
        <w:t> :</w:t>
      </w:r>
    </w:p>
    <w:p w:rsidR="006F4911" w:rsidRPr="002A26FA" w:rsidRDefault="0049689F" w:rsidP="0049689F">
      <w:pPr>
        <w:pStyle w:val="SingleTxtG"/>
        <w:keepNext/>
        <w:ind w:left="2438" w:hanging="1304"/>
        <w:jc w:val="left"/>
        <w:rPr>
          <w:b/>
        </w:rPr>
      </w:pPr>
      <w:r>
        <w:rPr>
          <w:bCs/>
        </w:rPr>
        <w:t>« </w:t>
      </w:r>
      <w:r w:rsidR="006F4911" w:rsidRPr="002A26FA">
        <w:rPr>
          <w:b/>
          <w:bCs/>
        </w:rPr>
        <w:t>6.1.2.4</w:t>
      </w:r>
      <w:r>
        <w:rPr>
          <w:b/>
        </w:rPr>
        <w:t>.1.5</w:t>
      </w:r>
      <w:r w:rsidR="006F4911" w:rsidRPr="002A26FA">
        <w:rPr>
          <w:b/>
        </w:rPr>
        <w:tab/>
        <w:t>Prescriptions spécifiques s’appliquant au cycle d’essai WLTC</w:t>
      </w:r>
    </w:p>
    <w:p w:rsidR="006F4911" w:rsidRPr="002A26FA" w:rsidRDefault="006F4911" w:rsidP="0049689F">
      <w:pPr>
        <w:pStyle w:val="SingleTxtG"/>
        <w:ind w:left="2438"/>
        <w:rPr>
          <w:b/>
        </w:rPr>
      </w:pPr>
      <w:r w:rsidRPr="002A26FA">
        <w:rPr>
          <w:b/>
        </w:rPr>
        <w:t>Sous réserve des prescriptions du paragraphe 6.1.2.4.1.5.1 ci-dessous, l’essai doit être effectué deux fois avec de l’essence de référence.</w:t>
      </w:r>
    </w:p>
    <w:p w:rsidR="006F4911" w:rsidRPr="002A26FA" w:rsidRDefault="006F4911" w:rsidP="00643F00">
      <w:pPr>
        <w:pStyle w:val="SingleTxtG"/>
        <w:ind w:left="2438" w:hanging="1304"/>
        <w:rPr>
          <w:b/>
        </w:rPr>
      </w:pPr>
      <w:r w:rsidRPr="002A26FA">
        <w:rPr>
          <w:b/>
          <w:bCs/>
          <w:color w:val="000000"/>
        </w:rPr>
        <w:t>6.1.2.</w:t>
      </w:r>
      <w:r w:rsidR="00F17316">
        <w:rPr>
          <w:b/>
          <w:color w:val="000000"/>
        </w:rPr>
        <w:t>4.1.5.1</w:t>
      </w:r>
      <w:r w:rsidRPr="002A26FA">
        <w:rPr>
          <w:b/>
          <w:color w:val="000000"/>
        </w:rPr>
        <w:tab/>
        <w:t xml:space="preserve">Le nombre d’essais d’émission prescrit au </w:t>
      </w:r>
      <w:r w:rsidRPr="002A26FA">
        <w:rPr>
          <w:b/>
          <w:color w:val="000000"/>
          <w:lang w:eastAsia="it-IT"/>
        </w:rPr>
        <w:t>paragraphe 6.1.2.4.1.5</w:t>
      </w:r>
      <w:r w:rsidRPr="002A26FA">
        <w:rPr>
          <w:b/>
          <w:color w:val="000000"/>
        </w:rPr>
        <w:t xml:space="preserve"> peut être réduit à un seul essai si le résultat obtenu pour chaque polluant</w:t>
      </w:r>
      <w:r w:rsidR="00AB73B1" w:rsidRPr="002A26FA">
        <w:rPr>
          <w:b/>
          <w:color w:val="000000"/>
        </w:rPr>
        <w:t xml:space="preserve"> </w:t>
      </w:r>
      <w:r w:rsidRPr="002A26FA">
        <w:rPr>
          <w:b/>
          <w:color w:val="000000"/>
        </w:rPr>
        <w:t>réglementé est inférieur ou égal à</w:t>
      </w:r>
      <w:r w:rsidR="00C97252">
        <w:rPr>
          <w:b/>
        </w:rPr>
        <w:t xml:space="preserve"> 0,9 </w:t>
      </w:r>
      <w:r w:rsidRPr="002A26FA">
        <w:rPr>
          <w:b/>
        </w:rPr>
        <w:t xml:space="preserve">fois la valeur limite </w:t>
      </w:r>
      <w:r w:rsidRPr="002A26FA">
        <w:rPr>
          <w:b/>
        </w:rPr>
        <w:br/>
        <w:t xml:space="preserve">(c’est-à-dire V1 </w:t>
      </w:r>
      <w:r w:rsidR="00670CB3">
        <w:rPr>
          <w:b/>
        </w:rPr>
        <w:t>≤</w:t>
      </w:r>
      <w:r w:rsidRPr="002A26FA">
        <w:rPr>
          <w:b/>
        </w:rPr>
        <w:t xml:space="preserve"> 0,90 G)</w:t>
      </w:r>
      <w:r w:rsidR="00EE7593" w:rsidRPr="002A26FA">
        <w:rPr>
          <w:b/>
        </w:rPr>
        <w:t> ;</w:t>
      </w:r>
    </w:p>
    <w:p w:rsidR="006F4911" w:rsidRPr="002A26FA" w:rsidRDefault="0049689F" w:rsidP="00670CB3">
      <w:pPr>
        <w:pStyle w:val="SingleTxtG"/>
        <w:keepNext/>
        <w:ind w:left="2438"/>
        <w:rPr>
          <w:b/>
        </w:rPr>
      </w:pPr>
      <w:r>
        <w:rPr>
          <w:b/>
        </w:rPr>
        <w:t>O</w:t>
      </w:r>
      <w:r w:rsidR="006F4911" w:rsidRPr="002A26FA">
        <w:rPr>
          <w:b/>
        </w:rPr>
        <w:t>ù</w:t>
      </w:r>
      <w:r w:rsidR="00EE7593" w:rsidRPr="002A26FA">
        <w:rPr>
          <w:b/>
        </w:rPr>
        <w:t> :</w:t>
      </w:r>
    </w:p>
    <w:p w:rsidR="006F4911" w:rsidRPr="002A26FA" w:rsidRDefault="006F4911" w:rsidP="0049689F">
      <w:pPr>
        <w:pStyle w:val="SingleTxtG"/>
        <w:ind w:left="3005" w:hanging="567"/>
        <w:rPr>
          <w:b/>
        </w:rPr>
      </w:pPr>
      <w:r w:rsidRPr="002A26FA">
        <w:rPr>
          <w:b/>
        </w:rPr>
        <w:t>V1</w:t>
      </w:r>
      <w:r w:rsidRPr="002A26FA">
        <w:rPr>
          <w:b/>
        </w:rPr>
        <w:tab/>
        <w:t>est la valeur des émissions d’un polluant obtenue lors du premier essai de type I</w:t>
      </w:r>
      <w:r w:rsidR="00EE7593" w:rsidRPr="002A26FA">
        <w:rPr>
          <w:b/>
        </w:rPr>
        <w:t> ;</w:t>
      </w:r>
    </w:p>
    <w:p w:rsidR="006F4911" w:rsidRPr="002A26FA" w:rsidRDefault="006F4911" w:rsidP="0049689F">
      <w:pPr>
        <w:pStyle w:val="SingleTxtG"/>
        <w:ind w:left="3005" w:hanging="567"/>
        <w:rPr>
          <w:b/>
        </w:rPr>
      </w:pPr>
      <w:r w:rsidRPr="002A26FA">
        <w:rPr>
          <w:b/>
        </w:rPr>
        <w:t>G</w:t>
      </w:r>
      <w:r w:rsidRPr="002A26FA">
        <w:rPr>
          <w:b/>
        </w:rPr>
        <w:tab/>
        <w:t>est la valeur limite des émissions d’un polluant (CO/HC/NO</w:t>
      </w:r>
      <w:r w:rsidRPr="00D17811">
        <w:rPr>
          <w:b/>
          <w:vertAlign w:val="subscript"/>
        </w:rPr>
        <w:t>x</w:t>
      </w:r>
      <w:r w:rsidRPr="002A26FA">
        <w:rPr>
          <w:b/>
        </w:rPr>
        <w:t>) définie lors de l’homologation de type du ou des véhicules, corrigée des facteurs de détérioration.</w:t>
      </w:r>
      <w:r w:rsidR="0049689F">
        <w:t> »</w:t>
      </w:r>
      <w:r w:rsidRPr="002A26FA">
        <w:t>.</w:t>
      </w:r>
    </w:p>
    <w:p w:rsidR="006F4911" w:rsidRPr="002A26FA" w:rsidRDefault="006F4911" w:rsidP="00974E22">
      <w:pPr>
        <w:pStyle w:val="SingleTxtG"/>
        <w:keepNext/>
      </w:pPr>
      <w:r w:rsidRPr="002A26FA">
        <w:rPr>
          <w:i/>
        </w:rPr>
        <w:t>Paragraphe 6.1.2.4.1.6</w:t>
      </w:r>
      <w:r w:rsidRPr="002A26FA">
        <w:t>,</w:t>
      </w:r>
      <w:r w:rsidRPr="002A26FA">
        <w:rPr>
          <w:i/>
        </w:rPr>
        <w:t xml:space="preserve"> </w:t>
      </w:r>
      <w:r w:rsidRPr="002A26FA">
        <w:t>lire</w:t>
      </w:r>
      <w:r w:rsidR="00EE7593" w:rsidRPr="002A26FA">
        <w:t> :</w:t>
      </w:r>
    </w:p>
    <w:p w:rsidR="006F4911" w:rsidRPr="002A26FA" w:rsidRDefault="000F6206" w:rsidP="00587BBA">
      <w:pPr>
        <w:pStyle w:val="SingleTxtG"/>
        <w:keepNext/>
        <w:ind w:left="2438" w:hanging="1304"/>
        <w:jc w:val="left"/>
        <w:rPr>
          <w:color w:val="000000"/>
        </w:rPr>
      </w:pPr>
      <w:bookmarkStart w:id="1" w:name="_Hlk528314240"/>
      <w:r>
        <w:rPr>
          <w:color w:val="000000"/>
        </w:rPr>
        <w:t>« </w:t>
      </w:r>
      <w:r w:rsidR="006F4911" w:rsidRPr="002A26FA">
        <w:rPr>
          <w:color w:val="000000"/>
        </w:rPr>
        <w:t>6.1.2.4.1.6</w:t>
      </w:r>
      <w:bookmarkEnd w:id="1"/>
      <w:r w:rsidR="006F4911" w:rsidRPr="002A26FA">
        <w:rPr>
          <w:color w:val="000000"/>
        </w:rPr>
        <w:tab/>
      </w:r>
      <w:r w:rsidR="006F4911" w:rsidRPr="002A26FA">
        <w:rPr>
          <w:bCs/>
        </w:rPr>
        <w:t>Essai de mesure des émissions d’échappement en mode GPL</w:t>
      </w:r>
    </w:p>
    <w:p w:rsidR="006F4911" w:rsidRPr="002A26FA" w:rsidRDefault="006F4911" w:rsidP="00587BBA">
      <w:pPr>
        <w:pStyle w:val="SingleTxtG"/>
        <w:ind w:left="2438"/>
        <w:rPr>
          <w:color w:val="000000"/>
        </w:rPr>
      </w:pPr>
      <w:r w:rsidRPr="002A26FA">
        <w:rPr>
          <w:b/>
        </w:rPr>
        <w:t>Le cycle d’essai (NCEE ou WLTC) doit être choisi en fonction de l’homologation de type initiale du véhicule</w:t>
      </w:r>
      <w:r w:rsidRPr="002A26FA">
        <w:t>.</w:t>
      </w:r>
      <w:r w:rsidRPr="002A26FA">
        <w:rPr>
          <w:color w:val="000000"/>
        </w:rPr>
        <w:t xml:space="preserve"> Le véhicule de base équipé du système d’adaptation doit satisfaire aux valeurs limites fixées lors de l’homologation de type du ou des véhicules d’origine, corrigées des facteurs de détérioration appliqués</w:t>
      </w:r>
      <w:r w:rsidR="00AB73B1" w:rsidRPr="002A26FA">
        <w:rPr>
          <w:color w:val="000000"/>
        </w:rPr>
        <w:t xml:space="preserve"> </w:t>
      </w:r>
      <w:r w:rsidRPr="002A26FA">
        <w:rPr>
          <w:color w:val="000000"/>
        </w:rPr>
        <w:t>à cette occasion.</w:t>
      </w:r>
    </w:p>
    <w:p w:rsidR="006F4911" w:rsidRPr="002A26FA" w:rsidRDefault="006F4911" w:rsidP="00587BBA">
      <w:pPr>
        <w:pStyle w:val="SingleTxtG"/>
        <w:ind w:left="2438"/>
      </w:pPr>
      <w:r w:rsidRPr="002A26FA">
        <w:t xml:space="preserve">Si le véhicule de base est conforme soit au Règlement </w:t>
      </w:r>
      <w:r w:rsidRPr="002A26FA">
        <w:rPr>
          <w:b/>
        </w:rPr>
        <w:t>ONU</w:t>
      </w:r>
      <w:r w:rsidRPr="002A26FA">
        <w:t xml:space="preserve"> </w:t>
      </w:r>
      <w:r w:rsidR="00587BBA">
        <w:rPr>
          <w:rFonts w:eastAsia="MS Mincho"/>
        </w:rPr>
        <w:t>n</w:t>
      </w:r>
      <w:r w:rsidR="00587BBA">
        <w:rPr>
          <w:rFonts w:eastAsia="MS Mincho"/>
          <w:vertAlign w:val="superscript"/>
        </w:rPr>
        <w:t>o</w:t>
      </w:r>
      <w:r w:rsidR="00587BBA">
        <w:t> </w:t>
      </w:r>
      <w:r w:rsidRPr="002A26FA">
        <w:t xml:space="preserve">83, série 05 d’amendements, soit à la Directive 98/69/CE, soit au Règlement </w:t>
      </w:r>
      <w:r w:rsidRPr="002A26FA">
        <w:rPr>
          <w:b/>
        </w:rPr>
        <w:t>ONU</w:t>
      </w:r>
      <w:r w:rsidRPr="002A26FA">
        <w:t xml:space="preserve"> </w:t>
      </w:r>
      <w:r w:rsidR="00670CB3">
        <w:rPr>
          <w:rFonts w:eastAsia="MS Mincho"/>
        </w:rPr>
        <w:t>n</w:t>
      </w:r>
      <w:r w:rsidR="00670CB3">
        <w:rPr>
          <w:rFonts w:eastAsia="MS Mincho"/>
          <w:vertAlign w:val="superscript"/>
        </w:rPr>
        <w:t>o</w:t>
      </w:r>
      <w:r w:rsidR="00670CB3">
        <w:t> </w:t>
      </w:r>
      <w:r w:rsidRPr="002A26FA">
        <w:t>49, série 04 d’amendements, ou encore à la Directive 1999/96/CE, il ne doit pas fonctionner à l’</w:t>
      </w:r>
      <w:r w:rsidR="00587BBA">
        <w:t>essence pendant plus de 90 </w:t>
      </w:r>
      <w:r w:rsidRPr="002A26FA">
        <w:t>s lors de chaque essai.</w:t>
      </w:r>
    </w:p>
    <w:p w:rsidR="006F4911" w:rsidRPr="002A26FA" w:rsidRDefault="006F4911" w:rsidP="00587BBA">
      <w:pPr>
        <w:pStyle w:val="SingleTxtG"/>
        <w:ind w:left="2438"/>
      </w:pPr>
      <w:r w:rsidRPr="002A26FA">
        <w:t xml:space="preserve">Pour les véhicules conformes </w:t>
      </w:r>
      <w:r w:rsidRPr="002A26FA">
        <w:rPr>
          <w:b/>
        </w:rPr>
        <w:t xml:space="preserve">au Règlement ONU </w:t>
      </w:r>
      <w:r w:rsidR="00587BBA" w:rsidRPr="00587BBA">
        <w:rPr>
          <w:rFonts w:eastAsia="MS Mincho"/>
          <w:b/>
        </w:rPr>
        <w:t>n</w:t>
      </w:r>
      <w:r w:rsidR="00587BBA" w:rsidRPr="00587BBA">
        <w:rPr>
          <w:rFonts w:eastAsia="MS Mincho"/>
          <w:b/>
          <w:vertAlign w:val="superscript"/>
        </w:rPr>
        <w:t>o</w:t>
      </w:r>
      <w:r w:rsidR="00587BBA">
        <w:rPr>
          <w:b/>
        </w:rPr>
        <w:t> </w:t>
      </w:r>
      <w:r w:rsidRPr="002A26FA">
        <w:rPr>
          <w:b/>
        </w:rPr>
        <w:t>83</w:t>
      </w:r>
      <w:r w:rsidRPr="002A26FA">
        <w:t xml:space="preserve"> </w:t>
      </w:r>
      <w:r w:rsidRPr="002A26FA">
        <w:rPr>
          <w:b/>
        </w:rPr>
        <w:t>jusqu’à la série</w:t>
      </w:r>
      <w:r w:rsidR="007C2744">
        <w:rPr>
          <w:b/>
        </w:rPr>
        <w:t> </w:t>
      </w:r>
      <w:r w:rsidRPr="002A26FA">
        <w:rPr>
          <w:b/>
        </w:rPr>
        <w:t>07 d’amendements</w:t>
      </w:r>
      <w:r w:rsidRPr="002A26FA">
        <w:rPr>
          <w:strike/>
        </w:rPr>
        <w:t>,</w:t>
      </w:r>
      <w:r w:rsidRPr="002A26FA">
        <w:t xml:space="preserve"> </w:t>
      </w:r>
      <w:r w:rsidRPr="002A26FA">
        <w:rPr>
          <w:b/>
          <w:bCs/>
        </w:rPr>
        <w:t xml:space="preserve">ou aux séries </w:t>
      </w:r>
      <w:bookmarkStart w:id="2" w:name="_Hlk527727768"/>
      <w:r w:rsidRPr="002A26FA">
        <w:rPr>
          <w:b/>
          <w:bCs/>
        </w:rPr>
        <w:t xml:space="preserve">d’amendements </w:t>
      </w:r>
      <w:r w:rsidRPr="002A26FA">
        <w:rPr>
          <w:b/>
        </w:rPr>
        <w:t xml:space="preserve">05 ou suivantes au Règlement ONU </w:t>
      </w:r>
      <w:r w:rsidR="00587BBA" w:rsidRPr="00587BBA">
        <w:rPr>
          <w:rFonts w:eastAsia="MS Mincho"/>
          <w:b/>
        </w:rPr>
        <w:t>n</w:t>
      </w:r>
      <w:r w:rsidR="00587BBA" w:rsidRPr="00587BBA">
        <w:rPr>
          <w:rFonts w:eastAsia="MS Mincho"/>
          <w:b/>
          <w:vertAlign w:val="superscript"/>
        </w:rPr>
        <w:t>o</w:t>
      </w:r>
      <w:r w:rsidR="00587BBA">
        <w:rPr>
          <w:b/>
        </w:rPr>
        <w:t> </w:t>
      </w:r>
      <w:r w:rsidRPr="002A26FA">
        <w:rPr>
          <w:b/>
        </w:rPr>
        <w:t>49</w:t>
      </w:r>
      <w:bookmarkEnd w:id="2"/>
      <w:r w:rsidRPr="002A26FA">
        <w:t>, cette période ne doit pas dépasser 60 s.</w:t>
      </w:r>
    </w:p>
    <w:p w:rsidR="006F4911" w:rsidRPr="002A26FA" w:rsidRDefault="006F4911" w:rsidP="00587BBA">
      <w:pPr>
        <w:pStyle w:val="SingleTxtG"/>
        <w:ind w:left="2438"/>
        <w:rPr>
          <w:color w:val="000000"/>
        </w:rPr>
      </w:pPr>
      <w:r w:rsidRPr="002A26FA">
        <w:rPr>
          <w:b/>
        </w:rPr>
        <w:t>Pour les véhicules homologués au titre du cycle WLTC, cette période doit être prédéterminée et ne doit pas être modifiée par le conducteur</w:t>
      </w:r>
      <w:r w:rsidRPr="002A26FA">
        <w:t>.</w:t>
      </w:r>
      <w:r w:rsidR="00587BBA">
        <w:t> »</w:t>
      </w:r>
      <w:r w:rsidRPr="002A26FA">
        <w:t xml:space="preserve">. </w:t>
      </w:r>
    </w:p>
    <w:p w:rsidR="006F4911" w:rsidRPr="002A26FA" w:rsidRDefault="006F4911" w:rsidP="00974E22">
      <w:pPr>
        <w:pStyle w:val="SingleTxtG"/>
        <w:keepNext/>
      </w:pPr>
      <w:r w:rsidRPr="002A26FA">
        <w:rPr>
          <w:i/>
        </w:rPr>
        <w:t>Paragraphe 6.1.2.4.1.6.2</w:t>
      </w:r>
      <w:r w:rsidRPr="002A26FA">
        <w:t>,</w:t>
      </w:r>
      <w:r w:rsidRPr="002A26FA">
        <w:rPr>
          <w:i/>
        </w:rPr>
        <w:t xml:space="preserve"> </w:t>
      </w:r>
      <w:r w:rsidRPr="002A26FA">
        <w:rPr>
          <w:iCs/>
        </w:rPr>
        <w:t>lire</w:t>
      </w:r>
      <w:r w:rsidR="00EE7593" w:rsidRPr="002A26FA">
        <w:rPr>
          <w:iCs/>
        </w:rPr>
        <w:t> :</w:t>
      </w:r>
    </w:p>
    <w:p w:rsidR="006F4911" w:rsidRPr="002A26FA" w:rsidRDefault="00BB200E" w:rsidP="00F92BE5">
      <w:pPr>
        <w:pStyle w:val="SingleTxtG"/>
        <w:keepNext/>
        <w:ind w:left="2438" w:hanging="1304"/>
        <w:jc w:val="left"/>
      </w:pPr>
      <w:bookmarkStart w:id="3" w:name="_Hlk528314098"/>
      <w:r>
        <w:t>« </w:t>
      </w:r>
      <w:r w:rsidR="006F4911" w:rsidRPr="002A26FA">
        <w:t>6.1.2.4.1.6.2</w:t>
      </w:r>
      <w:bookmarkEnd w:id="3"/>
      <w:r w:rsidR="006F4911" w:rsidRPr="002A26FA">
        <w:tab/>
        <w:t>Utilisation de l’essence</w:t>
      </w:r>
    </w:p>
    <w:p w:rsidR="006F4911" w:rsidRPr="002A26FA" w:rsidRDefault="006F4911" w:rsidP="00F92BE5">
      <w:pPr>
        <w:pStyle w:val="SingleTxtG"/>
        <w:ind w:left="2438"/>
      </w:pPr>
      <w:r w:rsidRPr="002A26FA">
        <w:t xml:space="preserve">Si le véhicule de base est conforme au Règlement </w:t>
      </w:r>
      <w:r w:rsidRPr="002A26FA">
        <w:rPr>
          <w:b/>
        </w:rPr>
        <w:t>ONU</w:t>
      </w:r>
      <w:r w:rsidRPr="002A26FA">
        <w:t xml:space="preserve"> </w:t>
      </w:r>
      <w:r w:rsidR="000B7E5C">
        <w:rPr>
          <w:rFonts w:eastAsia="MS Mincho"/>
        </w:rPr>
        <w:t>n</w:t>
      </w:r>
      <w:r w:rsidR="000B7E5C">
        <w:rPr>
          <w:rFonts w:eastAsia="MS Mincho"/>
          <w:vertAlign w:val="superscript"/>
        </w:rPr>
        <w:t>o</w:t>
      </w:r>
      <w:r w:rsidR="000B7E5C">
        <w:t> </w:t>
      </w:r>
      <w:r w:rsidRPr="002A26FA">
        <w:t xml:space="preserve">83, série 05 d’amendements, à la Directive 98/69/CE, au Règlement </w:t>
      </w:r>
      <w:r w:rsidRPr="002A26FA">
        <w:rPr>
          <w:b/>
        </w:rPr>
        <w:t>ONU</w:t>
      </w:r>
      <w:r w:rsidRPr="002A26FA">
        <w:t xml:space="preserve"> </w:t>
      </w:r>
      <w:r w:rsidR="000B7E5C">
        <w:rPr>
          <w:rFonts w:eastAsia="MS Mincho"/>
        </w:rPr>
        <w:t>n</w:t>
      </w:r>
      <w:r w:rsidR="000B7E5C">
        <w:rPr>
          <w:rFonts w:eastAsia="MS Mincho"/>
          <w:vertAlign w:val="superscript"/>
        </w:rPr>
        <w:t>o</w:t>
      </w:r>
      <w:r w:rsidR="000B7E5C">
        <w:t> </w:t>
      </w:r>
      <w:r w:rsidRPr="002A26FA">
        <w:t>49, série 04 d’amendements, ou encore à la Directive 1999/96/CE, il ne doit pas fonctionner à l’</w:t>
      </w:r>
      <w:r w:rsidR="000B7E5C">
        <w:t>essence pendant plus de 90 </w:t>
      </w:r>
      <w:r w:rsidRPr="002A26FA">
        <w:t>s lors de chaque essai.</w:t>
      </w:r>
    </w:p>
    <w:p w:rsidR="006F4911" w:rsidRPr="002A26FA" w:rsidRDefault="006F4911" w:rsidP="00F92BE5">
      <w:pPr>
        <w:pStyle w:val="SingleTxtG"/>
        <w:ind w:left="2438"/>
      </w:pPr>
      <w:r w:rsidRPr="002A26FA">
        <w:t xml:space="preserve">Pour les véhicules conformes </w:t>
      </w:r>
      <w:r w:rsidRPr="002A26FA">
        <w:rPr>
          <w:b/>
        </w:rPr>
        <w:t>au Règlement</w:t>
      </w:r>
      <w:r w:rsidRPr="002A26FA">
        <w:t xml:space="preserve"> </w:t>
      </w:r>
      <w:r w:rsidRPr="002A26FA">
        <w:rPr>
          <w:b/>
        </w:rPr>
        <w:t>ONU</w:t>
      </w:r>
      <w:r w:rsidRPr="002A26FA">
        <w:t xml:space="preserve"> </w:t>
      </w:r>
      <w:r w:rsidR="000B7E5C" w:rsidRPr="000B7E5C">
        <w:rPr>
          <w:rFonts w:eastAsia="MS Mincho"/>
          <w:b/>
        </w:rPr>
        <w:t>n</w:t>
      </w:r>
      <w:r w:rsidR="000B7E5C" w:rsidRPr="000B7E5C">
        <w:rPr>
          <w:rFonts w:eastAsia="MS Mincho"/>
          <w:b/>
          <w:vertAlign w:val="superscript"/>
        </w:rPr>
        <w:t>o</w:t>
      </w:r>
      <w:r w:rsidR="000B7E5C">
        <w:rPr>
          <w:b/>
        </w:rPr>
        <w:t> </w:t>
      </w:r>
      <w:r w:rsidRPr="002A26FA">
        <w:rPr>
          <w:b/>
        </w:rPr>
        <w:t>83</w:t>
      </w:r>
      <w:r w:rsidRPr="002A26FA">
        <w:t xml:space="preserve"> </w:t>
      </w:r>
      <w:r w:rsidRPr="002A26FA">
        <w:rPr>
          <w:b/>
        </w:rPr>
        <w:t>jusqu’à la série</w:t>
      </w:r>
      <w:r w:rsidR="007C2744">
        <w:rPr>
          <w:b/>
        </w:rPr>
        <w:t> </w:t>
      </w:r>
      <w:r w:rsidRPr="002A26FA">
        <w:rPr>
          <w:b/>
        </w:rPr>
        <w:t>07 d’amendements</w:t>
      </w:r>
      <w:r w:rsidRPr="002A26FA">
        <w:t xml:space="preserve">, </w:t>
      </w:r>
      <w:r w:rsidRPr="002A26FA">
        <w:rPr>
          <w:b/>
          <w:bCs/>
        </w:rPr>
        <w:t xml:space="preserve">ou aux séries d’amendements </w:t>
      </w:r>
      <w:r w:rsidRPr="002A26FA">
        <w:rPr>
          <w:b/>
        </w:rPr>
        <w:t xml:space="preserve">05 ou suivantes au Règlement ONU </w:t>
      </w:r>
      <w:r w:rsidR="000B7E5C" w:rsidRPr="000B7E5C">
        <w:rPr>
          <w:rFonts w:eastAsia="MS Mincho"/>
          <w:b/>
        </w:rPr>
        <w:t>n</w:t>
      </w:r>
      <w:r w:rsidR="000B7E5C" w:rsidRPr="000B7E5C">
        <w:rPr>
          <w:rFonts w:eastAsia="MS Mincho"/>
          <w:b/>
          <w:vertAlign w:val="superscript"/>
        </w:rPr>
        <w:t>o</w:t>
      </w:r>
      <w:r w:rsidR="000B7E5C">
        <w:rPr>
          <w:b/>
        </w:rPr>
        <w:t> </w:t>
      </w:r>
      <w:r w:rsidRPr="002A26FA">
        <w:rPr>
          <w:b/>
        </w:rPr>
        <w:t>49</w:t>
      </w:r>
      <w:r w:rsidRPr="002A26FA">
        <w:t xml:space="preserve">, cette </w:t>
      </w:r>
      <w:r w:rsidR="000B7E5C">
        <w:t>période ne doit pas dépasser 60 </w:t>
      </w:r>
      <w:r w:rsidRPr="002A26FA">
        <w:t>s.</w:t>
      </w:r>
    </w:p>
    <w:p w:rsidR="006F4911" w:rsidRPr="002A26FA" w:rsidRDefault="006F4911" w:rsidP="00F92BE5">
      <w:pPr>
        <w:pStyle w:val="SingleTxtG"/>
        <w:ind w:left="2438"/>
        <w:rPr>
          <w:color w:val="000000"/>
        </w:rPr>
      </w:pPr>
      <w:r w:rsidRPr="002A26FA">
        <w:rPr>
          <w:b/>
          <w:color w:val="000000"/>
        </w:rPr>
        <w:t>Pour les véhicules homologués au titre du cycle WLTC, cette période doit être prédéterminée et ne doit pas être modifiée par le conducteur.</w:t>
      </w:r>
      <w:r w:rsidR="00D17811">
        <w:rPr>
          <w:color w:val="000000"/>
        </w:rPr>
        <w:t> »</w:t>
      </w:r>
      <w:r w:rsidRPr="002A26FA">
        <w:rPr>
          <w:color w:val="000000"/>
        </w:rPr>
        <w:t>.</w:t>
      </w:r>
    </w:p>
    <w:p w:rsidR="006F4911" w:rsidRPr="002A26FA" w:rsidRDefault="006F4911" w:rsidP="00974E22">
      <w:pPr>
        <w:pStyle w:val="SingleTxtG"/>
        <w:keepNext/>
      </w:pPr>
      <w:r w:rsidRPr="002A26FA">
        <w:rPr>
          <w:i/>
        </w:rPr>
        <w:t>Paragraphe 6.1.2.4.1.7</w:t>
      </w:r>
      <w:r w:rsidRPr="002A26FA">
        <w:t>,</w:t>
      </w:r>
      <w:r w:rsidRPr="002A26FA">
        <w:rPr>
          <w:i/>
        </w:rPr>
        <w:t xml:space="preserve"> </w:t>
      </w:r>
      <w:r w:rsidRPr="002A26FA">
        <w:t>lire</w:t>
      </w:r>
      <w:r w:rsidR="00EE7593" w:rsidRPr="002A26FA">
        <w:t> :</w:t>
      </w:r>
    </w:p>
    <w:p w:rsidR="006F4911" w:rsidRPr="002A26FA" w:rsidRDefault="000B7E5C" w:rsidP="000B7E5C">
      <w:pPr>
        <w:pStyle w:val="SingleTxtG"/>
        <w:keepNext/>
        <w:ind w:left="2438" w:hanging="1304"/>
        <w:jc w:val="left"/>
        <w:rPr>
          <w:b/>
          <w:color w:val="000000"/>
        </w:rPr>
      </w:pPr>
      <w:r>
        <w:rPr>
          <w:color w:val="000000"/>
        </w:rPr>
        <w:t>« </w:t>
      </w:r>
      <w:r w:rsidR="00F17316">
        <w:rPr>
          <w:color w:val="000000"/>
        </w:rPr>
        <w:t>6.1.2.4.1.7</w:t>
      </w:r>
      <w:r w:rsidR="006F4911" w:rsidRPr="002A26FA">
        <w:rPr>
          <w:color w:val="000000"/>
        </w:rPr>
        <w:tab/>
      </w:r>
      <w:r w:rsidR="006F4911" w:rsidRPr="002A26FA">
        <w:rPr>
          <w:b/>
        </w:rPr>
        <w:t>Prescriptions spécifiques s’appliquant au cycle d’essai NCEE</w:t>
      </w:r>
    </w:p>
    <w:p w:rsidR="006F4911" w:rsidRPr="002A26FA" w:rsidRDefault="006F4911" w:rsidP="00F92BE5">
      <w:pPr>
        <w:pStyle w:val="SingleTxtG"/>
        <w:ind w:left="2438"/>
        <w:rPr>
          <w:b/>
          <w:color w:val="000000"/>
        </w:rPr>
      </w:pPr>
      <w:r w:rsidRPr="002A26FA">
        <w:rPr>
          <w:b/>
          <w:color w:val="000000"/>
        </w:rPr>
        <w:t>Sous réserve des prescriptions du paragraphe 6.1.2.4.1.7.2 ci-dessous, l’essai doit être effectué trois fois avec chaque carburant GPL de référence.</w:t>
      </w:r>
    </w:p>
    <w:p w:rsidR="006F4911" w:rsidRPr="002A26FA" w:rsidRDefault="006F4911" w:rsidP="00643F00">
      <w:pPr>
        <w:pStyle w:val="SingleTxtG"/>
        <w:ind w:left="2438" w:hanging="1304"/>
        <w:rPr>
          <w:color w:val="000000"/>
        </w:rPr>
      </w:pPr>
      <w:r w:rsidRPr="002A26FA">
        <w:rPr>
          <w:b/>
          <w:color w:val="000000"/>
        </w:rPr>
        <w:lastRenderedPageBreak/>
        <w:t>6.1.2.4.1.7.1</w:t>
      </w:r>
      <w:r w:rsidRPr="002A26FA">
        <w:rPr>
          <w:color w:val="000000"/>
        </w:rPr>
        <w:tab/>
        <w:t>Sous réserve des prescriptions du paragraphe 6.1.2.4.1.</w:t>
      </w:r>
      <w:r w:rsidRPr="002A26FA">
        <w:rPr>
          <w:b/>
          <w:color w:val="000000"/>
        </w:rPr>
        <w:t>7</w:t>
      </w:r>
      <w:r w:rsidRPr="002A26FA">
        <w:t xml:space="preserve"> plus haut, pour chacun des polluants ou une combinaison de polluants, un des trois résultats d’essai </w:t>
      </w:r>
      <w:r w:rsidR="0006679E">
        <w:t>peut dépasser, au maximum de 10 </w:t>
      </w:r>
      <w:r w:rsidRPr="002A26FA">
        <w:t>%, la limite prescrite, à condition que la moyenne arithmétique des trois résultats soit inférieure à cette limite. Lorsque plus d’un polluant dépasse la limite prescrite, peu importe que cette donnée soit relevée pendant le même essai ou pendant des essais différents</w:t>
      </w:r>
      <w:r w:rsidRPr="002A26FA">
        <w:rPr>
          <w:color w:val="000000"/>
        </w:rPr>
        <w:t>.</w:t>
      </w:r>
      <w:r w:rsidR="005E2479">
        <w:rPr>
          <w:color w:val="000000"/>
        </w:rPr>
        <w:t> »</w:t>
      </w:r>
      <w:r w:rsidRPr="002A26FA">
        <w:rPr>
          <w:color w:val="000000"/>
        </w:rPr>
        <w:t>.</w:t>
      </w:r>
    </w:p>
    <w:p w:rsidR="006F4911" w:rsidRPr="002A26FA" w:rsidRDefault="006F4911" w:rsidP="00974E22">
      <w:pPr>
        <w:pStyle w:val="SingleTxtG"/>
        <w:keepNext/>
        <w:rPr>
          <w:i/>
        </w:rPr>
      </w:pPr>
      <w:r w:rsidRPr="002A26FA">
        <w:rPr>
          <w:i/>
        </w:rPr>
        <w:t>L</w:t>
      </w:r>
      <w:r w:rsidR="00F17316">
        <w:rPr>
          <w:i/>
        </w:rPr>
        <w:t>e paragraphe 6.1.2.4.1.8</w:t>
      </w:r>
      <w:r w:rsidRPr="002A26FA">
        <w:rPr>
          <w:i/>
        </w:rPr>
        <w:t xml:space="preserve"> devient le </w:t>
      </w:r>
      <w:r w:rsidR="005E2479">
        <w:rPr>
          <w:i/>
        </w:rPr>
        <w:t xml:space="preserve">paragraphe </w:t>
      </w:r>
      <w:r w:rsidRPr="002A26FA">
        <w:rPr>
          <w:i/>
        </w:rPr>
        <w:t xml:space="preserve">6.1.2.4.1.7.2 </w:t>
      </w:r>
      <w:r w:rsidRPr="002A26FA">
        <w:rPr>
          <w:iCs/>
        </w:rPr>
        <w:t>et est modifié comme suit</w:t>
      </w:r>
      <w:r w:rsidR="00EE7593" w:rsidRPr="002A26FA">
        <w:rPr>
          <w:iCs/>
        </w:rPr>
        <w:t> :</w:t>
      </w:r>
    </w:p>
    <w:p w:rsidR="006F4911" w:rsidRPr="002A26FA" w:rsidRDefault="009E5C33" w:rsidP="00643F00">
      <w:pPr>
        <w:pStyle w:val="SingleTxtG"/>
        <w:ind w:left="2438" w:hanging="1304"/>
      </w:pPr>
      <w:r>
        <w:rPr>
          <w:lang w:eastAsia="it-IT"/>
        </w:rPr>
        <w:t>« </w:t>
      </w:r>
      <w:r w:rsidR="00F17316">
        <w:rPr>
          <w:lang w:eastAsia="it-IT"/>
        </w:rPr>
        <w:t>6.1.2.4.1.7.2</w:t>
      </w:r>
      <w:r w:rsidR="006F4911" w:rsidRPr="002A26FA">
        <w:rPr>
          <w:lang w:eastAsia="it-IT"/>
        </w:rPr>
        <w:t xml:space="preserve"> Le nombre d’essais d’émission prescrit au paragraphe 6.1.2.4.1.</w:t>
      </w:r>
      <w:r w:rsidR="006F4911" w:rsidRPr="002A26FA">
        <w:rPr>
          <w:b/>
          <w:lang w:eastAsia="it-IT"/>
        </w:rPr>
        <w:t>7</w:t>
      </w:r>
      <w:r w:rsidR="006F4911" w:rsidRPr="002A26FA">
        <w:rPr>
          <w:lang w:eastAsia="it-IT"/>
        </w:rPr>
        <w:t xml:space="preserve"> plus haut…</w:t>
      </w:r>
      <w:r>
        <w:rPr>
          <w:lang w:eastAsia="it-IT"/>
        </w:rPr>
        <w:t> »</w:t>
      </w:r>
      <w:r w:rsidR="006F4911" w:rsidRPr="002A26FA">
        <w:rPr>
          <w:lang w:eastAsia="it-IT"/>
        </w:rPr>
        <w:t>.</w:t>
      </w:r>
    </w:p>
    <w:p w:rsidR="006F4911" w:rsidRPr="002A26FA" w:rsidRDefault="006F4911" w:rsidP="00974E22">
      <w:pPr>
        <w:pStyle w:val="SingleTxtG"/>
        <w:keepNext/>
      </w:pPr>
      <w:r w:rsidRPr="002A26FA">
        <w:rPr>
          <w:i/>
        </w:rPr>
        <w:t>Ajouter les n</w:t>
      </w:r>
      <w:r w:rsidR="00C2267A">
        <w:rPr>
          <w:i/>
        </w:rPr>
        <w:t>ouveaux paragraphes 6.1.2.4.1.8</w:t>
      </w:r>
      <w:r w:rsidRPr="002A26FA">
        <w:rPr>
          <w:i/>
        </w:rPr>
        <w:t xml:space="preserve"> et</w:t>
      </w:r>
      <w:r w:rsidR="00C2267A">
        <w:rPr>
          <w:i/>
        </w:rPr>
        <w:t xml:space="preserve"> 6.1.2.4.1.8.1</w:t>
      </w:r>
      <w:r w:rsidRPr="00B65BE9">
        <w:t>,</w:t>
      </w:r>
      <w:r w:rsidRPr="002A26FA">
        <w:rPr>
          <w:i/>
        </w:rPr>
        <w:t xml:space="preserve"> </w:t>
      </w:r>
      <w:r w:rsidRPr="002A26FA">
        <w:rPr>
          <w:iCs/>
        </w:rPr>
        <w:t>comme suit</w:t>
      </w:r>
      <w:r w:rsidR="00EE7593" w:rsidRPr="002A26FA">
        <w:rPr>
          <w:iCs/>
        </w:rPr>
        <w:t> :</w:t>
      </w:r>
    </w:p>
    <w:p w:rsidR="006F4911" w:rsidRPr="002A26FA" w:rsidRDefault="009E5C33" w:rsidP="009E5C33">
      <w:pPr>
        <w:pStyle w:val="SingleTxtG"/>
        <w:keepNext/>
        <w:ind w:left="2438" w:hanging="1304"/>
        <w:jc w:val="left"/>
        <w:rPr>
          <w:b/>
          <w:color w:val="000000"/>
        </w:rPr>
      </w:pPr>
      <w:r>
        <w:rPr>
          <w:color w:val="000000"/>
        </w:rPr>
        <w:t>« </w:t>
      </w:r>
      <w:r w:rsidR="006F4911" w:rsidRPr="002A26FA">
        <w:rPr>
          <w:b/>
          <w:color w:val="000000"/>
        </w:rPr>
        <w:t>6.</w:t>
      </w:r>
      <w:r w:rsidR="00C2267A">
        <w:rPr>
          <w:b/>
          <w:color w:val="000000"/>
        </w:rPr>
        <w:t>1.2.4.1.8</w:t>
      </w:r>
      <w:r w:rsidR="006F4911" w:rsidRPr="002A26FA">
        <w:rPr>
          <w:b/>
          <w:color w:val="000000"/>
        </w:rPr>
        <w:tab/>
        <w:t xml:space="preserve">Prescriptions spécifiques s’appliquant au cycle d’essai WLTC </w:t>
      </w:r>
    </w:p>
    <w:p w:rsidR="006F4911" w:rsidRPr="002A26FA" w:rsidRDefault="006F4911" w:rsidP="009E5C33">
      <w:pPr>
        <w:pStyle w:val="SingleTxtG"/>
        <w:ind w:left="2438"/>
        <w:rPr>
          <w:b/>
          <w:color w:val="000000"/>
        </w:rPr>
      </w:pPr>
      <w:r w:rsidRPr="002A26FA">
        <w:rPr>
          <w:b/>
          <w:color w:val="000000"/>
        </w:rPr>
        <w:t>Sous réserve des prescriptions du paragraphe 6.1.2.4.1.8.1 ci-dessous, l’essai doit être effectué deux fois avec chaque carburant GPL de référence.</w:t>
      </w:r>
    </w:p>
    <w:p w:rsidR="006F4911" w:rsidRPr="002A26FA" w:rsidRDefault="006F4911" w:rsidP="00643F00">
      <w:pPr>
        <w:pStyle w:val="SingleTxtG"/>
        <w:ind w:left="2438" w:hanging="1304"/>
        <w:rPr>
          <w:b/>
        </w:rPr>
      </w:pPr>
      <w:r w:rsidRPr="002A26FA">
        <w:rPr>
          <w:b/>
          <w:bCs/>
        </w:rPr>
        <w:t>6.1.2.4.1.8.1</w:t>
      </w:r>
      <w:r w:rsidR="00281EEA">
        <w:rPr>
          <w:b/>
          <w:bCs/>
        </w:rPr>
        <w:tab/>
      </w:r>
      <w:r w:rsidRPr="002A26FA">
        <w:rPr>
          <w:b/>
        </w:rPr>
        <w:t>Le nombre d’essais d’émission prescrit au paragraphe</w:t>
      </w:r>
      <w:r w:rsidR="00C2267A">
        <w:rPr>
          <w:b/>
          <w:lang w:eastAsia="it-IT"/>
        </w:rPr>
        <w:t xml:space="preserve"> 6.1.2.4.1.8</w:t>
      </w:r>
      <w:r w:rsidRPr="002A26FA">
        <w:rPr>
          <w:b/>
        </w:rPr>
        <w:t xml:space="preserve"> plus haut pour chaque carburant GPL de référence peut être réduit à un seul essai si la valeur obtenue pour chaque polluant ou pour la combinaison de deux polluants</w:t>
      </w:r>
      <w:r w:rsidR="00AB73B1" w:rsidRPr="002A26FA">
        <w:rPr>
          <w:b/>
        </w:rPr>
        <w:t xml:space="preserve"> </w:t>
      </w:r>
      <w:r w:rsidRPr="002A26FA">
        <w:rPr>
          <w:b/>
        </w:rPr>
        <w:t>réglementés est inférieure ou égale à 0,</w:t>
      </w:r>
      <w:r w:rsidR="00281EEA">
        <w:rPr>
          <w:b/>
        </w:rPr>
        <w:t>9 </w:t>
      </w:r>
      <w:r w:rsidRPr="002A26FA">
        <w:rPr>
          <w:b/>
        </w:rPr>
        <w:t>fois la valeur d’émission limite (c’est-à-dire M</w:t>
      </w:r>
      <w:r w:rsidRPr="002A26FA">
        <w:rPr>
          <w:b/>
          <w:vertAlign w:val="subscript"/>
        </w:rPr>
        <w:t>1</w:t>
      </w:r>
      <w:r w:rsidRPr="002A26FA">
        <w:rPr>
          <w:b/>
        </w:rPr>
        <w:t xml:space="preserve"> </w:t>
      </w:r>
      <w:r w:rsidRPr="002A26FA">
        <w:rPr>
          <w:b/>
        </w:rPr>
        <w:sym w:font="Symbol" w:char="F0A3"/>
      </w:r>
      <w:r w:rsidRPr="002A26FA">
        <w:rPr>
          <w:b/>
        </w:rPr>
        <w:t xml:space="preserve"> 0,90 G)</w:t>
      </w:r>
      <w:r w:rsidR="00EE7593" w:rsidRPr="002A26FA">
        <w:rPr>
          <w:b/>
        </w:rPr>
        <w:t> ;</w:t>
      </w:r>
    </w:p>
    <w:p w:rsidR="006F4911" w:rsidRPr="002A26FA" w:rsidRDefault="000E29A1" w:rsidP="009E5C33">
      <w:pPr>
        <w:pStyle w:val="SingleTxtG"/>
        <w:ind w:left="2438"/>
        <w:rPr>
          <w:b/>
        </w:rPr>
      </w:pPr>
      <w:r>
        <w:rPr>
          <w:b/>
        </w:rPr>
        <w:t>O</w:t>
      </w:r>
      <w:r w:rsidR="006F4911" w:rsidRPr="002A26FA">
        <w:rPr>
          <w:b/>
        </w:rPr>
        <w:t>ù</w:t>
      </w:r>
      <w:r w:rsidR="00EE7593" w:rsidRPr="002A26FA">
        <w:rPr>
          <w:b/>
        </w:rPr>
        <w:t> :</w:t>
      </w:r>
    </w:p>
    <w:p w:rsidR="006F4911" w:rsidRPr="002A26FA" w:rsidRDefault="006F4911" w:rsidP="00281EEA">
      <w:pPr>
        <w:pStyle w:val="SingleTxtG"/>
        <w:ind w:left="3005" w:hanging="567"/>
        <w:rPr>
          <w:b/>
        </w:rPr>
      </w:pPr>
      <w:r w:rsidRPr="002A26FA">
        <w:rPr>
          <w:b/>
        </w:rPr>
        <w:t>M</w:t>
      </w:r>
      <w:r w:rsidRPr="002A26FA">
        <w:rPr>
          <w:b/>
          <w:vertAlign w:val="subscript"/>
        </w:rPr>
        <w:t>1</w:t>
      </w:r>
      <w:r w:rsidRPr="002A26FA">
        <w:rPr>
          <w:b/>
        </w:rPr>
        <w:tab/>
        <w:t>est la valeur des émissions d’un polluant relevée lors du premier essai de type I</w:t>
      </w:r>
      <w:r w:rsidR="00EE7593" w:rsidRPr="002A26FA">
        <w:rPr>
          <w:b/>
        </w:rPr>
        <w:t> ;</w:t>
      </w:r>
    </w:p>
    <w:p w:rsidR="006F4911" w:rsidRPr="002A26FA" w:rsidRDefault="006F4911" w:rsidP="00281EEA">
      <w:pPr>
        <w:pStyle w:val="SingleTxtG"/>
        <w:ind w:left="3005" w:hanging="567"/>
        <w:rPr>
          <w:b/>
        </w:rPr>
      </w:pPr>
      <w:r w:rsidRPr="002A26FA">
        <w:rPr>
          <w:b/>
        </w:rPr>
        <w:t>G</w:t>
      </w:r>
      <w:r w:rsidRPr="002A26FA">
        <w:rPr>
          <w:b/>
        </w:rPr>
        <w:tab/>
        <w:t>est la valeur limite des émissions d’un seul polluant (CO, HC ou NO</w:t>
      </w:r>
      <w:r w:rsidRPr="00F06E33">
        <w:rPr>
          <w:b/>
          <w:vertAlign w:val="subscript"/>
        </w:rPr>
        <w:t>x</w:t>
      </w:r>
      <w:r w:rsidRPr="002A26FA">
        <w:rPr>
          <w:b/>
        </w:rPr>
        <w:t>) ou de la somme de deux polluants (HC + NO</w:t>
      </w:r>
      <w:r w:rsidRPr="00F06E33">
        <w:rPr>
          <w:b/>
          <w:vertAlign w:val="subscript"/>
        </w:rPr>
        <w:t>x</w:t>
      </w:r>
      <w:r w:rsidRPr="002A26FA">
        <w:rPr>
          <w:b/>
        </w:rPr>
        <w:t>), fixée lors de l’homologation de type du ou des véhicules, corrigée des facteurs de détérioration</w:t>
      </w:r>
      <w:r w:rsidR="00281EEA">
        <w:rPr>
          <w:b/>
        </w:rPr>
        <w:t>.</w:t>
      </w:r>
      <w:r w:rsidR="00F06E33" w:rsidRPr="00F06E33">
        <w:t> »</w:t>
      </w:r>
      <w:r w:rsidRPr="002A26FA">
        <w:t>.</w:t>
      </w:r>
    </w:p>
    <w:p w:rsidR="006F4911" w:rsidRPr="002A26FA" w:rsidRDefault="006F4911" w:rsidP="00974E22">
      <w:pPr>
        <w:pStyle w:val="SingleTxtG"/>
        <w:keepNext/>
      </w:pPr>
      <w:r w:rsidRPr="002A26FA">
        <w:rPr>
          <w:i/>
        </w:rPr>
        <w:t>Paragraphe 6.1.2.4.3.1</w:t>
      </w:r>
      <w:r w:rsidRPr="002A26FA">
        <w:t>,</w:t>
      </w:r>
      <w:r w:rsidRPr="002A26FA">
        <w:rPr>
          <w:i/>
        </w:rPr>
        <w:t xml:space="preserve"> </w:t>
      </w:r>
      <w:r w:rsidRPr="002A26FA">
        <w:t>lire</w:t>
      </w:r>
      <w:r w:rsidR="00EE7593" w:rsidRPr="002A26FA">
        <w:t> :</w:t>
      </w:r>
    </w:p>
    <w:p w:rsidR="006F4911" w:rsidRPr="002A26FA" w:rsidRDefault="0016446A" w:rsidP="00643F00">
      <w:pPr>
        <w:pStyle w:val="SingleTxtG"/>
        <w:ind w:left="2438" w:hanging="1304"/>
      </w:pPr>
      <w:r>
        <w:t>« </w:t>
      </w:r>
      <w:r w:rsidR="006F4911" w:rsidRPr="002A26FA">
        <w:t>6.1.2.4.3</w:t>
      </w:r>
      <w:r w:rsidR="006F4911" w:rsidRPr="002A26FA">
        <w:rPr>
          <w:bCs/>
        </w:rPr>
        <w:t>.</w:t>
      </w:r>
      <w:r w:rsidR="00C2267A">
        <w:t>1</w:t>
      </w:r>
      <w:r w:rsidR="006F4911" w:rsidRPr="002A26FA">
        <w:tab/>
        <w:t>Les émissions de CO</w:t>
      </w:r>
      <w:r w:rsidR="006F4911" w:rsidRPr="002A26FA">
        <w:rPr>
          <w:vertAlign w:val="subscript"/>
        </w:rPr>
        <w:t>2</w:t>
      </w:r>
      <w:r w:rsidR="006F4911" w:rsidRPr="002A26FA">
        <w:t xml:space="preserve"> sont calculées conformément au Règlement </w:t>
      </w:r>
      <w:r w:rsidR="006F4911" w:rsidRPr="002A26FA">
        <w:rPr>
          <w:b/>
        </w:rPr>
        <w:t>ONU</w:t>
      </w:r>
      <w:r w:rsidR="006F4911" w:rsidRPr="002A26FA">
        <w:t xml:space="preserve"> </w:t>
      </w:r>
      <w:r>
        <w:rPr>
          <w:rFonts w:eastAsia="MS Mincho"/>
        </w:rPr>
        <w:t>n</w:t>
      </w:r>
      <w:r>
        <w:rPr>
          <w:rFonts w:eastAsia="MS Mincho"/>
          <w:vertAlign w:val="superscript"/>
        </w:rPr>
        <w:t>o</w:t>
      </w:r>
      <w:r>
        <w:t> </w:t>
      </w:r>
      <w:r w:rsidR="006F4911" w:rsidRPr="002A26FA">
        <w:t xml:space="preserve">101 </w:t>
      </w:r>
      <w:r w:rsidR="006F4911" w:rsidRPr="002A26FA">
        <w:rPr>
          <w:b/>
        </w:rPr>
        <w:t xml:space="preserve">ou au RTM ONU </w:t>
      </w:r>
      <w:r w:rsidRPr="0016446A">
        <w:rPr>
          <w:rFonts w:eastAsia="MS Mincho"/>
          <w:b/>
        </w:rPr>
        <w:t>n</w:t>
      </w:r>
      <w:r w:rsidRPr="0016446A">
        <w:rPr>
          <w:rFonts w:eastAsia="MS Mincho"/>
          <w:b/>
          <w:vertAlign w:val="superscript"/>
        </w:rPr>
        <w:t>o</w:t>
      </w:r>
      <w:r>
        <w:rPr>
          <w:b/>
        </w:rPr>
        <w:t> </w:t>
      </w:r>
      <w:r w:rsidR="006F4911" w:rsidRPr="002A26FA">
        <w:rPr>
          <w:b/>
        </w:rPr>
        <w:t xml:space="preserve">15, selon le cas, </w:t>
      </w:r>
      <w:r w:rsidR="006F4911" w:rsidRPr="002A26FA">
        <w:t>pour chaque véhicule de base, le cas échéant</w:t>
      </w:r>
      <w:r w:rsidR="006F4911" w:rsidRPr="002A26FA">
        <w:rPr>
          <w:iCs/>
        </w:rPr>
        <w:t>.</w:t>
      </w:r>
    </w:p>
    <w:p w:rsidR="006F4911" w:rsidRPr="002A26FA" w:rsidRDefault="006F4911" w:rsidP="009E5C33">
      <w:pPr>
        <w:pStyle w:val="SingleTxtG"/>
        <w:ind w:left="2438"/>
      </w:pPr>
      <w:r w:rsidRPr="002A26FA">
        <w:t>La valeur moyenne des émissions de CO</w:t>
      </w:r>
      <w:r w:rsidRPr="002A26FA">
        <w:rPr>
          <w:vertAlign w:val="subscript"/>
        </w:rPr>
        <w:t>2</w:t>
      </w:r>
      <w:r w:rsidRPr="002A26FA">
        <w:t xml:space="preserve"> se calcule comme suit</w:t>
      </w:r>
      <w:r w:rsidR="00EE7593" w:rsidRPr="002A26FA">
        <w:t> :</w:t>
      </w:r>
    </w:p>
    <w:p w:rsidR="006F4911" w:rsidRPr="002A26FA" w:rsidRDefault="0016446A" w:rsidP="009E5C33">
      <w:pPr>
        <w:pStyle w:val="SingleTxtG"/>
        <w:ind w:left="2438"/>
      </w:pPr>
      <w:r>
        <w:t>… »</w:t>
      </w:r>
      <w:r w:rsidR="006F4911" w:rsidRPr="002A26FA">
        <w:t>.</w:t>
      </w:r>
    </w:p>
    <w:p w:rsidR="006F4911" w:rsidRPr="002A26FA" w:rsidRDefault="006F4911" w:rsidP="00974E22">
      <w:pPr>
        <w:pStyle w:val="SingleTxtG"/>
        <w:keepNext/>
      </w:pPr>
      <w:r w:rsidRPr="002A26FA">
        <w:rPr>
          <w:i/>
        </w:rPr>
        <w:t>Paragraphe 6.2.2.1</w:t>
      </w:r>
      <w:r w:rsidRPr="002A26FA">
        <w:t>,</w:t>
      </w:r>
      <w:r w:rsidRPr="002A26FA">
        <w:rPr>
          <w:i/>
        </w:rPr>
        <w:t xml:space="preserve"> </w:t>
      </w:r>
      <w:r w:rsidRPr="002A26FA">
        <w:t>lire</w:t>
      </w:r>
      <w:r w:rsidR="00EE7593" w:rsidRPr="002A26FA">
        <w:t> :</w:t>
      </w:r>
    </w:p>
    <w:p w:rsidR="006F4911" w:rsidRPr="002A26FA" w:rsidRDefault="00014CD2" w:rsidP="00643F00">
      <w:pPr>
        <w:pStyle w:val="SingleTxtG"/>
        <w:ind w:left="2438" w:hanging="1304"/>
      </w:pPr>
      <w:r>
        <w:t>« </w:t>
      </w:r>
      <w:r w:rsidR="00C2267A">
        <w:t>6.2.2.1</w:t>
      </w:r>
      <w:r w:rsidR="006F4911" w:rsidRPr="002A26FA">
        <w:tab/>
        <w:t xml:space="preserve">Un échantillon de système d’adaptation au GNC, tel que défini au paragraphe 2.2 du présent Règlement, monté sur le véhicule de base, tel que défini au paragraphe 2.5 du présent Règlement, doit être présenté aux essais définis dans les Règlements </w:t>
      </w:r>
      <w:r w:rsidR="006F4911" w:rsidRPr="002A26FA">
        <w:rPr>
          <w:b/>
        </w:rPr>
        <w:t>ONU</w:t>
      </w:r>
      <w:r w:rsidR="006F4911" w:rsidRPr="002A26FA">
        <w:t xml:space="preserve"> </w:t>
      </w:r>
      <w:r>
        <w:rPr>
          <w:rFonts w:eastAsia="MS Mincho"/>
        </w:rPr>
        <w:t>n</w:t>
      </w:r>
      <w:r>
        <w:rPr>
          <w:rFonts w:eastAsia="MS Mincho"/>
          <w:vertAlign w:val="superscript"/>
        </w:rPr>
        <w:t>os</w:t>
      </w:r>
      <w:r>
        <w:t> </w:t>
      </w:r>
      <w:r w:rsidR="006F4911" w:rsidRPr="002A26FA">
        <w:t xml:space="preserve">83 et 101, </w:t>
      </w:r>
      <w:r w:rsidR="006F4911" w:rsidRPr="002A26FA">
        <w:rPr>
          <w:b/>
        </w:rPr>
        <w:t xml:space="preserve">dans le RTM ONU </w:t>
      </w:r>
      <w:r w:rsidRPr="00014CD2">
        <w:rPr>
          <w:rFonts w:eastAsia="MS Mincho"/>
          <w:b/>
        </w:rPr>
        <w:t>n</w:t>
      </w:r>
      <w:r w:rsidRPr="00014CD2">
        <w:rPr>
          <w:rFonts w:eastAsia="MS Mincho"/>
          <w:b/>
          <w:vertAlign w:val="superscript"/>
        </w:rPr>
        <w:t>o</w:t>
      </w:r>
      <w:r>
        <w:rPr>
          <w:b/>
        </w:rPr>
        <w:t> </w:t>
      </w:r>
      <w:r w:rsidR="006F4911" w:rsidRPr="002A26FA">
        <w:rPr>
          <w:b/>
        </w:rPr>
        <w:t>15</w:t>
      </w:r>
      <w:r w:rsidR="006F4911" w:rsidRPr="002A26FA">
        <w:t xml:space="preserve"> ou </w:t>
      </w:r>
      <w:r w:rsidR="006F4911" w:rsidRPr="002A26FA">
        <w:rPr>
          <w:b/>
        </w:rPr>
        <w:t>dans le Règlement</w:t>
      </w:r>
      <w:r w:rsidR="006F4911" w:rsidRPr="002A26FA">
        <w:t xml:space="preserve"> </w:t>
      </w:r>
      <w:r w:rsidR="006F4911" w:rsidRPr="002A26FA">
        <w:rPr>
          <w:b/>
        </w:rPr>
        <w:t>ONU</w:t>
      </w:r>
      <w:r w:rsidR="006F4911" w:rsidRPr="002A26FA">
        <w:t xml:space="preserve"> </w:t>
      </w:r>
      <w:r w:rsidRPr="00014CD2">
        <w:rPr>
          <w:rFonts w:eastAsia="MS Mincho"/>
          <w:b/>
        </w:rPr>
        <w:t>n</w:t>
      </w:r>
      <w:r w:rsidRPr="00014CD2">
        <w:rPr>
          <w:rFonts w:eastAsia="MS Mincho"/>
          <w:b/>
          <w:vertAlign w:val="superscript"/>
        </w:rPr>
        <w:t>o</w:t>
      </w:r>
      <w:r>
        <w:rPr>
          <w:b/>
        </w:rPr>
        <w:t> </w:t>
      </w:r>
      <w:r w:rsidR="006F4911" w:rsidRPr="002A26FA">
        <w:t>49, selon le cas, dans les limites des prescriptions des paragraphes 6.2.2.</w:t>
      </w:r>
      <w:r w:rsidR="006F4911" w:rsidRPr="002A26FA">
        <w:rPr>
          <w:b/>
        </w:rPr>
        <w:t>4</w:t>
      </w:r>
      <w:r w:rsidR="006F4911" w:rsidRPr="002A26FA">
        <w:t xml:space="preserve"> et 6.2.2.</w:t>
      </w:r>
      <w:r w:rsidR="006F4911" w:rsidRPr="002A26FA">
        <w:rPr>
          <w:b/>
        </w:rPr>
        <w:t>5</w:t>
      </w:r>
      <w:r w:rsidR="006F4911" w:rsidRPr="002A26FA">
        <w:t xml:space="preserve"> plus bas. Les véhicules et/ou les moteurs sont aussi soumis à un essai de comparaison de la puissance maximum, tel que défini dans le Règlement </w:t>
      </w:r>
      <w:r w:rsidR="006F4911" w:rsidRPr="002A26FA">
        <w:rPr>
          <w:b/>
        </w:rPr>
        <w:t>ONU</w:t>
      </w:r>
      <w:r w:rsidR="006F4911" w:rsidRPr="002A26FA">
        <w:t xml:space="preserve"> </w:t>
      </w:r>
      <w:r>
        <w:rPr>
          <w:rFonts w:eastAsia="MS Mincho"/>
        </w:rPr>
        <w:t>n</w:t>
      </w:r>
      <w:r>
        <w:rPr>
          <w:rFonts w:eastAsia="MS Mincho"/>
          <w:vertAlign w:val="superscript"/>
        </w:rPr>
        <w:t>o</w:t>
      </w:r>
      <w:r>
        <w:t> </w:t>
      </w:r>
      <w:r w:rsidR="006F4911" w:rsidRPr="002A26FA">
        <w:t>85 pour les moteurs, ou au paragraphe 6.2.3 ci-dessous pour les véhicules.</w:t>
      </w:r>
      <w:r>
        <w:t> »</w:t>
      </w:r>
      <w:r w:rsidR="006F4911" w:rsidRPr="002A26FA">
        <w:t>.</w:t>
      </w:r>
    </w:p>
    <w:p w:rsidR="006F4911" w:rsidRPr="002A26FA" w:rsidRDefault="006F4911" w:rsidP="00974E22">
      <w:pPr>
        <w:pStyle w:val="SingleTxtG"/>
        <w:keepNext/>
      </w:pPr>
      <w:r w:rsidRPr="002A26FA">
        <w:rPr>
          <w:i/>
        </w:rPr>
        <w:t>Paragraphe 6.2.2.4.1.1</w:t>
      </w:r>
      <w:r w:rsidRPr="002A26FA">
        <w:t>,</w:t>
      </w:r>
      <w:r w:rsidRPr="002A26FA">
        <w:rPr>
          <w:i/>
        </w:rPr>
        <w:t xml:space="preserve"> </w:t>
      </w:r>
      <w:r w:rsidRPr="002A26FA">
        <w:t>lire</w:t>
      </w:r>
      <w:r w:rsidR="00EE7593" w:rsidRPr="002A26FA">
        <w:t> :</w:t>
      </w:r>
    </w:p>
    <w:p w:rsidR="006F4911" w:rsidRPr="002A26FA" w:rsidRDefault="00014CD2" w:rsidP="00643F00">
      <w:pPr>
        <w:pStyle w:val="SingleTxtG"/>
        <w:ind w:left="2438" w:hanging="1304"/>
      </w:pPr>
      <w:r>
        <w:t>« </w:t>
      </w:r>
      <w:r w:rsidR="00C2267A">
        <w:t>6.2.2.4.1.1</w:t>
      </w:r>
      <w:r w:rsidR="006F4911" w:rsidRPr="002A26FA">
        <w:tab/>
        <w:t>Mesure des émissions d’échappement à froid, pour chacun des carburants suivants</w:t>
      </w:r>
      <w:r w:rsidR="00EE7593" w:rsidRPr="002A26FA">
        <w:t> :</w:t>
      </w:r>
    </w:p>
    <w:p w:rsidR="006F4911" w:rsidRPr="002A26FA" w:rsidRDefault="006F4911" w:rsidP="009E5C33">
      <w:pPr>
        <w:pStyle w:val="SingleTxtG"/>
        <w:ind w:left="2438"/>
      </w:pPr>
      <w:r w:rsidRPr="002A26FA">
        <w:t>a)</w:t>
      </w:r>
      <w:r w:rsidRPr="002A26FA">
        <w:tab/>
        <w:t>Essence de référence</w:t>
      </w:r>
      <w:r w:rsidR="00EE7593" w:rsidRPr="002A26FA">
        <w:t> ;</w:t>
      </w:r>
    </w:p>
    <w:p w:rsidR="00014CD2" w:rsidRDefault="006F4911" w:rsidP="00014CD2">
      <w:pPr>
        <w:pStyle w:val="SingleTxtG"/>
        <w:ind w:left="2438"/>
      </w:pPr>
      <w:r w:rsidRPr="002A26FA">
        <w:t>b)</w:t>
      </w:r>
      <w:r w:rsidRPr="002A26FA">
        <w:tab/>
        <w:t>Carburant G20 de référence</w:t>
      </w:r>
      <w:r w:rsidR="00EE7593" w:rsidRPr="002A26FA">
        <w:t> ;</w:t>
      </w:r>
    </w:p>
    <w:p w:rsidR="006F4911" w:rsidRPr="002A26FA" w:rsidRDefault="006F4911" w:rsidP="00014CD2">
      <w:pPr>
        <w:pStyle w:val="SingleTxtG"/>
        <w:ind w:left="2438"/>
      </w:pPr>
      <w:r w:rsidRPr="002A26FA">
        <w:t>c)</w:t>
      </w:r>
      <w:r w:rsidRPr="002A26FA">
        <w:tab/>
        <w:t>Carburant G25 de référence.</w:t>
      </w:r>
    </w:p>
    <w:p w:rsidR="006F4911" w:rsidRPr="002A26FA" w:rsidRDefault="006F4911" w:rsidP="009E5C33">
      <w:pPr>
        <w:pStyle w:val="SingleTxtG"/>
        <w:ind w:left="2438"/>
      </w:pPr>
      <w:r w:rsidRPr="002A26FA">
        <w:lastRenderedPageBreak/>
        <w:t>Les émissions de CO, HC et NO</w:t>
      </w:r>
      <w:r w:rsidRPr="002A26FA">
        <w:rPr>
          <w:vertAlign w:val="subscript"/>
        </w:rPr>
        <w:t>x</w:t>
      </w:r>
      <w:r w:rsidRPr="002A26FA">
        <w:t xml:space="preserve"> sont calculées conformément au Règlement </w:t>
      </w:r>
      <w:r w:rsidRPr="002A26FA">
        <w:rPr>
          <w:b/>
        </w:rPr>
        <w:t>ONU</w:t>
      </w:r>
      <w:r w:rsidRPr="002A26FA">
        <w:t xml:space="preserve"> </w:t>
      </w:r>
      <w:r w:rsidR="00014CD2">
        <w:rPr>
          <w:rFonts w:eastAsia="MS Mincho"/>
        </w:rPr>
        <w:t>n</w:t>
      </w:r>
      <w:r w:rsidR="00014CD2">
        <w:rPr>
          <w:rFonts w:eastAsia="MS Mincho"/>
          <w:vertAlign w:val="superscript"/>
        </w:rPr>
        <w:t>o</w:t>
      </w:r>
      <w:r w:rsidR="00014CD2">
        <w:t> </w:t>
      </w:r>
      <w:r w:rsidRPr="002A26FA">
        <w:t>83</w:t>
      </w:r>
      <w:r w:rsidRPr="002A26FA">
        <w:rPr>
          <w:vertAlign w:val="superscript"/>
        </w:rPr>
        <w:t>5</w:t>
      </w:r>
      <w:r w:rsidRPr="002A26FA">
        <w:rPr>
          <w:b/>
        </w:rPr>
        <w:t xml:space="preserve"> ou au RTM ONU </w:t>
      </w:r>
      <w:r w:rsidR="00014CD2" w:rsidRPr="00014CD2">
        <w:rPr>
          <w:rFonts w:eastAsia="MS Mincho"/>
          <w:b/>
        </w:rPr>
        <w:t>n</w:t>
      </w:r>
      <w:r w:rsidR="00014CD2" w:rsidRPr="00014CD2">
        <w:rPr>
          <w:rFonts w:eastAsia="MS Mincho"/>
          <w:b/>
          <w:vertAlign w:val="superscript"/>
        </w:rPr>
        <w:t>o</w:t>
      </w:r>
      <w:r w:rsidR="00014CD2">
        <w:rPr>
          <w:b/>
        </w:rPr>
        <w:t> </w:t>
      </w:r>
      <w:r w:rsidRPr="002A26FA">
        <w:rPr>
          <w:b/>
        </w:rPr>
        <w:t>15, selon le cas.</w:t>
      </w:r>
      <w:r w:rsidR="00014CD2">
        <w:t> »</w:t>
      </w:r>
      <w:r w:rsidRPr="002A26FA">
        <w:t>.</w:t>
      </w:r>
    </w:p>
    <w:p w:rsidR="006F4911" w:rsidRPr="002A26FA" w:rsidRDefault="006F4911" w:rsidP="00974E22">
      <w:pPr>
        <w:pStyle w:val="SingleTxtG"/>
        <w:keepNext/>
      </w:pPr>
      <w:r w:rsidRPr="002A26FA">
        <w:rPr>
          <w:i/>
        </w:rPr>
        <w:t xml:space="preserve">Paragraphes </w:t>
      </w:r>
      <w:r w:rsidR="00C2267A">
        <w:rPr>
          <w:bCs/>
          <w:i/>
        </w:rPr>
        <w:t>6.2.2.4.1.2.</w:t>
      </w:r>
      <w:r w:rsidR="00B65BE9">
        <w:rPr>
          <w:bCs/>
          <w:i/>
        </w:rPr>
        <w:t>2</w:t>
      </w:r>
      <w:r w:rsidRPr="002A26FA">
        <w:rPr>
          <w:bCs/>
          <w:i/>
        </w:rPr>
        <w:t>,</w:t>
      </w:r>
      <w:r w:rsidR="00C2267A">
        <w:rPr>
          <w:i/>
        </w:rPr>
        <w:t xml:space="preserve"> 6.2.2.4.1.3</w:t>
      </w:r>
      <w:r w:rsidRPr="002A26FA">
        <w:rPr>
          <w:i/>
        </w:rPr>
        <w:t xml:space="preserve"> et 6.2.2.4.1.4</w:t>
      </w:r>
      <w:r w:rsidRPr="002A26FA">
        <w:t>,</w:t>
      </w:r>
      <w:r w:rsidRPr="002A26FA">
        <w:rPr>
          <w:i/>
        </w:rPr>
        <w:t xml:space="preserve"> </w:t>
      </w:r>
      <w:r w:rsidRPr="002A26FA">
        <w:t>lire</w:t>
      </w:r>
      <w:r w:rsidR="00EE7593" w:rsidRPr="002A26FA">
        <w:t> :</w:t>
      </w:r>
    </w:p>
    <w:p w:rsidR="006F4911" w:rsidRPr="002A26FA" w:rsidRDefault="00014CD2" w:rsidP="00643F00">
      <w:pPr>
        <w:pStyle w:val="SingleTxtG"/>
        <w:ind w:left="2438" w:hanging="1304"/>
        <w:rPr>
          <w:bCs/>
        </w:rPr>
      </w:pPr>
      <w:r>
        <w:rPr>
          <w:bCs/>
        </w:rPr>
        <w:t>« </w:t>
      </w:r>
      <w:r w:rsidR="00C2267A">
        <w:rPr>
          <w:bCs/>
        </w:rPr>
        <w:t>6.2.2.4.1.2.2</w:t>
      </w:r>
      <w:r w:rsidR="00714913">
        <w:rPr>
          <w:bCs/>
        </w:rPr>
        <w:tab/>
      </w:r>
      <w:r w:rsidR="006F4911" w:rsidRPr="002A26FA">
        <w:rPr>
          <w:bCs/>
        </w:rPr>
        <w:t xml:space="preserve">En utilisant les valeurs du tableau </w:t>
      </w:r>
      <w:r w:rsidR="006F4911" w:rsidRPr="002A26FA">
        <w:rPr>
          <w:b/>
          <w:bCs/>
        </w:rPr>
        <w:t>uniquement pour le cycle NCEE</w:t>
      </w:r>
      <w:r w:rsidR="00EE7593" w:rsidRPr="002A26FA">
        <w:rPr>
          <w:bCs/>
        </w:rPr>
        <w:t> :</w:t>
      </w:r>
    </w:p>
    <w:p w:rsidR="006F4911" w:rsidRPr="002A26FA" w:rsidRDefault="00685FDE" w:rsidP="009E5C33">
      <w:pPr>
        <w:pStyle w:val="SingleTxtG"/>
        <w:ind w:left="2438"/>
        <w:rPr>
          <w:bCs/>
        </w:rPr>
      </w:pPr>
      <w:r>
        <w:rPr>
          <w:bCs/>
        </w:rPr>
        <w:t>...</w:t>
      </w:r>
      <w:r w:rsidR="00014CD2">
        <w:rPr>
          <w:bCs/>
        </w:rPr>
        <w:t> »</w:t>
      </w:r>
      <w:r w:rsidR="006F4911" w:rsidRPr="002A26FA">
        <w:rPr>
          <w:bCs/>
        </w:rPr>
        <w:t>.</w:t>
      </w:r>
    </w:p>
    <w:p w:rsidR="006F4911" w:rsidRPr="002A26FA" w:rsidRDefault="00014CD2" w:rsidP="00FD1E58">
      <w:pPr>
        <w:pStyle w:val="SingleTxtG"/>
        <w:keepNext/>
        <w:ind w:left="2438" w:hanging="1304"/>
        <w:jc w:val="left"/>
      </w:pPr>
      <w:r>
        <w:rPr>
          <w:bCs/>
        </w:rPr>
        <w:t>« </w:t>
      </w:r>
      <w:r w:rsidR="006F4911" w:rsidRPr="002A26FA">
        <w:rPr>
          <w:bCs/>
        </w:rPr>
        <w:t>6.2.2.4</w:t>
      </w:r>
      <w:r w:rsidR="00C2267A">
        <w:t>.1.3</w:t>
      </w:r>
      <w:r w:rsidR="006F4911" w:rsidRPr="002A26FA">
        <w:tab/>
        <w:t>Essai de mesure des émissions d’échappement en mode essence</w:t>
      </w:r>
    </w:p>
    <w:p w:rsidR="006F4911" w:rsidRPr="002A26FA" w:rsidRDefault="006F4911" w:rsidP="009E5C33">
      <w:pPr>
        <w:pStyle w:val="SingleTxtG"/>
        <w:ind w:left="2438"/>
      </w:pPr>
      <w:r w:rsidRPr="002A26FA">
        <w:rPr>
          <w:b/>
        </w:rPr>
        <w:t>Le cycle d’essai (NCEE ou WLTC) doit être choisi en fonction de l’homologation de type initiale du véhicule.</w:t>
      </w:r>
      <w:r w:rsidRPr="002A26FA">
        <w:t xml:space="preserve"> Le ou les véhicules de base, équipés du système d’adaptation, ne doivent pas dépasser les valeurs limites fixées lors de l’homologation de type du ou des véhicules d’origine, corrigées des coefficients de détérioration appliqués à cette occasion.</w:t>
      </w:r>
    </w:p>
    <w:p w:rsidR="006F4911" w:rsidRPr="002A26FA" w:rsidRDefault="006F4911" w:rsidP="00FD1E58">
      <w:pPr>
        <w:pStyle w:val="SingleTxtG"/>
        <w:keepNext/>
        <w:ind w:left="2438" w:hanging="1304"/>
        <w:jc w:val="left"/>
        <w:rPr>
          <w:b/>
        </w:rPr>
      </w:pPr>
      <w:r w:rsidRPr="002A26FA">
        <w:rPr>
          <w:bCs/>
        </w:rPr>
        <w:t>6.2.2.4</w:t>
      </w:r>
      <w:r w:rsidR="00C2267A">
        <w:t>.1.4</w:t>
      </w:r>
      <w:r w:rsidRPr="002A26FA">
        <w:tab/>
      </w:r>
      <w:r w:rsidRPr="002A26FA">
        <w:rPr>
          <w:b/>
        </w:rPr>
        <w:t>Prescriptions spécifiques s’appliquant au cycle d’essai NCEE</w:t>
      </w:r>
    </w:p>
    <w:p w:rsidR="006F4911" w:rsidRPr="002A26FA" w:rsidRDefault="006F4911" w:rsidP="009E5C33">
      <w:pPr>
        <w:pStyle w:val="SingleTxtG"/>
        <w:ind w:left="2438"/>
        <w:rPr>
          <w:b/>
        </w:rPr>
      </w:pPr>
      <w:r w:rsidRPr="002A26FA">
        <w:rPr>
          <w:b/>
        </w:rPr>
        <w:t>Sous réserve des prescriptions du paragraphe 6.2.2.4.1.4.2 ci-dessous, l’essai doit être effectué</w:t>
      </w:r>
      <w:r w:rsidR="00AB73B1" w:rsidRPr="002A26FA">
        <w:rPr>
          <w:b/>
        </w:rPr>
        <w:t xml:space="preserve"> </w:t>
      </w:r>
      <w:r w:rsidRPr="002A26FA">
        <w:rPr>
          <w:b/>
        </w:rPr>
        <w:t>trois fois avec de l’essence de référence.</w:t>
      </w:r>
      <w:r w:rsidR="00B65BE9">
        <w:t> »</w:t>
      </w:r>
      <w:r w:rsidRPr="002A26FA">
        <w:t>.</w:t>
      </w:r>
    </w:p>
    <w:p w:rsidR="006F4911" w:rsidRPr="002A26FA" w:rsidRDefault="00C2267A" w:rsidP="00974E22">
      <w:pPr>
        <w:pStyle w:val="SingleTxtG"/>
        <w:keepNext/>
      </w:pPr>
      <w:r>
        <w:rPr>
          <w:i/>
        </w:rPr>
        <w:t>Le paragraphe 6.2.2.4.1.4</w:t>
      </w:r>
      <w:r w:rsidR="006F4911" w:rsidRPr="002A26FA">
        <w:rPr>
          <w:i/>
        </w:rPr>
        <w:t xml:space="preserve"> devient le </w:t>
      </w:r>
      <w:r w:rsidR="00B65BE9">
        <w:rPr>
          <w:i/>
        </w:rPr>
        <w:t xml:space="preserve">paragraphe </w:t>
      </w:r>
      <w:r w:rsidR="006F4911" w:rsidRPr="002A26FA">
        <w:rPr>
          <w:i/>
        </w:rPr>
        <w:t>6.2.2.4.1.4.1.</w:t>
      </w:r>
    </w:p>
    <w:p w:rsidR="006F4911" w:rsidRPr="002A26FA" w:rsidRDefault="006F4911" w:rsidP="00974E22">
      <w:pPr>
        <w:pStyle w:val="SingleTxtG"/>
        <w:keepNext/>
      </w:pPr>
      <w:r w:rsidRPr="002A26FA">
        <w:rPr>
          <w:i/>
        </w:rPr>
        <w:t xml:space="preserve">Le paragraphe 6.2.2.4.1.5 devient le </w:t>
      </w:r>
      <w:r w:rsidR="00B65BE9">
        <w:rPr>
          <w:i/>
        </w:rPr>
        <w:t xml:space="preserve">paragraphe </w:t>
      </w:r>
      <w:r w:rsidRPr="002A26FA">
        <w:rPr>
          <w:i/>
        </w:rPr>
        <w:t xml:space="preserve">6.2.2.4.1.4.2 </w:t>
      </w:r>
      <w:r w:rsidRPr="002A26FA">
        <w:t>et est modifié</w:t>
      </w:r>
      <w:r w:rsidRPr="002A26FA">
        <w:rPr>
          <w:i/>
        </w:rPr>
        <w:t xml:space="preserve"> </w:t>
      </w:r>
      <w:r w:rsidRPr="002A26FA">
        <w:rPr>
          <w:iCs/>
        </w:rPr>
        <w:t>comme suit</w:t>
      </w:r>
      <w:r w:rsidR="00EE7593" w:rsidRPr="002A26FA">
        <w:rPr>
          <w:iCs/>
        </w:rPr>
        <w:t> :</w:t>
      </w:r>
    </w:p>
    <w:p w:rsidR="006F4911" w:rsidRPr="002A26FA" w:rsidRDefault="00FD1E58" w:rsidP="00643F00">
      <w:pPr>
        <w:pStyle w:val="SingleTxtG"/>
        <w:ind w:left="2438" w:hanging="1304"/>
        <w:rPr>
          <w:bCs/>
        </w:rPr>
      </w:pPr>
      <w:r>
        <w:rPr>
          <w:lang w:eastAsia="it-IT"/>
        </w:rPr>
        <w:t>« </w:t>
      </w:r>
      <w:r w:rsidR="007E24A3">
        <w:rPr>
          <w:lang w:eastAsia="it-IT"/>
        </w:rPr>
        <w:t>6.2.2.4.1.4.2</w:t>
      </w:r>
      <w:r w:rsidR="007E24A3">
        <w:rPr>
          <w:lang w:eastAsia="it-IT"/>
        </w:rPr>
        <w:tab/>
      </w:r>
      <w:r w:rsidR="006F4911" w:rsidRPr="002A26FA">
        <w:rPr>
          <w:lang w:eastAsia="it-IT"/>
        </w:rPr>
        <w:t>Le nombre d’essais d’émission prescrit au paragraphe 6.2.2.4.1.</w:t>
      </w:r>
      <w:r w:rsidR="006F4911" w:rsidRPr="002A26FA">
        <w:rPr>
          <w:b/>
          <w:lang w:eastAsia="it-IT"/>
        </w:rPr>
        <w:t>4</w:t>
      </w:r>
      <w:r w:rsidR="006F4911" w:rsidRPr="002A26FA">
        <w:rPr>
          <w:lang w:eastAsia="it-IT"/>
        </w:rPr>
        <w:t xml:space="preserve"> peut…</w:t>
      </w:r>
      <w:r>
        <w:rPr>
          <w:lang w:eastAsia="it-IT"/>
        </w:rPr>
        <w:t> »</w:t>
      </w:r>
      <w:r w:rsidR="006F4911" w:rsidRPr="002A26FA">
        <w:rPr>
          <w:lang w:eastAsia="it-IT"/>
        </w:rPr>
        <w:t>.</w:t>
      </w:r>
    </w:p>
    <w:p w:rsidR="006F4911" w:rsidRPr="002A26FA" w:rsidRDefault="006F4911" w:rsidP="00974E22">
      <w:pPr>
        <w:pStyle w:val="SingleTxtG"/>
        <w:keepNext/>
      </w:pPr>
      <w:r w:rsidRPr="002A26FA">
        <w:rPr>
          <w:i/>
        </w:rPr>
        <w:t>Ajouter les nouveaux</w:t>
      </w:r>
      <w:r w:rsidR="007E24A3">
        <w:rPr>
          <w:i/>
        </w:rPr>
        <w:t xml:space="preserve"> paragraphes 6.2.2.4.1.5</w:t>
      </w:r>
      <w:r w:rsidRPr="002A26FA">
        <w:rPr>
          <w:i/>
        </w:rPr>
        <w:t xml:space="preserve"> et</w:t>
      </w:r>
      <w:r w:rsidR="007E24A3">
        <w:rPr>
          <w:i/>
        </w:rPr>
        <w:t xml:space="preserve"> 6.2.2.4.1.5.</w:t>
      </w:r>
      <w:r w:rsidR="00B65BE9">
        <w:rPr>
          <w:i/>
        </w:rPr>
        <w:t>1</w:t>
      </w:r>
      <w:r w:rsidR="00B65BE9" w:rsidRPr="00B65BE9">
        <w:t>,</w:t>
      </w:r>
      <w:r w:rsidRPr="002A26FA">
        <w:rPr>
          <w:i/>
        </w:rPr>
        <w:t xml:space="preserve"> </w:t>
      </w:r>
      <w:r w:rsidRPr="002A26FA">
        <w:rPr>
          <w:iCs/>
        </w:rPr>
        <w:t>comme suit</w:t>
      </w:r>
      <w:r w:rsidR="00EE7593" w:rsidRPr="002A26FA">
        <w:rPr>
          <w:iCs/>
        </w:rPr>
        <w:t> :</w:t>
      </w:r>
    </w:p>
    <w:p w:rsidR="006F4911" w:rsidRPr="002A26FA" w:rsidRDefault="00FD1E58" w:rsidP="00643F00">
      <w:pPr>
        <w:pStyle w:val="SingleTxtG"/>
        <w:ind w:left="2438" w:hanging="1304"/>
        <w:rPr>
          <w:b/>
        </w:rPr>
      </w:pPr>
      <w:r>
        <w:rPr>
          <w:bCs/>
        </w:rPr>
        <w:t>« </w:t>
      </w:r>
      <w:r w:rsidR="006F4911" w:rsidRPr="002A26FA">
        <w:rPr>
          <w:b/>
          <w:bCs/>
        </w:rPr>
        <w:t>6.2.2.4</w:t>
      </w:r>
      <w:r w:rsidR="007E24A3">
        <w:rPr>
          <w:b/>
        </w:rPr>
        <w:t>.1.5</w:t>
      </w:r>
      <w:r w:rsidR="006F4911" w:rsidRPr="002A26FA">
        <w:rPr>
          <w:b/>
        </w:rPr>
        <w:tab/>
        <w:t>Prescriptions spécifiques s’appliquant au cycle d’essai WLTC</w:t>
      </w:r>
    </w:p>
    <w:p w:rsidR="006F4911" w:rsidRPr="002A26FA" w:rsidRDefault="006F4911" w:rsidP="009E5C33">
      <w:pPr>
        <w:pStyle w:val="SingleTxtG"/>
        <w:ind w:left="2438"/>
        <w:rPr>
          <w:b/>
        </w:rPr>
      </w:pPr>
      <w:r w:rsidRPr="002A26FA">
        <w:rPr>
          <w:b/>
        </w:rPr>
        <w:t>Sous réserve des prescriptions du paragraphe 6.2.2.4.1.5.1 ci-dessous, l’essai doit être effectué deux fois avec de l’essence de référence.</w:t>
      </w:r>
    </w:p>
    <w:p w:rsidR="006F4911" w:rsidRPr="002A26FA" w:rsidRDefault="006F4911" w:rsidP="00643F00">
      <w:pPr>
        <w:pStyle w:val="SingleTxtG"/>
        <w:ind w:left="2438" w:hanging="1304"/>
        <w:rPr>
          <w:b/>
        </w:rPr>
      </w:pPr>
      <w:r w:rsidRPr="002A26FA">
        <w:rPr>
          <w:b/>
          <w:bCs/>
          <w:color w:val="000000"/>
        </w:rPr>
        <w:t>6.2.2.</w:t>
      </w:r>
      <w:r w:rsidR="007E24A3">
        <w:rPr>
          <w:b/>
          <w:color w:val="000000"/>
        </w:rPr>
        <w:t>4.1.5.1</w:t>
      </w:r>
      <w:r w:rsidRPr="002A26FA">
        <w:rPr>
          <w:b/>
          <w:color w:val="000000"/>
        </w:rPr>
        <w:tab/>
      </w:r>
      <w:r w:rsidRPr="002A26FA">
        <w:rPr>
          <w:b/>
          <w:bCs/>
        </w:rPr>
        <w:t xml:space="preserve">Le nombre d’essais d’émission prescrit au paragraphe </w:t>
      </w:r>
      <w:r w:rsidRPr="002A26FA">
        <w:rPr>
          <w:b/>
          <w:color w:val="000000"/>
          <w:lang w:eastAsia="it-IT"/>
        </w:rPr>
        <w:t>6.2.2.4.1.5</w:t>
      </w:r>
      <w:r w:rsidRPr="002A26FA">
        <w:rPr>
          <w:b/>
          <w:color w:val="000000"/>
        </w:rPr>
        <w:t xml:space="preserve"> peut être réduit à un seul essai</w:t>
      </w:r>
      <w:r w:rsidRPr="002A26FA">
        <w:rPr>
          <w:b/>
        </w:rPr>
        <w:t xml:space="preserve"> si le résultat obtenu pour chaque polluant réglementé est inférieur ou égal à 0,9</w:t>
      </w:r>
      <w:r w:rsidR="00FD1E58">
        <w:rPr>
          <w:b/>
        </w:rPr>
        <w:t> </w:t>
      </w:r>
      <w:r w:rsidRPr="002A26FA">
        <w:rPr>
          <w:b/>
        </w:rPr>
        <w:t>fois la limite d’émission (c’est</w:t>
      </w:r>
      <w:r w:rsidR="00FD1E58">
        <w:rPr>
          <w:b/>
        </w:rPr>
        <w:noBreakHyphen/>
      </w:r>
      <w:r w:rsidRPr="002A26FA">
        <w:rPr>
          <w:b/>
        </w:rPr>
        <w:t>à</w:t>
      </w:r>
      <w:r w:rsidR="00FD1E58">
        <w:rPr>
          <w:b/>
        </w:rPr>
        <w:noBreakHyphen/>
      </w:r>
      <w:r w:rsidRPr="002A26FA">
        <w:rPr>
          <w:b/>
        </w:rPr>
        <w:t xml:space="preserve">dire V1 </w:t>
      </w:r>
      <w:r w:rsidRPr="002A26FA">
        <w:rPr>
          <w:b/>
        </w:rPr>
        <w:sym w:font="Symbol" w:char="F0A3"/>
      </w:r>
      <w:r w:rsidRPr="002A26FA">
        <w:rPr>
          <w:b/>
        </w:rPr>
        <w:t xml:space="preserve"> 0,90 G)</w:t>
      </w:r>
      <w:r w:rsidR="00EE7593" w:rsidRPr="002A26FA">
        <w:rPr>
          <w:b/>
        </w:rPr>
        <w:t> ;</w:t>
      </w:r>
    </w:p>
    <w:p w:rsidR="006F4911" w:rsidRPr="002A26FA" w:rsidRDefault="000E29A1" w:rsidP="009E5C33">
      <w:pPr>
        <w:pStyle w:val="SingleTxtG"/>
        <w:ind w:left="2438"/>
        <w:rPr>
          <w:b/>
        </w:rPr>
      </w:pPr>
      <w:r>
        <w:rPr>
          <w:b/>
        </w:rPr>
        <w:t>O</w:t>
      </w:r>
      <w:r w:rsidR="006F4911" w:rsidRPr="002A26FA">
        <w:rPr>
          <w:b/>
        </w:rPr>
        <w:t>ù</w:t>
      </w:r>
      <w:r w:rsidR="00EE7593" w:rsidRPr="002A26FA">
        <w:rPr>
          <w:b/>
        </w:rPr>
        <w:t> :</w:t>
      </w:r>
    </w:p>
    <w:p w:rsidR="00FD1E58" w:rsidRDefault="006F4911" w:rsidP="00FD1E58">
      <w:pPr>
        <w:pStyle w:val="SingleTxtG"/>
        <w:ind w:left="3005" w:hanging="567"/>
        <w:rPr>
          <w:b/>
        </w:rPr>
      </w:pPr>
      <w:r w:rsidRPr="002A26FA">
        <w:rPr>
          <w:b/>
        </w:rPr>
        <w:t>V1</w:t>
      </w:r>
      <w:r w:rsidRPr="002A26FA">
        <w:rPr>
          <w:b/>
        </w:rPr>
        <w:tab/>
        <w:t>est la valeur des émissions d’un polluant obtenue pendant le premier essai de type I</w:t>
      </w:r>
      <w:r w:rsidR="00EE7593" w:rsidRPr="002A26FA">
        <w:rPr>
          <w:b/>
        </w:rPr>
        <w:t> ;</w:t>
      </w:r>
    </w:p>
    <w:p w:rsidR="006F4911" w:rsidRPr="002A26FA" w:rsidRDefault="006F4911" w:rsidP="00FD1E58">
      <w:pPr>
        <w:pStyle w:val="SingleTxtG"/>
        <w:ind w:left="3005" w:hanging="567"/>
        <w:rPr>
          <w:b/>
        </w:rPr>
      </w:pPr>
      <w:r w:rsidRPr="002A26FA">
        <w:rPr>
          <w:b/>
        </w:rPr>
        <w:t>G</w:t>
      </w:r>
      <w:r w:rsidRPr="002A26FA">
        <w:rPr>
          <w:b/>
        </w:rPr>
        <w:tab/>
        <w:t>est la valeur limite des émissions d’un polluant (CO/HC/NO</w:t>
      </w:r>
      <w:r w:rsidRPr="00B65BE9">
        <w:rPr>
          <w:b/>
          <w:vertAlign w:val="subscript"/>
        </w:rPr>
        <w:t>x</w:t>
      </w:r>
      <w:r w:rsidRPr="002A26FA">
        <w:rPr>
          <w:b/>
        </w:rPr>
        <w:t>) d’après l’homologation de type du ou des véhicules, corrigée des facteurs de détérioration.</w:t>
      </w:r>
      <w:r w:rsidR="0088298D">
        <w:t> »</w:t>
      </w:r>
      <w:r w:rsidRPr="002A26FA">
        <w:t>.</w:t>
      </w:r>
    </w:p>
    <w:p w:rsidR="006F4911" w:rsidRPr="002A26FA" w:rsidRDefault="006F4911" w:rsidP="00974E22">
      <w:pPr>
        <w:pStyle w:val="SingleTxtG"/>
        <w:keepNext/>
      </w:pPr>
      <w:r w:rsidRPr="002A26FA">
        <w:rPr>
          <w:i/>
        </w:rPr>
        <w:t>Paragraphe 6.2.2.4.1.6</w:t>
      </w:r>
      <w:r w:rsidRPr="002A26FA">
        <w:t>,</w:t>
      </w:r>
      <w:r w:rsidRPr="002A26FA">
        <w:rPr>
          <w:i/>
        </w:rPr>
        <w:t xml:space="preserve"> </w:t>
      </w:r>
      <w:r w:rsidRPr="002A26FA">
        <w:t>lire</w:t>
      </w:r>
      <w:r w:rsidR="00EE7593" w:rsidRPr="002A26FA">
        <w:t> :</w:t>
      </w:r>
    </w:p>
    <w:p w:rsidR="006F4911" w:rsidRPr="002A26FA" w:rsidRDefault="0088298D" w:rsidP="00643F00">
      <w:pPr>
        <w:pStyle w:val="SingleTxtG"/>
        <w:ind w:left="2438" w:hanging="1304"/>
        <w:rPr>
          <w:color w:val="000000"/>
        </w:rPr>
      </w:pPr>
      <w:bookmarkStart w:id="4" w:name="_Hlk528314256"/>
      <w:r>
        <w:rPr>
          <w:color w:val="000000"/>
        </w:rPr>
        <w:t>« </w:t>
      </w:r>
      <w:r w:rsidR="006F4911" w:rsidRPr="002A26FA">
        <w:rPr>
          <w:color w:val="000000"/>
        </w:rPr>
        <w:t>6.2.2.4.1.6</w:t>
      </w:r>
      <w:bookmarkEnd w:id="4"/>
      <w:r w:rsidR="006F4911" w:rsidRPr="002A26FA">
        <w:rPr>
          <w:color w:val="000000"/>
        </w:rPr>
        <w:tab/>
      </w:r>
      <w:r w:rsidR="006F4911" w:rsidRPr="002A26FA">
        <w:rPr>
          <w:bCs/>
        </w:rPr>
        <w:t>Essai de mesure des émissions d’échappement en mode GNC</w:t>
      </w:r>
    </w:p>
    <w:p w:rsidR="006F4911" w:rsidRPr="002A26FA" w:rsidRDefault="006F4911" w:rsidP="009E5C33">
      <w:pPr>
        <w:pStyle w:val="SingleTxtG"/>
        <w:ind w:left="2438"/>
        <w:rPr>
          <w:color w:val="000000"/>
        </w:rPr>
      </w:pPr>
      <w:r w:rsidRPr="002A26FA">
        <w:rPr>
          <w:b/>
        </w:rPr>
        <w:t>Le cycle d’essai (NCEE ou WLTC) doit être choisi selon l’homologation de type initiale du véhicule</w:t>
      </w:r>
      <w:r w:rsidRPr="002A26FA">
        <w:t>.</w:t>
      </w:r>
      <w:r w:rsidRPr="002A26FA">
        <w:rPr>
          <w:color w:val="000000"/>
        </w:rPr>
        <w:t xml:space="preserve"> Le ou les véhicules de base équipés du système d’adaptation doivent être conformes aux valeurs limites définies lors de l’homologation de type du ou des véhicules d’origine, corrigées des facteurs de détérioration appliqués à cette occasion.</w:t>
      </w:r>
    </w:p>
    <w:p w:rsidR="006F4911" w:rsidRPr="002A26FA" w:rsidRDefault="006F4911" w:rsidP="009E5C33">
      <w:pPr>
        <w:pStyle w:val="SingleTxtG"/>
        <w:ind w:left="2438"/>
      </w:pPr>
      <w:r w:rsidRPr="002A26FA">
        <w:t xml:space="preserve">Si le ou les véhicules de base sont conformes soit au Règlement </w:t>
      </w:r>
      <w:r w:rsidRPr="002A26FA">
        <w:rPr>
          <w:b/>
        </w:rPr>
        <w:t xml:space="preserve">ONU </w:t>
      </w:r>
      <w:r w:rsidR="00BB7613">
        <w:rPr>
          <w:rFonts w:eastAsia="MS Mincho"/>
        </w:rPr>
        <w:t>n</w:t>
      </w:r>
      <w:r w:rsidR="00BB7613">
        <w:rPr>
          <w:rFonts w:eastAsia="MS Mincho"/>
          <w:vertAlign w:val="superscript"/>
        </w:rPr>
        <w:t>o</w:t>
      </w:r>
      <w:r w:rsidR="00BB7613">
        <w:t> </w:t>
      </w:r>
      <w:r w:rsidRPr="002A26FA">
        <w:t xml:space="preserve">83, série 05 d’amendements, soit à la Directive 98/69/CE, soit au Règlement </w:t>
      </w:r>
      <w:r w:rsidRPr="002A26FA">
        <w:rPr>
          <w:b/>
        </w:rPr>
        <w:t>ONU</w:t>
      </w:r>
      <w:r w:rsidRPr="002A26FA">
        <w:t xml:space="preserve"> </w:t>
      </w:r>
      <w:r w:rsidR="00BB7613">
        <w:rPr>
          <w:rFonts w:eastAsia="MS Mincho"/>
        </w:rPr>
        <w:t>n</w:t>
      </w:r>
      <w:r w:rsidR="00BB7613">
        <w:rPr>
          <w:rFonts w:eastAsia="MS Mincho"/>
          <w:vertAlign w:val="superscript"/>
        </w:rPr>
        <w:t>o</w:t>
      </w:r>
      <w:r w:rsidR="00BB7613">
        <w:t> </w:t>
      </w:r>
      <w:r w:rsidRPr="002A26FA">
        <w:t xml:space="preserve">49, série 04 d’amendements, ou encore à la Directive 1999/96/CE, le véhicule ne doit pas utiliser d’essence pendant plus de </w:t>
      </w:r>
      <w:r w:rsidR="00BB7613">
        <w:t>90 s</w:t>
      </w:r>
      <w:r w:rsidRPr="002A26FA">
        <w:t xml:space="preserve"> pendant chaque essai.</w:t>
      </w:r>
    </w:p>
    <w:p w:rsidR="006F4911" w:rsidRPr="002A26FA" w:rsidRDefault="006F4911" w:rsidP="009E5C33">
      <w:pPr>
        <w:pStyle w:val="SingleTxtG"/>
        <w:ind w:left="2438"/>
      </w:pPr>
      <w:r w:rsidRPr="002A26FA">
        <w:t xml:space="preserve">Pour les véhicules conformes </w:t>
      </w:r>
      <w:r w:rsidRPr="002A26FA">
        <w:rPr>
          <w:b/>
        </w:rPr>
        <w:t>au Règlement</w:t>
      </w:r>
      <w:r w:rsidRPr="002A26FA">
        <w:t xml:space="preserve"> </w:t>
      </w:r>
      <w:r w:rsidRPr="002A26FA">
        <w:rPr>
          <w:b/>
        </w:rPr>
        <w:t>ONU</w:t>
      </w:r>
      <w:r w:rsidRPr="002A26FA">
        <w:t xml:space="preserve"> </w:t>
      </w:r>
      <w:r w:rsidR="00BB7613" w:rsidRPr="00BB7613">
        <w:rPr>
          <w:rFonts w:eastAsia="MS Mincho"/>
          <w:b/>
        </w:rPr>
        <w:t>n</w:t>
      </w:r>
      <w:r w:rsidR="00BB7613" w:rsidRPr="00BB7613">
        <w:rPr>
          <w:rFonts w:eastAsia="MS Mincho"/>
          <w:b/>
          <w:vertAlign w:val="superscript"/>
        </w:rPr>
        <w:t>o</w:t>
      </w:r>
      <w:r w:rsidR="00BB7613">
        <w:rPr>
          <w:b/>
        </w:rPr>
        <w:t> </w:t>
      </w:r>
      <w:r w:rsidRPr="002A26FA">
        <w:rPr>
          <w:b/>
        </w:rPr>
        <w:t>83</w:t>
      </w:r>
      <w:r w:rsidRPr="002A26FA">
        <w:t xml:space="preserve"> </w:t>
      </w:r>
      <w:r w:rsidRPr="002A26FA">
        <w:rPr>
          <w:b/>
        </w:rPr>
        <w:t>jusqu’à la série</w:t>
      </w:r>
      <w:r w:rsidR="007C2744">
        <w:rPr>
          <w:b/>
        </w:rPr>
        <w:t> </w:t>
      </w:r>
      <w:r w:rsidRPr="002A26FA">
        <w:rPr>
          <w:b/>
        </w:rPr>
        <w:t>07 d’amendements</w:t>
      </w:r>
      <w:r w:rsidRPr="002A26FA">
        <w:t xml:space="preserve">, </w:t>
      </w:r>
      <w:r w:rsidRPr="002A26FA">
        <w:rPr>
          <w:b/>
          <w:bCs/>
        </w:rPr>
        <w:t xml:space="preserve">ou aux séries d’amendements </w:t>
      </w:r>
      <w:r w:rsidRPr="002A26FA">
        <w:rPr>
          <w:b/>
        </w:rPr>
        <w:t xml:space="preserve">05 ou suivantes au Règlement ONU </w:t>
      </w:r>
      <w:r w:rsidR="00BB7613" w:rsidRPr="00BB7613">
        <w:rPr>
          <w:rFonts w:eastAsia="MS Mincho"/>
          <w:b/>
        </w:rPr>
        <w:t>n</w:t>
      </w:r>
      <w:r w:rsidR="00BB7613" w:rsidRPr="00BB7613">
        <w:rPr>
          <w:rFonts w:eastAsia="MS Mincho"/>
          <w:b/>
          <w:vertAlign w:val="superscript"/>
        </w:rPr>
        <w:t>o</w:t>
      </w:r>
      <w:r w:rsidR="00BB7613">
        <w:rPr>
          <w:b/>
        </w:rPr>
        <w:t> </w:t>
      </w:r>
      <w:r w:rsidRPr="002A26FA">
        <w:rPr>
          <w:b/>
        </w:rPr>
        <w:t>49</w:t>
      </w:r>
      <w:r w:rsidRPr="002A26FA">
        <w:t>, cette période ne doit pas dépasser</w:t>
      </w:r>
      <w:r w:rsidR="00AB73B1" w:rsidRPr="002A26FA">
        <w:t xml:space="preserve"> </w:t>
      </w:r>
      <w:r w:rsidR="00BB7613">
        <w:t>60 s</w:t>
      </w:r>
      <w:r w:rsidRPr="002A26FA">
        <w:t>.</w:t>
      </w:r>
    </w:p>
    <w:p w:rsidR="006F4911" w:rsidRPr="002A26FA" w:rsidRDefault="006F4911" w:rsidP="009E5C33">
      <w:pPr>
        <w:pStyle w:val="SingleTxtG"/>
        <w:ind w:left="2438"/>
        <w:rPr>
          <w:color w:val="000000"/>
        </w:rPr>
      </w:pPr>
      <w:r w:rsidRPr="002A26FA">
        <w:rPr>
          <w:b/>
        </w:rPr>
        <w:lastRenderedPageBreak/>
        <w:t>Pour les véhicules homologués au titre du cycle WLTC, cette période doit être prédéterminée et ne doit pas être modifiée par le conducteur</w:t>
      </w:r>
      <w:r w:rsidRPr="002A26FA">
        <w:t>.</w:t>
      </w:r>
      <w:r w:rsidR="00BB234F">
        <w:t> »</w:t>
      </w:r>
      <w:r w:rsidRPr="002A26FA">
        <w:t>.</w:t>
      </w:r>
    </w:p>
    <w:p w:rsidR="006F4911" w:rsidRPr="002A26FA" w:rsidRDefault="006F4911" w:rsidP="00974E22">
      <w:pPr>
        <w:pStyle w:val="SingleTxtG"/>
        <w:keepNext/>
      </w:pPr>
      <w:r w:rsidRPr="002A26FA">
        <w:rPr>
          <w:i/>
        </w:rPr>
        <w:t>Paragraphe 6.2.2.4.1.6.2</w:t>
      </w:r>
      <w:r w:rsidRPr="002A26FA">
        <w:t>,</w:t>
      </w:r>
      <w:r w:rsidRPr="002A26FA">
        <w:rPr>
          <w:i/>
        </w:rPr>
        <w:t xml:space="preserve"> </w:t>
      </w:r>
      <w:r w:rsidRPr="002A26FA">
        <w:rPr>
          <w:iCs/>
        </w:rPr>
        <w:t>lire</w:t>
      </w:r>
      <w:r w:rsidR="00EE7593" w:rsidRPr="002A26FA">
        <w:rPr>
          <w:iCs/>
        </w:rPr>
        <w:t> :</w:t>
      </w:r>
    </w:p>
    <w:p w:rsidR="006F4911" w:rsidRPr="002A26FA" w:rsidRDefault="00BB234F" w:rsidP="00643F00">
      <w:pPr>
        <w:pStyle w:val="SingleTxtG"/>
        <w:ind w:left="2438" w:hanging="1304"/>
      </w:pPr>
      <w:bookmarkStart w:id="5" w:name="_Hlk528314267"/>
      <w:r>
        <w:t>« </w:t>
      </w:r>
      <w:r w:rsidR="006F4911" w:rsidRPr="002A26FA">
        <w:t>6.2.2.4.1.6.2</w:t>
      </w:r>
      <w:bookmarkEnd w:id="5"/>
      <w:r w:rsidR="006F4911" w:rsidRPr="002A26FA">
        <w:tab/>
        <w:t>Utilisation de l’essence</w:t>
      </w:r>
    </w:p>
    <w:p w:rsidR="006F4911" w:rsidRPr="002A26FA" w:rsidRDefault="006F4911" w:rsidP="009E5C33">
      <w:pPr>
        <w:pStyle w:val="SingleTxtG"/>
        <w:ind w:left="2438"/>
      </w:pPr>
      <w:r w:rsidRPr="002A26FA">
        <w:t>Si le véhicule de base est conforme au Règlement</w:t>
      </w:r>
      <w:r w:rsidRPr="007C2744">
        <w:t xml:space="preserve"> </w:t>
      </w:r>
      <w:r w:rsidR="00373EBC" w:rsidRPr="00373EBC">
        <w:rPr>
          <w:b/>
        </w:rPr>
        <w:t xml:space="preserve">ONU </w:t>
      </w:r>
      <w:r w:rsidR="00BB234F">
        <w:rPr>
          <w:rFonts w:eastAsia="MS Mincho"/>
        </w:rPr>
        <w:t>n</w:t>
      </w:r>
      <w:r w:rsidR="00BB234F">
        <w:rPr>
          <w:rFonts w:eastAsia="MS Mincho"/>
          <w:vertAlign w:val="superscript"/>
        </w:rPr>
        <w:t>o</w:t>
      </w:r>
      <w:r w:rsidR="00BB234F">
        <w:t> </w:t>
      </w:r>
      <w:r w:rsidRPr="002A26FA">
        <w:t>83, série</w:t>
      </w:r>
      <w:r w:rsidR="007C2744">
        <w:t> </w:t>
      </w:r>
      <w:r w:rsidRPr="002A26FA">
        <w:t xml:space="preserve">05 d’amendements, à la Directive 98/69/CE, au Règlement </w:t>
      </w:r>
      <w:r w:rsidR="007C2744" w:rsidRPr="00373EBC">
        <w:rPr>
          <w:b/>
        </w:rPr>
        <w:t>ONU</w:t>
      </w:r>
      <w:r w:rsidR="007C2744">
        <w:rPr>
          <w:rFonts w:eastAsia="MS Mincho"/>
        </w:rPr>
        <w:t xml:space="preserve"> </w:t>
      </w:r>
      <w:r w:rsidR="00BB234F">
        <w:rPr>
          <w:rFonts w:eastAsia="MS Mincho"/>
        </w:rPr>
        <w:t>n</w:t>
      </w:r>
      <w:r w:rsidR="00BB234F">
        <w:rPr>
          <w:rFonts w:eastAsia="MS Mincho"/>
          <w:vertAlign w:val="superscript"/>
        </w:rPr>
        <w:t>o</w:t>
      </w:r>
      <w:r w:rsidR="00BB234F">
        <w:t> </w:t>
      </w:r>
      <w:r w:rsidRPr="002A26FA">
        <w:t>49, série</w:t>
      </w:r>
      <w:r w:rsidR="007C2744">
        <w:t> </w:t>
      </w:r>
      <w:r w:rsidRPr="002A26FA">
        <w:t>04 d’amendements, ou encore à la Directive 1999/96/CE, il ne doit pas fonctionner à l’</w:t>
      </w:r>
      <w:r w:rsidR="00BB234F">
        <w:t>essence pendant plus de 90 </w:t>
      </w:r>
      <w:r w:rsidRPr="002A26FA">
        <w:t>s lors de chaque essai.</w:t>
      </w:r>
    </w:p>
    <w:p w:rsidR="006F4911" w:rsidRPr="00BB234F" w:rsidRDefault="006F4911" w:rsidP="009E5C33">
      <w:pPr>
        <w:pStyle w:val="SingleTxtG"/>
        <w:ind w:left="2438"/>
        <w:rPr>
          <w:b/>
        </w:rPr>
      </w:pPr>
      <w:r w:rsidRPr="002A26FA">
        <w:t xml:space="preserve">Pour les véhicules conformes </w:t>
      </w:r>
      <w:r w:rsidRPr="002A26FA">
        <w:rPr>
          <w:b/>
        </w:rPr>
        <w:t>au Règlement</w:t>
      </w:r>
      <w:r w:rsidRPr="002A26FA">
        <w:t xml:space="preserve"> </w:t>
      </w:r>
      <w:r w:rsidRPr="002A26FA">
        <w:rPr>
          <w:b/>
        </w:rPr>
        <w:t>ONU</w:t>
      </w:r>
      <w:r w:rsidRPr="002A26FA">
        <w:t xml:space="preserve"> </w:t>
      </w:r>
      <w:r w:rsidR="00BB234F" w:rsidRPr="00BB234F">
        <w:rPr>
          <w:rFonts w:eastAsia="MS Mincho"/>
          <w:b/>
        </w:rPr>
        <w:t>n</w:t>
      </w:r>
      <w:r w:rsidR="00BB234F" w:rsidRPr="00BB234F">
        <w:rPr>
          <w:rFonts w:eastAsia="MS Mincho"/>
          <w:b/>
          <w:vertAlign w:val="superscript"/>
        </w:rPr>
        <w:t>o</w:t>
      </w:r>
      <w:r w:rsidR="00BB234F" w:rsidRPr="00BB234F">
        <w:rPr>
          <w:b/>
        </w:rPr>
        <w:t> </w:t>
      </w:r>
      <w:r w:rsidRPr="002A26FA">
        <w:rPr>
          <w:b/>
        </w:rPr>
        <w:t>83</w:t>
      </w:r>
      <w:r w:rsidRPr="002A26FA">
        <w:t xml:space="preserve"> </w:t>
      </w:r>
      <w:r w:rsidRPr="002A26FA">
        <w:rPr>
          <w:b/>
        </w:rPr>
        <w:t>jusqu’à la série</w:t>
      </w:r>
      <w:r w:rsidR="007C2744">
        <w:rPr>
          <w:b/>
        </w:rPr>
        <w:t> </w:t>
      </w:r>
      <w:r w:rsidRPr="002A26FA">
        <w:rPr>
          <w:b/>
        </w:rPr>
        <w:t>07</w:t>
      </w:r>
      <w:r w:rsidR="007C2744">
        <w:rPr>
          <w:b/>
        </w:rPr>
        <w:t xml:space="preserve"> d’amendements</w:t>
      </w:r>
      <w:r w:rsidRPr="002A26FA">
        <w:t xml:space="preserve">, </w:t>
      </w:r>
      <w:r w:rsidRPr="002A26FA">
        <w:rPr>
          <w:b/>
          <w:bCs/>
        </w:rPr>
        <w:t xml:space="preserve">ou aux séries </w:t>
      </w:r>
      <w:r w:rsidRPr="002A26FA">
        <w:rPr>
          <w:b/>
        </w:rPr>
        <w:t xml:space="preserve">05 ou suivantes d’amendements au Règlement ONU </w:t>
      </w:r>
      <w:r w:rsidR="00BB234F" w:rsidRPr="00BB234F">
        <w:rPr>
          <w:rFonts w:eastAsia="MS Mincho"/>
          <w:b/>
        </w:rPr>
        <w:t>n</w:t>
      </w:r>
      <w:r w:rsidR="00BB234F" w:rsidRPr="00BB234F">
        <w:rPr>
          <w:rFonts w:eastAsia="MS Mincho"/>
          <w:b/>
          <w:vertAlign w:val="superscript"/>
        </w:rPr>
        <w:t>o</w:t>
      </w:r>
      <w:r w:rsidR="00BB234F" w:rsidRPr="00BB234F">
        <w:rPr>
          <w:b/>
        </w:rPr>
        <w:t> </w:t>
      </w:r>
      <w:r w:rsidRPr="002A26FA">
        <w:rPr>
          <w:b/>
        </w:rPr>
        <w:t>49</w:t>
      </w:r>
      <w:r w:rsidRPr="002A26FA">
        <w:t xml:space="preserve">, cette </w:t>
      </w:r>
      <w:r w:rsidR="000E29A1">
        <w:t>période ne doit pas dépasser 60 </w:t>
      </w:r>
      <w:r w:rsidRPr="002A26FA">
        <w:t>s.</w:t>
      </w:r>
    </w:p>
    <w:p w:rsidR="006F4911" w:rsidRPr="002A26FA" w:rsidRDefault="006F4911" w:rsidP="009E5C33">
      <w:pPr>
        <w:pStyle w:val="SingleTxtG"/>
        <w:ind w:left="2438"/>
        <w:rPr>
          <w:color w:val="000000"/>
        </w:rPr>
      </w:pPr>
      <w:r w:rsidRPr="002A26FA">
        <w:rPr>
          <w:b/>
          <w:color w:val="000000"/>
        </w:rPr>
        <w:t>Pour les véhicules homologués au titre du cycle WLTC, cette période doit être prédéterminée et ne doit pas être modifiée par le conducteur.</w:t>
      </w:r>
      <w:r w:rsidR="00BB234F">
        <w:rPr>
          <w:color w:val="000000"/>
        </w:rPr>
        <w:t> »</w:t>
      </w:r>
      <w:r w:rsidRPr="002A26FA">
        <w:rPr>
          <w:color w:val="000000"/>
        </w:rPr>
        <w:t>.</w:t>
      </w:r>
    </w:p>
    <w:p w:rsidR="006F4911" w:rsidRPr="002A26FA" w:rsidRDefault="006F4911" w:rsidP="00974E22">
      <w:pPr>
        <w:pStyle w:val="SingleTxtG"/>
        <w:keepNext/>
      </w:pPr>
      <w:r w:rsidRPr="002A26FA">
        <w:rPr>
          <w:i/>
        </w:rPr>
        <w:t>Paragraphe 6.2.2.4.1.7</w:t>
      </w:r>
      <w:r w:rsidRPr="002A26FA">
        <w:t>,</w:t>
      </w:r>
      <w:r w:rsidRPr="002A26FA">
        <w:rPr>
          <w:i/>
        </w:rPr>
        <w:t xml:space="preserve"> </w:t>
      </w:r>
      <w:r w:rsidRPr="002A26FA">
        <w:t>lire</w:t>
      </w:r>
      <w:r w:rsidR="00EE7593" w:rsidRPr="002A26FA">
        <w:t> :</w:t>
      </w:r>
    </w:p>
    <w:p w:rsidR="006F4911" w:rsidRPr="002A26FA" w:rsidRDefault="000E29A1" w:rsidP="00643F00">
      <w:pPr>
        <w:pStyle w:val="SingleTxtG"/>
        <w:ind w:left="2438" w:hanging="1304"/>
        <w:rPr>
          <w:b/>
          <w:color w:val="000000"/>
        </w:rPr>
      </w:pPr>
      <w:r>
        <w:rPr>
          <w:color w:val="000000"/>
        </w:rPr>
        <w:t>« </w:t>
      </w:r>
      <w:r w:rsidR="007E24A3">
        <w:rPr>
          <w:color w:val="000000"/>
        </w:rPr>
        <w:t>6.2.2.4.1.7</w:t>
      </w:r>
      <w:r w:rsidR="006F4911" w:rsidRPr="002A26FA">
        <w:rPr>
          <w:color w:val="000000"/>
        </w:rPr>
        <w:tab/>
      </w:r>
      <w:r w:rsidR="006F4911" w:rsidRPr="002A26FA">
        <w:rPr>
          <w:b/>
        </w:rPr>
        <w:t>Prescriptions spécifiques s’appliquant au cycle d’essai NCEE</w:t>
      </w:r>
    </w:p>
    <w:p w:rsidR="006F4911" w:rsidRPr="002A26FA" w:rsidRDefault="006F4911" w:rsidP="009E5C33">
      <w:pPr>
        <w:pStyle w:val="SingleTxtG"/>
        <w:ind w:left="2438"/>
        <w:rPr>
          <w:b/>
          <w:color w:val="000000"/>
        </w:rPr>
      </w:pPr>
      <w:r w:rsidRPr="002A26FA">
        <w:rPr>
          <w:b/>
          <w:color w:val="000000"/>
        </w:rPr>
        <w:t>Sous réserve des prescriptions du paragraphe 6.2.2.4.1.7.2 ci-dessous, l’essai doit être effectué trois fois avec chaque carburant</w:t>
      </w:r>
      <w:r w:rsidR="00AB73B1" w:rsidRPr="002A26FA">
        <w:rPr>
          <w:b/>
          <w:color w:val="000000"/>
        </w:rPr>
        <w:t xml:space="preserve"> </w:t>
      </w:r>
      <w:r w:rsidRPr="002A26FA">
        <w:rPr>
          <w:b/>
          <w:color w:val="000000"/>
        </w:rPr>
        <w:t>GNC de référence.</w:t>
      </w:r>
    </w:p>
    <w:p w:rsidR="006F4911" w:rsidRPr="002A26FA" w:rsidRDefault="006F4911" w:rsidP="00643F00">
      <w:pPr>
        <w:pStyle w:val="SingleTxtG"/>
        <w:ind w:left="2438" w:hanging="1304"/>
        <w:rPr>
          <w:color w:val="000000"/>
        </w:rPr>
      </w:pPr>
      <w:r w:rsidRPr="002A26FA">
        <w:rPr>
          <w:b/>
          <w:color w:val="000000"/>
        </w:rPr>
        <w:t>6.2.2.4.1.7.1</w:t>
      </w:r>
      <w:r w:rsidRPr="002A26FA">
        <w:rPr>
          <w:color w:val="000000"/>
        </w:rPr>
        <w:tab/>
        <w:t>Malgré les prescriptions du paragraphe 6.1.2.4.1.</w:t>
      </w:r>
      <w:r w:rsidRPr="002A26FA">
        <w:rPr>
          <w:b/>
          <w:color w:val="000000"/>
        </w:rPr>
        <w:t>7</w:t>
      </w:r>
      <w:r w:rsidRPr="002A26FA">
        <w:t xml:space="preserve"> plus haut, pour chaque polluant ou combinaison de polluants, un des trois résultats d’essai peut dépasser, au maximum de 10</w:t>
      </w:r>
      <w:r w:rsidR="000E29A1">
        <w:t> </w:t>
      </w:r>
      <w:r w:rsidRPr="002A26FA">
        <w:t>%, la limite prescrite, à condition que la moyenne arithmétique des trois résultats soit inférieure à celle-ci. Dans ce cas, les limites prescrites peuvent être dépassées par plus d’un polluant pendant le même essai ou pendant des essais différents</w:t>
      </w:r>
      <w:r w:rsidRPr="002A26FA">
        <w:rPr>
          <w:color w:val="000000"/>
        </w:rPr>
        <w:t>.</w:t>
      </w:r>
      <w:r w:rsidR="000E29A1">
        <w:rPr>
          <w:color w:val="000000"/>
        </w:rPr>
        <w:t> »</w:t>
      </w:r>
      <w:r w:rsidRPr="002A26FA">
        <w:rPr>
          <w:color w:val="000000"/>
        </w:rPr>
        <w:t>.</w:t>
      </w:r>
    </w:p>
    <w:p w:rsidR="006F4911" w:rsidRPr="002A26FA" w:rsidRDefault="006F4911" w:rsidP="00974E22">
      <w:pPr>
        <w:pStyle w:val="SingleTxtG"/>
        <w:keepNext/>
        <w:rPr>
          <w:i/>
        </w:rPr>
      </w:pPr>
      <w:r w:rsidRPr="002A26FA">
        <w:rPr>
          <w:i/>
        </w:rPr>
        <w:t>Le paragraphe 6.2.2</w:t>
      </w:r>
      <w:r w:rsidR="007E24A3">
        <w:rPr>
          <w:i/>
        </w:rPr>
        <w:t xml:space="preserve">.4.1.8 devient le </w:t>
      </w:r>
      <w:r w:rsidR="00DD3FC7">
        <w:rPr>
          <w:i/>
        </w:rPr>
        <w:t xml:space="preserve">paragraphe </w:t>
      </w:r>
      <w:r w:rsidR="007E24A3">
        <w:rPr>
          <w:i/>
        </w:rPr>
        <w:t>6.2.2.4.1.7.</w:t>
      </w:r>
      <w:r w:rsidR="00207D27">
        <w:rPr>
          <w:i/>
        </w:rPr>
        <w:t>2</w:t>
      </w:r>
      <w:r w:rsidRPr="002A26FA">
        <w:rPr>
          <w:i/>
        </w:rPr>
        <w:t xml:space="preserve"> </w:t>
      </w:r>
      <w:r w:rsidRPr="002A26FA">
        <w:t>et est modifié</w:t>
      </w:r>
      <w:r w:rsidRPr="002A26FA">
        <w:rPr>
          <w:i/>
        </w:rPr>
        <w:t xml:space="preserve"> </w:t>
      </w:r>
      <w:r w:rsidRPr="002A26FA">
        <w:rPr>
          <w:iCs/>
        </w:rPr>
        <w:t>comme suit</w:t>
      </w:r>
      <w:r w:rsidR="00EE7593" w:rsidRPr="002A26FA">
        <w:rPr>
          <w:iCs/>
        </w:rPr>
        <w:t> :</w:t>
      </w:r>
    </w:p>
    <w:p w:rsidR="006F4911" w:rsidRPr="002A26FA" w:rsidRDefault="000E29A1" w:rsidP="00643F00">
      <w:pPr>
        <w:pStyle w:val="SingleTxtG"/>
        <w:ind w:left="2438" w:hanging="1304"/>
      </w:pPr>
      <w:r>
        <w:rPr>
          <w:lang w:eastAsia="it-IT"/>
        </w:rPr>
        <w:t>« </w:t>
      </w:r>
      <w:r w:rsidR="006F4911" w:rsidRPr="002A26FA">
        <w:rPr>
          <w:lang w:eastAsia="it-IT"/>
        </w:rPr>
        <w:t>6.2.2.4.1.7.2 Le nombre d’essais d’émission prescrit au paragraphe 6.2.2.4.1.</w:t>
      </w:r>
      <w:r w:rsidR="006F4911" w:rsidRPr="002A26FA">
        <w:rPr>
          <w:b/>
          <w:lang w:eastAsia="it-IT"/>
        </w:rPr>
        <w:t>7</w:t>
      </w:r>
      <w:r w:rsidR="006F4911" w:rsidRPr="002A26FA">
        <w:rPr>
          <w:lang w:eastAsia="it-IT"/>
        </w:rPr>
        <w:t xml:space="preserve"> plus haut…</w:t>
      </w:r>
      <w:r>
        <w:rPr>
          <w:lang w:eastAsia="it-IT"/>
        </w:rPr>
        <w:t> »</w:t>
      </w:r>
      <w:r w:rsidR="006F4911" w:rsidRPr="002A26FA">
        <w:rPr>
          <w:lang w:eastAsia="it-IT"/>
        </w:rPr>
        <w:t>.</w:t>
      </w:r>
    </w:p>
    <w:p w:rsidR="006F4911" w:rsidRPr="002A26FA" w:rsidRDefault="006F4911" w:rsidP="00974E22">
      <w:pPr>
        <w:pStyle w:val="SingleTxtG"/>
        <w:keepNext/>
      </w:pPr>
      <w:r w:rsidRPr="002A26FA">
        <w:rPr>
          <w:i/>
        </w:rPr>
        <w:t xml:space="preserve">Ajouter les nouveaux paragraphes 6.2.2.4.1.8 et 6.2.2.4.1.8.1, </w:t>
      </w:r>
      <w:r w:rsidRPr="002A26FA">
        <w:rPr>
          <w:iCs/>
        </w:rPr>
        <w:t>comme suit</w:t>
      </w:r>
      <w:r w:rsidR="00EE7593" w:rsidRPr="002A26FA">
        <w:rPr>
          <w:iCs/>
        </w:rPr>
        <w:t> :</w:t>
      </w:r>
    </w:p>
    <w:p w:rsidR="006F4911" w:rsidRPr="002A26FA" w:rsidRDefault="000E29A1" w:rsidP="00643F00">
      <w:pPr>
        <w:pStyle w:val="SingleTxtG"/>
        <w:ind w:left="2438" w:hanging="1304"/>
        <w:rPr>
          <w:b/>
          <w:color w:val="000000"/>
        </w:rPr>
      </w:pPr>
      <w:r>
        <w:rPr>
          <w:color w:val="000000"/>
        </w:rPr>
        <w:t>« </w:t>
      </w:r>
      <w:r w:rsidR="006F4911" w:rsidRPr="002A26FA">
        <w:rPr>
          <w:b/>
          <w:color w:val="000000"/>
        </w:rPr>
        <w:t>6.2.2.4.1.8</w:t>
      </w:r>
      <w:r w:rsidR="006F4911" w:rsidRPr="002A26FA">
        <w:rPr>
          <w:b/>
          <w:color w:val="000000"/>
        </w:rPr>
        <w:tab/>
        <w:t>Prescriptions spécifiques s’appliquant au cycle d’essai WLTC</w:t>
      </w:r>
    </w:p>
    <w:p w:rsidR="006F4911" w:rsidRPr="002A26FA" w:rsidRDefault="006F4911" w:rsidP="009E5C33">
      <w:pPr>
        <w:pStyle w:val="SingleTxtG"/>
        <w:ind w:left="2438"/>
        <w:rPr>
          <w:b/>
          <w:color w:val="000000"/>
        </w:rPr>
      </w:pPr>
      <w:r w:rsidRPr="002A26FA">
        <w:rPr>
          <w:b/>
          <w:color w:val="000000"/>
        </w:rPr>
        <w:t>Sous réserve des prescriptions du paragraphe 6.2.2.4.1.8.1 ci-dessous, l’essai doit être effectué deux fois avec chaque carburant</w:t>
      </w:r>
      <w:r w:rsidR="00AB73B1" w:rsidRPr="002A26FA">
        <w:rPr>
          <w:b/>
          <w:color w:val="000000"/>
        </w:rPr>
        <w:t xml:space="preserve"> </w:t>
      </w:r>
      <w:r w:rsidRPr="002A26FA">
        <w:rPr>
          <w:b/>
          <w:color w:val="000000"/>
        </w:rPr>
        <w:t>GNC de référence.</w:t>
      </w:r>
    </w:p>
    <w:p w:rsidR="006F4911" w:rsidRPr="002A26FA" w:rsidRDefault="006F4911" w:rsidP="00643F00">
      <w:pPr>
        <w:pStyle w:val="SingleTxtG"/>
        <w:ind w:left="2438" w:hanging="1304"/>
        <w:rPr>
          <w:b/>
        </w:rPr>
      </w:pPr>
      <w:r w:rsidRPr="002A26FA">
        <w:rPr>
          <w:b/>
          <w:bCs/>
        </w:rPr>
        <w:t>6.2.2.4.1.8.1</w:t>
      </w:r>
      <w:r w:rsidRPr="002A26FA">
        <w:rPr>
          <w:b/>
          <w:bCs/>
        </w:rPr>
        <w:tab/>
      </w:r>
      <w:r w:rsidRPr="002A26FA">
        <w:rPr>
          <w:b/>
        </w:rPr>
        <w:t xml:space="preserve">Le nombre d’essais d’émission prescrit au paragraphe </w:t>
      </w:r>
      <w:r w:rsidRPr="002A26FA">
        <w:rPr>
          <w:b/>
          <w:lang w:eastAsia="it-IT"/>
        </w:rPr>
        <w:t>6.1.2.4.1.8</w:t>
      </w:r>
      <w:r w:rsidRPr="002A26FA">
        <w:rPr>
          <w:b/>
        </w:rPr>
        <w:t xml:space="preserve"> plus haut pour chaque carburant GNC de référence peut être réduit à un seul essai si la valeur obtenue pour chaque polluant ou pour la combinaison de deux polluants</w:t>
      </w:r>
      <w:r w:rsidR="00AB73B1" w:rsidRPr="002A26FA">
        <w:rPr>
          <w:b/>
        </w:rPr>
        <w:t xml:space="preserve"> </w:t>
      </w:r>
      <w:r w:rsidRPr="002A26FA">
        <w:rPr>
          <w:b/>
        </w:rPr>
        <w:t xml:space="preserve">réglementés </w:t>
      </w:r>
      <w:r w:rsidR="00685FDE">
        <w:rPr>
          <w:b/>
        </w:rPr>
        <w:t>est inférieure ou égale à 0,9 </w:t>
      </w:r>
      <w:r w:rsidRPr="002A26FA">
        <w:rPr>
          <w:b/>
        </w:rPr>
        <w:t>fois la valeur d’émission limite (par exemple M</w:t>
      </w:r>
      <w:r w:rsidRPr="002A26FA">
        <w:rPr>
          <w:b/>
          <w:vertAlign w:val="subscript"/>
        </w:rPr>
        <w:t>1</w:t>
      </w:r>
      <w:r w:rsidRPr="002A26FA">
        <w:rPr>
          <w:b/>
        </w:rPr>
        <w:t xml:space="preserve"> </w:t>
      </w:r>
      <w:r w:rsidRPr="002A26FA">
        <w:rPr>
          <w:b/>
        </w:rPr>
        <w:sym w:font="Symbol" w:char="F0A3"/>
      </w:r>
      <w:r w:rsidRPr="002A26FA">
        <w:rPr>
          <w:b/>
        </w:rPr>
        <w:t xml:space="preserve"> 0,90 G)</w:t>
      </w:r>
      <w:r w:rsidR="00EE7593" w:rsidRPr="002A26FA">
        <w:rPr>
          <w:b/>
        </w:rPr>
        <w:t> ;</w:t>
      </w:r>
    </w:p>
    <w:p w:rsidR="006F4911" w:rsidRPr="002A26FA" w:rsidRDefault="000E29A1" w:rsidP="009E5C33">
      <w:pPr>
        <w:pStyle w:val="SingleTxtG"/>
        <w:ind w:left="2438"/>
        <w:rPr>
          <w:b/>
        </w:rPr>
      </w:pPr>
      <w:r>
        <w:rPr>
          <w:b/>
        </w:rPr>
        <w:t>O</w:t>
      </w:r>
      <w:r w:rsidR="006F4911" w:rsidRPr="002A26FA">
        <w:rPr>
          <w:b/>
        </w:rPr>
        <w:t>ù</w:t>
      </w:r>
      <w:r w:rsidR="00EE7593" w:rsidRPr="002A26FA">
        <w:rPr>
          <w:b/>
        </w:rPr>
        <w:t> :</w:t>
      </w:r>
    </w:p>
    <w:p w:rsidR="006F4911" w:rsidRPr="002A26FA" w:rsidRDefault="006F4911" w:rsidP="00FD1E58">
      <w:pPr>
        <w:pStyle w:val="SingleTxtG"/>
        <w:ind w:left="3005" w:hanging="567"/>
        <w:rPr>
          <w:b/>
        </w:rPr>
      </w:pPr>
      <w:r w:rsidRPr="002A26FA">
        <w:rPr>
          <w:b/>
        </w:rPr>
        <w:t>M</w:t>
      </w:r>
      <w:r w:rsidRPr="002A26FA">
        <w:rPr>
          <w:b/>
          <w:vertAlign w:val="subscript"/>
        </w:rPr>
        <w:t>1</w:t>
      </w:r>
      <w:r w:rsidRPr="002A26FA">
        <w:rPr>
          <w:b/>
        </w:rPr>
        <w:tab/>
        <w:t>est la valeur des émissions d’un polluant obtenue lors du premier essai de type I</w:t>
      </w:r>
      <w:r w:rsidR="00EE7593" w:rsidRPr="002A26FA">
        <w:rPr>
          <w:b/>
        </w:rPr>
        <w:t> ;</w:t>
      </w:r>
    </w:p>
    <w:p w:rsidR="006F4911" w:rsidRPr="002A26FA" w:rsidRDefault="006F4911" w:rsidP="00FD1E58">
      <w:pPr>
        <w:pStyle w:val="SingleTxtG"/>
        <w:ind w:left="3005" w:hanging="567"/>
        <w:rPr>
          <w:b/>
        </w:rPr>
      </w:pPr>
      <w:r w:rsidRPr="002A26FA">
        <w:rPr>
          <w:b/>
        </w:rPr>
        <w:t>G</w:t>
      </w:r>
      <w:r w:rsidRPr="002A26FA">
        <w:rPr>
          <w:b/>
        </w:rPr>
        <w:tab/>
        <w:t>est la valeur limite des émissions d’un seul polluant (CO, HC ou NOx) ou de la somme de deux polluants (HC + NO</w:t>
      </w:r>
      <w:r w:rsidRPr="002A26FA">
        <w:rPr>
          <w:b/>
          <w:vertAlign w:val="subscript"/>
        </w:rPr>
        <w:t>x</w:t>
      </w:r>
      <w:r w:rsidRPr="002A26FA">
        <w:rPr>
          <w:b/>
        </w:rPr>
        <w:t>) fixée lors de l’homologation de type du ou des véhicules, corrigée des facteurs de détérioration.</w:t>
      </w:r>
      <w:r w:rsidR="00B51D8D">
        <w:t> »</w:t>
      </w:r>
      <w:r w:rsidRPr="002A26FA">
        <w:t>.</w:t>
      </w:r>
    </w:p>
    <w:p w:rsidR="006F4911" w:rsidRPr="002A26FA" w:rsidRDefault="006F4911" w:rsidP="00974E22">
      <w:pPr>
        <w:pStyle w:val="SingleTxtG"/>
        <w:keepNext/>
      </w:pPr>
      <w:r w:rsidRPr="002A26FA">
        <w:rPr>
          <w:i/>
        </w:rPr>
        <w:lastRenderedPageBreak/>
        <w:t>Paragraphe 6.2.2.4.3.1</w:t>
      </w:r>
      <w:r w:rsidRPr="002A26FA">
        <w:t>,</w:t>
      </w:r>
      <w:r w:rsidRPr="002A26FA">
        <w:rPr>
          <w:i/>
        </w:rPr>
        <w:t xml:space="preserve"> </w:t>
      </w:r>
      <w:r w:rsidRPr="002A26FA">
        <w:t>lire</w:t>
      </w:r>
      <w:r w:rsidR="00EE7593" w:rsidRPr="002A26FA">
        <w:t> :</w:t>
      </w:r>
    </w:p>
    <w:p w:rsidR="006F4911" w:rsidRPr="002A26FA" w:rsidRDefault="007370F3" w:rsidP="00643F00">
      <w:pPr>
        <w:pStyle w:val="SingleTxtG"/>
        <w:ind w:left="2438" w:hanging="1304"/>
      </w:pPr>
      <w:r>
        <w:t>« </w:t>
      </w:r>
      <w:r w:rsidR="006F4911" w:rsidRPr="002A26FA">
        <w:t>6.2.2.4.3</w:t>
      </w:r>
      <w:r w:rsidR="006F4911" w:rsidRPr="002A26FA">
        <w:rPr>
          <w:bCs/>
        </w:rPr>
        <w:t>.</w:t>
      </w:r>
      <w:r w:rsidR="006F4911" w:rsidRPr="002A26FA">
        <w:t>1</w:t>
      </w:r>
      <w:r w:rsidR="006F4911" w:rsidRPr="002A26FA">
        <w:tab/>
        <w:t>Les émissions de CO</w:t>
      </w:r>
      <w:r w:rsidR="006F4911" w:rsidRPr="002A26FA">
        <w:rPr>
          <w:vertAlign w:val="subscript"/>
        </w:rPr>
        <w:t>2</w:t>
      </w:r>
      <w:r w:rsidR="006F4911" w:rsidRPr="002A26FA">
        <w:t xml:space="preserve"> sont calculées conformément au Règlement </w:t>
      </w:r>
      <w:r w:rsidR="006F4911" w:rsidRPr="002A26FA">
        <w:rPr>
          <w:b/>
        </w:rPr>
        <w:t>ONU</w:t>
      </w:r>
      <w:r w:rsidR="006F4911" w:rsidRPr="002A26FA">
        <w:t xml:space="preserve"> </w:t>
      </w:r>
      <w:r>
        <w:rPr>
          <w:rFonts w:eastAsia="MS Mincho"/>
        </w:rPr>
        <w:t>n</w:t>
      </w:r>
      <w:r>
        <w:rPr>
          <w:rFonts w:eastAsia="MS Mincho"/>
          <w:vertAlign w:val="superscript"/>
        </w:rPr>
        <w:t>o</w:t>
      </w:r>
      <w:r>
        <w:t> </w:t>
      </w:r>
      <w:r w:rsidR="006F4911" w:rsidRPr="002A26FA">
        <w:t xml:space="preserve">101 </w:t>
      </w:r>
      <w:r w:rsidR="006F4911" w:rsidRPr="002A26FA">
        <w:rPr>
          <w:b/>
        </w:rPr>
        <w:t xml:space="preserve">ou au RTM ONU </w:t>
      </w:r>
      <w:r w:rsidRPr="007370F3">
        <w:rPr>
          <w:rFonts w:eastAsia="MS Mincho"/>
          <w:b/>
        </w:rPr>
        <w:t>n</w:t>
      </w:r>
      <w:r w:rsidRPr="007370F3">
        <w:rPr>
          <w:rFonts w:eastAsia="MS Mincho"/>
          <w:b/>
          <w:vertAlign w:val="superscript"/>
        </w:rPr>
        <w:t>o</w:t>
      </w:r>
      <w:r>
        <w:rPr>
          <w:b/>
        </w:rPr>
        <w:t> </w:t>
      </w:r>
      <w:r w:rsidR="006F4911" w:rsidRPr="002A26FA">
        <w:rPr>
          <w:b/>
        </w:rPr>
        <w:t xml:space="preserve">15, selon le cas, </w:t>
      </w:r>
      <w:r w:rsidR="006F4911" w:rsidRPr="002A26FA">
        <w:t>pour chaque véhicule de base, le cas échéant</w:t>
      </w:r>
      <w:r w:rsidR="006F4911" w:rsidRPr="002A26FA">
        <w:rPr>
          <w:iCs/>
        </w:rPr>
        <w:t>.</w:t>
      </w:r>
    </w:p>
    <w:p w:rsidR="006F4911" w:rsidRPr="002A26FA" w:rsidRDefault="006F4911" w:rsidP="009E5C33">
      <w:pPr>
        <w:pStyle w:val="SingleTxtG"/>
        <w:ind w:left="2438"/>
      </w:pPr>
      <w:r w:rsidRPr="002A26FA">
        <w:t>La valeur moyenne des émissions de CO</w:t>
      </w:r>
      <w:r w:rsidRPr="002A26FA">
        <w:rPr>
          <w:vertAlign w:val="subscript"/>
        </w:rPr>
        <w:t>2</w:t>
      </w:r>
      <w:r w:rsidRPr="002A26FA">
        <w:t xml:space="preserve"> se calcule comme suit</w:t>
      </w:r>
      <w:r w:rsidR="00EE7593" w:rsidRPr="002A26FA">
        <w:t> :</w:t>
      </w:r>
    </w:p>
    <w:p w:rsidR="006F4911" w:rsidRPr="002A26FA" w:rsidRDefault="007370F3" w:rsidP="009E5C33">
      <w:pPr>
        <w:pStyle w:val="SingleTxtG"/>
        <w:ind w:left="2438"/>
      </w:pPr>
      <w:r>
        <w:t>… »</w:t>
      </w:r>
      <w:r w:rsidR="006F4911" w:rsidRPr="002A26FA">
        <w:t>.</w:t>
      </w:r>
    </w:p>
    <w:p w:rsidR="006F4911" w:rsidRPr="002A26FA" w:rsidRDefault="006F4911" w:rsidP="00974E22">
      <w:pPr>
        <w:pStyle w:val="SingleTxtG"/>
        <w:keepNext/>
        <w:rPr>
          <w:i/>
        </w:rPr>
      </w:pPr>
      <w:r w:rsidRPr="002A26FA">
        <w:rPr>
          <w:i/>
        </w:rPr>
        <w:t xml:space="preserve">Annexe </w:t>
      </w:r>
      <w:r w:rsidR="00B51D8D">
        <w:rPr>
          <w:i/>
        </w:rPr>
        <w:t>2</w:t>
      </w:r>
      <w:r w:rsidRPr="002A26FA">
        <w:rPr>
          <w:i/>
        </w:rPr>
        <w:t xml:space="preserve">A </w:t>
      </w:r>
    </w:p>
    <w:p w:rsidR="006F4911" w:rsidRPr="002A26FA" w:rsidRDefault="006F4911" w:rsidP="00974E22">
      <w:pPr>
        <w:pStyle w:val="SingleTxtG"/>
        <w:keepNext/>
      </w:pPr>
      <w:r w:rsidRPr="002A26FA">
        <w:rPr>
          <w:i/>
        </w:rPr>
        <w:t>Paragraphe 2</w:t>
      </w:r>
      <w:r w:rsidRPr="002A26FA">
        <w:t>,</w:t>
      </w:r>
      <w:r w:rsidRPr="002A26FA">
        <w:rPr>
          <w:i/>
        </w:rPr>
        <w:t xml:space="preserve"> </w:t>
      </w:r>
      <w:r w:rsidRPr="002A26FA">
        <w:t>lire</w:t>
      </w:r>
      <w:r w:rsidR="00EE7593" w:rsidRPr="002A26FA">
        <w:t> :</w:t>
      </w:r>
    </w:p>
    <w:p w:rsidR="006F4911" w:rsidRPr="002A26FA" w:rsidRDefault="009E5C33" w:rsidP="00643F00">
      <w:pPr>
        <w:pStyle w:val="SingleTxtG"/>
        <w:ind w:left="2438" w:hanging="1304"/>
      </w:pPr>
      <w:r>
        <w:t>« </w:t>
      </w:r>
      <w:r w:rsidR="006F4911" w:rsidRPr="002A26FA">
        <w:t>2.</w:t>
      </w:r>
      <w:r w:rsidR="006F4911" w:rsidRPr="002A26FA">
        <w:tab/>
        <w:t>Calcul du ratio de consommation de GPL</w:t>
      </w:r>
    </w:p>
    <w:p w:rsidR="006F4911" w:rsidRPr="002A26FA" w:rsidRDefault="00D8674D" w:rsidP="009E5C33">
      <w:pPr>
        <w:pStyle w:val="SingleTxtG"/>
        <w:ind w:left="2438"/>
      </w:pPr>
      <w:r>
        <w:t>…</w:t>
      </w:r>
    </w:p>
    <w:p w:rsidR="006F4911" w:rsidRPr="002A26FA" w:rsidRDefault="006F4911" w:rsidP="00D8674D">
      <w:pPr>
        <w:pStyle w:val="SingleTxtG"/>
        <w:ind w:left="3289" w:hanging="851"/>
      </w:pPr>
      <w:r w:rsidRPr="002A26FA">
        <w:t>FC</w:t>
      </w:r>
      <w:r w:rsidRPr="002A26FA">
        <w:rPr>
          <w:vertAlign w:val="subscript"/>
        </w:rPr>
        <w:t>norm</w:t>
      </w:r>
      <w:r w:rsidR="00EE7593" w:rsidRPr="002A26FA">
        <w:t> :</w:t>
      </w:r>
      <w:r w:rsidRPr="002A26FA">
        <w:tab/>
        <w:t xml:space="preserve">est la consommation de carburant (l/100 km) calculée conformément aux dispositions du paragraphe 1.4.3 b) de l’annexe 6 du Règlement </w:t>
      </w:r>
      <w:r w:rsidRPr="002A26FA">
        <w:rPr>
          <w:b/>
        </w:rPr>
        <w:t>ONU</w:t>
      </w:r>
      <w:r w:rsidRPr="002A26FA">
        <w:t xml:space="preserve"> </w:t>
      </w:r>
      <w:r w:rsidR="00D8674D">
        <w:rPr>
          <w:rFonts w:eastAsia="MS Mincho"/>
        </w:rPr>
        <w:t>n</w:t>
      </w:r>
      <w:r w:rsidR="00D8674D">
        <w:rPr>
          <w:rFonts w:eastAsia="MS Mincho"/>
          <w:vertAlign w:val="superscript"/>
        </w:rPr>
        <w:t>o</w:t>
      </w:r>
      <w:r w:rsidR="00D8674D">
        <w:t> </w:t>
      </w:r>
      <w:r w:rsidRPr="002A26FA">
        <w:t xml:space="preserve">101 </w:t>
      </w:r>
      <w:r w:rsidRPr="002A26FA">
        <w:rPr>
          <w:b/>
        </w:rPr>
        <w:t xml:space="preserve">ou du paragraphe 6 de l’annexe 7 du RTM ONU </w:t>
      </w:r>
      <w:r w:rsidR="00D8674D" w:rsidRPr="00D8674D">
        <w:rPr>
          <w:rFonts w:eastAsia="MS Mincho"/>
          <w:b/>
        </w:rPr>
        <w:t>n</w:t>
      </w:r>
      <w:r w:rsidR="00D8674D" w:rsidRPr="00D8674D">
        <w:rPr>
          <w:rFonts w:eastAsia="MS Mincho"/>
          <w:b/>
          <w:vertAlign w:val="superscript"/>
        </w:rPr>
        <w:t>o</w:t>
      </w:r>
      <w:r w:rsidR="00D8674D">
        <w:rPr>
          <w:b/>
        </w:rPr>
        <w:t> </w:t>
      </w:r>
      <w:r w:rsidRPr="002A26FA">
        <w:rPr>
          <w:b/>
        </w:rPr>
        <w:t>15, selon le cas</w:t>
      </w:r>
      <w:r w:rsidRPr="002A26FA">
        <w:t>. Le cas échéant, on calcule le facteur de correction cf qui figure dans l’équation servant à calculer FC</w:t>
      </w:r>
      <w:r w:rsidRPr="002A26FA">
        <w:rPr>
          <w:vertAlign w:val="subscript"/>
        </w:rPr>
        <w:t>norm</w:t>
      </w:r>
      <w:r w:rsidRPr="002A26FA">
        <w:t xml:space="preserve"> en utilisant le rapport H/C du carburant gazeux</w:t>
      </w:r>
      <w:r w:rsidR="00EE7593" w:rsidRPr="002A26FA">
        <w:t> ;</w:t>
      </w:r>
    </w:p>
    <w:p w:rsidR="006F4911" w:rsidRPr="002A26FA" w:rsidRDefault="00D8674D" w:rsidP="009E5C33">
      <w:pPr>
        <w:pStyle w:val="SingleTxtG"/>
        <w:ind w:left="2438"/>
        <w:rPr>
          <w:b/>
        </w:rPr>
      </w:pPr>
      <w:r>
        <w:t>… »</w:t>
      </w:r>
      <w:r w:rsidR="006F4911" w:rsidRPr="002A26FA">
        <w:t>.</w:t>
      </w:r>
    </w:p>
    <w:p w:rsidR="006F4911" w:rsidRPr="002A26FA" w:rsidRDefault="006F4911" w:rsidP="00D8674D">
      <w:pPr>
        <w:pStyle w:val="SingleTxtG"/>
        <w:keepNext/>
        <w:rPr>
          <w:i/>
        </w:rPr>
      </w:pPr>
      <w:r w:rsidRPr="002A26FA">
        <w:rPr>
          <w:i/>
        </w:rPr>
        <w:t xml:space="preserve">Annexe </w:t>
      </w:r>
      <w:r w:rsidR="00B51D8D">
        <w:rPr>
          <w:i/>
        </w:rPr>
        <w:t>2</w:t>
      </w:r>
      <w:r w:rsidRPr="002A26FA">
        <w:rPr>
          <w:i/>
        </w:rPr>
        <w:t>B</w:t>
      </w:r>
    </w:p>
    <w:p w:rsidR="006F4911" w:rsidRPr="002A26FA" w:rsidRDefault="006F4911" w:rsidP="00D8674D">
      <w:pPr>
        <w:pStyle w:val="SingleTxtG"/>
        <w:keepNext/>
      </w:pPr>
      <w:r w:rsidRPr="002A26FA">
        <w:rPr>
          <w:i/>
        </w:rPr>
        <w:t>Paragraphe 2</w:t>
      </w:r>
      <w:r w:rsidRPr="002A26FA">
        <w:t>,</w:t>
      </w:r>
      <w:r w:rsidRPr="002A26FA">
        <w:rPr>
          <w:i/>
        </w:rPr>
        <w:t xml:space="preserve"> </w:t>
      </w:r>
      <w:r w:rsidRPr="002A26FA">
        <w:t>lire</w:t>
      </w:r>
      <w:r w:rsidR="00EE7593" w:rsidRPr="002A26FA">
        <w:t> :</w:t>
      </w:r>
    </w:p>
    <w:p w:rsidR="006F4911" w:rsidRPr="002A26FA" w:rsidRDefault="00D8674D" w:rsidP="00643F00">
      <w:pPr>
        <w:pStyle w:val="SingleTxtG"/>
        <w:ind w:left="2438" w:hanging="1304"/>
      </w:pPr>
      <w:r>
        <w:t>« </w:t>
      </w:r>
      <w:r w:rsidR="006F4911" w:rsidRPr="002A26FA">
        <w:t>2.</w:t>
      </w:r>
      <w:r w:rsidR="006F4911" w:rsidRPr="002A26FA">
        <w:tab/>
        <w:t>Calcul du ratio de consommation de GNC</w:t>
      </w:r>
    </w:p>
    <w:p w:rsidR="006F4911" w:rsidRPr="002A26FA" w:rsidRDefault="00D8674D" w:rsidP="009E5C33">
      <w:pPr>
        <w:pStyle w:val="SingleTxtG"/>
        <w:ind w:left="2438"/>
      </w:pPr>
      <w:r>
        <w:t>…</w:t>
      </w:r>
    </w:p>
    <w:p w:rsidR="006F4911" w:rsidRPr="002A26FA" w:rsidRDefault="006F4911" w:rsidP="00D8674D">
      <w:pPr>
        <w:pStyle w:val="SingleTxtG"/>
        <w:ind w:left="3289" w:hanging="851"/>
      </w:pPr>
      <w:r w:rsidRPr="002A26FA">
        <w:t>FC</w:t>
      </w:r>
      <w:r w:rsidRPr="002A26FA">
        <w:rPr>
          <w:vertAlign w:val="subscript"/>
        </w:rPr>
        <w:t>norm</w:t>
      </w:r>
      <w:r w:rsidR="00EE7593" w:rsidRPr="002A26FA">
        <w:t> :</w:t>
      </w:r>
      <w:r w:rsidRPr="002A26FA">
        <w:tab/>
        <w:t>est la consommation de carburant (m</w:t>
      </w:r>
      <w:r w:rsidRPr="00B51D8D">
        <w:rPr>
          <w:vertAlign w:val="superscript"/>
        </w:rPr>
        <w:t>3</w:t>
      </w:r>
      <w:r w:rsidRPr="002A26FA">
        <w:t xml:space="preserve">/100 km) calculée conformément aux dispositions du paragraphe 1.4.3 c) de l’annexe 6 du Règlement </w:t>
      </w:r>
      <w:r w:rsidRPr="002A26FA">
        <w:rPr>
          <w:b/>
        </w:rPr>
        <w:t>ONU</w:t>
      </w:r>
      <w:r w:rsidRPr="002A26FA">
        <w:t xml:space="preserve"> </w:t>
      </w:r>
      <w:r w:rsidR="00B51D8D">
        <w:rPr>
          <w:rFonts w:eastAsia="MS Mincho"/>
        </w:rPr>
        <w:t>n</w:t>
      </w:r>
      <w:r w:rsidR="00B51D8D">
        <w:rPr>
          <w:rFonts w:eastAsia="MS Mincho"/>
          <w:vertAlign w:val="superscript"/>
        </w:rPr>
        <w:t>o</w:t>
      </w:r>
      <w:r w:rsidR="00B51D8D">
        <w:t> </w:t>
      </w:r>
      <w:r w:rsidRPr="002A26FA">
        <w:t>101</w:t>
      </w:r>
      <w:r w:rsidRPr="002A26FA">
        <w:rPr>
          <w:b/>
        </w:rPr>
        <w:t xml:space="preserve"> ou du paragraphe 6 de l’annexe 7 du RTM ONU </w:t>
      </w:r>
      <w:r w:rsidR="00700EF0" w:rsidRPr="00700EF0">
        <w:rPr>
          <w:rFonts w:eastAsia="MS Mincho"/>
          <w:b/>
        </w:rPr>
        <w:t>n</w:t>
      </w:r>
      <w:r w:rsidR="00700EF0" w:rsidRPr="00700EF0">
        <w:rPr>
          <w:rFonts w:eastAsia="MS Mincho"/>
          <w:b/>
          <w:vertAlign w:val="superscript"/>
        </w:rPr>
        <w:t>o</w:t>
      </w:r>
      <w:r w:rsidR="00700EF0">
        <w:rPr>
          <w:b/>
        </w:rPr>
        <w:t> </w:t>
      </w:r>
      <w:r w:rsidRPr="002A26FA">
        <w:rPr>
          <w:b/>
        </w:rPr>
        <w:t>15, selon le cas</w:t>
      </w:r>
      <w:r w:rsidR="00EE7593" w:rsidRPr="002A26FA">
        <w:t> ;</w:t>
      </w:r>
    </w:p>
    <w:p w:rsidR="006F4911" w:rsidRPr="002A26FA" w:rsidRDefault="00D8674D" w:rsidP="009E5C33">
      <w:pPr>
        <w:pStyle w:val="SingleTxtG"/>
        <w:ind w:left="2438"/>
        <w:rPr>
          <w:b/>
        </w:rPr>
      </w:pPr>
      <w:r>
        <w:t>…</w:t>
      </w:r>
      <w:r w:rsidR="009E5C33">
        <w:t> »</w:t>
      </w:r>
      <w:r w:rsidR="006F4911" w:rsidRPr="002A26FA">
        <w:t>.</w:t>
      </w:r>
    </w:p>
    <w:p w:rsidR="006F4911" w:rsidRPr="002A26FA" w:rsidRDefault="00D333B0" w:rsidP="00D333B0">
      <w:pPr>
        <w:pStyle w:val="HChG"/>
      </w:pPr>
      <w:r w:rsidRPr="002A26FA">
        <w:tab/>
      </w:r>
      <w:r w:rsidR="006F4911" w:rsidRPr="002A26FA">
        <w:t>II.</w:t>
      </w:r>
      <w:r w:rsidR="006F4911" w:rsidRPr="002A26FA">
        <w:tab/>
        <w:t>Justification</w:t>
      </w:r>
    </w:p>
    <w:p w:rsidR="006F4911" w:rsidRPr="002A26FA" w:rsidRDefault="006F4911" w:rsidP="00D333B0">
      <w:pPr>
        <w:pStyle w:val="SingleTxtG"/>
      </w:pPr>
      <w:r w:rsidRPr="002A26FA">
        <w:t>1.</w:t>
      </w:r>
      <w:r w:rsidRPr="002A26FA">
        <w:tab/>
        <w:t xml:space="preserve">La présente proposition modifie le Règlement ONU </w:t>
      </w:r>
      <w:r w:rsidR="00D333B0" w:rsidRPr="002A26FA">
        <w:rPr>
          <w:rFonts w:eastAsia="MS Mincho"/>
        </w:rPr>
        <w:t>n</w:t>
      </w:r>
      <w:r w:rsidR="00D333B0" w:rsidRPr="002A26FA">
        <w:rPr>
          <w:rFonts w:eastAsia="MS Mincho"/>
          <w:vertAlign w:val="superscript"/>
        </w:rPr>
        <w:t>o</w:t>
      </w:r>
      <w:r w:rsidR="00D333B0" w:rsidRPr="002A26FA">
        <w:t> </w:t>
      </w:r>
      <w:r w:rsidRPr="002A26FA">
        <w:t xml:space="preserve">115 en introduisant les dispositions relatives à l’homologation de type des systèmes d’adaptation pour les véhicules initialement soumis à essai dans le cadre du cycle d’essai WLTC conformément au </w:t>
      </w:r>
      <w:r w:rsidRPr="002A26FA">
        <w:rPr>
          <w:b/>
        </w:rPr>
        <w:t xml:space="preserve">RTM ONU </w:t>
      </w:r>
      <w:r w:rsidR="00AD522F" w:rsidRPr="002A26FA">
        <w:rPr>
          <w:rFonts w:eastAsia="MS Mincho"/>
          <w:b/>
        </w:rPr>
        <w:t>n</w:t>
      </w:r>
      <w:r w:rsidR="00AD522F" w:rsidRPr="002A26FA">
        <w:rPr>
          <w:rFonts w:eastAsia="MS Mincho"/>
          <w:b/>
          <w:vertAlign w:val="superscript"/>
        </w:rPr>
        <w:t>o</w:t>
      </w:r>
      <w:r w:rsidR="00AD522F" w:rsidRPr="002A26FA">
        <w:rPr>
          <w:b/>
        </w:rPr>
        <w:t> </w:t>
      </w:r>
      <w:r w:rsidRPr="002A26FA">
        <w:rPr>
          <w:b/>
        </w:rPr>
        <w:t>15</w:t>
      </w:r>
      <w:r w:rsidRPr="002A26FA">
        <w:t>.</w:t>
      </w:r>
    </w:p>
    <w:p w:rsidR="006F4911" w:rsidRPr="002A26FA" w:rsidRDefault="006F4911" w:rsidP="00D333B0">
      <w:pPr>
        <w:pStyle w:val="SingleTxtG"/>
      </w:pPr>
      <w:r w:rsidRPr="002A26FA">
        <w:t>2.</w:t>
      </w:r>
      <w:r w:rsidRPr="002A26FA">
        <w:tab/>
        <w:t>Le texte ci-dessus reprend les dispositions relatives aux systèmes d’adaptation au GPL et aux systèmes d’adaptation au GNC.</w:t>
      </w:r>
    </w:p>
    <w:p w:rsidR="006F4911" w:rsidRPr="002A26FA" w:rsidRDefault="006F4911" w:rsidP="00D333B0">
      <w:pPr>
        <w:pStyle w:val="SingleTxtG"/>
      </w:pPr>
      <w:r w:rsidRPr="002A26FA">
        <w:t>3.</w:t>
      </w:r>
      <w:r w:rsidRPr="002A26FA">
        <w:tab/>
        <w:t>Pour améliorer la lisibilité du texte, on</w:t>
      </w:r>
      <w:r w:rsidR="00AB73B1" w:rsidRPr="002A26FA">
        <w:t xml:space="preserve"> </w:t>
      </w:r>
      <w:r w:rsidRPr="002A26FA">
        <w:t xml:space="preserve">a inclus dans la présente proposition une définition des cycles d’essai NCEE et WLTC (voir par. 2.8 et 2.9). Les dispositions du Règlement ONU </w:t>
      </w:r>
      <w:r w:rsidR="00AD522F" w:rsidRPr="002A26FA">
        <w:rPr>
          <w:rFonts w:eastAsia="MS Mincho"/>
        </w:rPr>
        <w:t>n</w:t>
      </w:r>
      <w:r w:rsidR="00AD522F" w:rsidRPr="002A26FA">
        <w:rPr>
          <w:rFonts w:eastAsia="MS Mincho"/>
          <w:vertAlign w:val="superscript"/>
        </w:rPr>
        <w:t>o</w:t>
      </w:r>
      <w:r w:rsidR="00AD522F" w:rsidRPr="002A26FA">
        <w:t> </w:t>
      </w:r>
      <w:r w:rsidRPr="002A26FA">
        <w:t>115 antérieures au présent amendement concernent les véhicules homologués au titre du cycle d’essai NCEE, alors que les nouvelles dispositions</w:t>
      </w:r>
      <w:r w:rsidR="00AB73B1" w:rsidRPr="002A26FA">
        <w:t xml:space="preserve"> </w:t>
      </w:r>
      <w:r w:rsidRPr="002A26FA">
        <w:t>énoncées dans le présent amendement concernent les véhicules homologués au titre du cycle d’essai WLTC.</w:t>
      </w:r>
    </w:p>
    <w:p w:rsidR="006F4911" w:rsidRPr="002A26FA" w:rsidRDefault="006F4911" w:rsidP="00D333B0">
      <w:pPr>
        <w:pStyle w:val="SingleTxtG"/>
      </w:pPr>
      <w:r w:rsidRPr="002A26FA">
        <w:t>4.</w:t>
      </w:r>
      <w:r w:rsidRPr="002A26FA">
        <w:tab/>
        <w:t>Le principe général, qui a été débattu lors des soixante-seizième et soixante</w:t>
      </w:r>
      <w:r w:rsidR="00700EF0">
        <w:noBreakHyphen/>
      </w:r>
      <w:r w:rsidRPr="002A26FA">
        <w:t>dix</w:t>
      </w:r>
      <w:r w:rsidR="00700EF0">
        <w:noBreakHyphen/>
      </w:r>
      <w:r w:rsidRPr="002A26FA">
        <w:t>septième sessions du GRPE, est que le véhicule tel que modifié devrait se conformer à toutes les dispositions du Règlement au titre duquel l’homologation de type a été initialement accordée. Le présent amendement ne fait donc que reprendre les paragraphes relatifs au cycle d’essai de type I, en y insérant des dispositions relatives au cycle d’essai NCEE tout comme au cycle d’essai WLTC. Le cycle d’essai (NCEE ou WLTC) doit être choisi en fonction de l’homologation de type</w:t>
      </w:r>
      <w:r w:rsidR="00AB73B1" w:rsidRPr="002A26FA">
        <w:t xml:space="preserve"> </w:t>
      </w:r>
      <w:r w:rsidRPr="002A26FA">
        <w:t>initiale du véhicule.</w:t>
      </w:r>
    </w:p>
    <w:p w:rsidR="006F4911" w:rsidRPr="002A26FA" w:rsidRDefault="006F4911" w:rsidP="00D333B0">
      <w:pPr>
        <w:pStyle w:val="SingleTxtG"/>
      </w:pPr>
      <w:r w:rsidRPr="002A26FA">
        <w:lastRenderedPageBreak/>
        <w:t>5.</w:t>
      </w:r>
      <w:r w:rsidRPr="002A26FA">
        <w:tab/>
        <w:t xml:space="preserve">Le présent amendement renvoie à la procédure d’essai du cycle d’essai WLTC, telle que définie dans le </w:t>
      </w:r>
      <w:r w:rsidRPr="00D40BD3">
        <w:rPr>
          <w:b/>
        </w:rPr>
        <w:t xml:space="preserve">RTM ONU </w:t>
      </w:r>
      <w:r w:rsidR="00AD522F" w:rsidRPr="00D40BD3">
        <w:rPr>
          <w:rFonts w:eastAsia="MS Mincho"/>
          <w:b/>
        </w:rPr>
        <w:t>n</w:t>
      </w:r>
      <w:r w:rsidR="00AD522F" w:rsidRPr="00D40BD3">
        <w:rPr>
          <w:rFonts w:eastAsia="MS Mincho"/>
          <w:b/>
          <w:vertAlign w:val="superscript"/>
        </w:rPr>
        <w:t>o</w:t>
      </w:r>
      <w:r w:rsidR="00AD522F" w:rsidRPr="00D40BD3">
        <w:rPr>
          <w:b/>
        </w:rPr>
        <w:t> </w:t>
      </w:r>
      <w:r w:rsidRPr="00D40BD3">
        <w:rPr>
          <w:b/>
        </w:rPr>
        <w:t>15</w:t>
      </w:r>
      <w:r w:rsidRPr="002A26FA">
        <w:t>, légèrement modifiée pour correspondre aux systèmes d’adaptation. Le texte de l’amendement renvoie donc au Règlement susmentionné, selon le</w:t>
      </w:r>
      <w:r w:rsidR="00AD522F" w:rsidRPr="002A26FA">
        <w:t> </w:t>
      </w:r>
      <w:r w:rsidRPr="002A26FA">
        <w:t xml:space="preserve">cas. </w:t>
      </w:r>
    </w:p>
    <w:p w:rsidR="006F4911" w:rsidRPr="002A26FA" w:rsidRDefault="006F4911" w:rsidP="00D333B0">
      <w:pPr>
        <w:pStyle w:val="SingleTxtG"/>
      </w:pPr>
      <w:r w:rsidRPr="002A26FA">
        <w:t>6.</w:t>
      </w:r>
      <w:r w:rsidRPr="002A26FA">
        <w:tab/>
        <w:t>Aucune modification n’est apportée à la procédure d’essai pour les véhicules NCEE.</w:t>
      </w:r>
    </w:p>
    <w:p w:rsidR="006F4911" w:rsidRPr="002A26FA" w:rsidRDefault="006F4911" w:rsidP="00D333B0">
      <w:pPr>
        <w:pStyle w:val="SingleTxtG"/>
      </w:pPr>
      <w:r w:rsidRPr="002A26FA">
        <w:t>7.</w:t>
      </w:r>
      <w:r w:rsidRPr="002A26FA">
        <w:tab/>
        <w:t>La seule adaptation concernant la procédure d’essai WLTC porte sur le nombre de répétitions. Un seul essai est requis si, pour chaque polluant, la valeur mesurée est inférieure à 90 % de la limite applicable. Deux essais sont requis dans tous les autres cas, ce qui s’explique par le fait que les émissions de CO</w:t>
      </w:r>
      <w:r w:rsidRPr="002A26FA">
        <w:rPr>
          <w:vertAlign w:val="subscript"/>
        </w:rPr>
        <w:t>2</w:t>
      </w:r>
      <w:r w:rsidRPr="002A26FA">
        <w:t xml:space="preserve"> du GPL et du GNC sont inférieures de 8 à 20</w:t>
      </w:r>
      <w:r w:rsidR="00AD522F" w:rsidRPr="002A26FA">
        <w:t> </w:t>
      </w:r>
      <w:r w:rsidRPr="002A26FA">
        <w:t>% à celles de l’essence, et</w:t>
      </w:r>
      <w:r w:rsidR="00AB73B1" w:rsidRPr="002A26FA">
        <w:t xml:space="preserve"> </w:t>
      </w:r>
      <w:r w:rsidRPr="002A26FA">
        <w:t>donc que le coefficient d</w:t>
      </w:r>
      <w:r w:rsidR="00AD522F" w:rsidRPr="002A26FA">
        <w:t xml:space="preserve">e </w:t>
      </w:r>
      <w:r w:rsidRPr="002A26FA">
        <w:t>CO</w:t>
      </w:r>
      <w:r w:rsidRPr="002A26FA">
        <w:rPr>
          <w:vertAlign w:val="subscript"/>
        </w:rPr>
        <w:t>2</w:t>
      </w:r>
      <w:r w:rsidR="00AB73B1" w:rsidRPr="002A26FA">
        <w:t xml:space="preserve"> </w:t>
      </w:r>
      <w:r w:rsidRPr="002A26FA">
        <w:t xml:space="preserve">indiqué dans le </w:t>
      </w:r>
      <w:r w:rsidRPr="00D40BD3">
        <w:rPr>
          <w:b/>
        </w:rPr>
        <w:t xml:space="preserve">RTM ONU </w:t>
      </w:r>
      <w:r w:rsidR="00AD522F" w:rsidRPr="00D40BD3">
        <w:rPr>
          <w:rFonts w:eastAsia="MS Mincho"/>
          <w:b/>
        </w:rPr>
        <w:t>n</w:t>
      </w:r>
      <w:r w:rsidR="00AD522F" w:rsidRPr="00D40BD3">
        <w:rPr>
          <w:rFonts w:eastAsia="MS Mincho"/>
          <w:b/>
          <w:vertAlign w:val="superscript"/>
        </w:rPr>
        <w:t>o</w:t>
      </w:r>
      <w:r w:rsidR="00AD522F" w:rsidRPr="00D40BD3">
        <w:rPr>
          <w:b/>
        </w:rPr>
        <w:t> </w:t>
      </w:r>
      <w:r w:rsidRPr="00D40BD3">
        <w:rPr>
          <w:b/>
        </w:rPr>
        <w:t>15</w:t>
      </w:r>
      <w:r w:rsidRPr="002A26FA">
        <w:t xml:space="preserve"> n’a pas sa place, car il y est toujours satisfait.</w:t>
      </w:r>
    </w:p>
    <w:p w:rsidR="006F4911" w:rsidRPr="006E409E" w:rsidRDefault="006F4911" w:rsidP="00D333B0">
      <w:pPr>
        <w:pStyle w:val="SingleTxtG"/>
      </w:pPr>
      <w:r w:rsidRPr="002A26FA">
        <w:t xml:space="preserve">8. </w:t>
      </w:r>
      <w:r w:rsidRPr="002A26FA">
        <w:tab/>
        <w:t>Les procédures ATCT</w:t>
      </w:r>
      <w:r w:rsidR="00AB73B1" w:rsidRPr="002A26FA">
        <w:t xml:space="preserve"> </w:t>
      </w:r>
      <w:r w:rsidRPr="002A26FA">
        <w:t>et RDE</w:t>
      </w:r>
      <w:r w:rsidR="00AB73B1" w:rsidRPr="002A26FA">
        <w:t xml:space="preserve"> </w:t>
      </w:r>
      <w:r w:rsidRPr="002A26FA">
        <w:t>du Règlement (UE) 2017/1151 et des amendements suivants ne sont pas actuellement applicables aux Règlements de la CEE.</w:t>
      </w:r>
    </w:p>
    <w:p w:rsidR="006F4911" w:rsidRPr="006E409E" w:rsidRDefault="006F4911" w:rsidP="006F4911">
      <w:pPr>
        <w:pStyle w:val="SingleTxtG"/>
        <w:spacing w:before="240" w:after="0"/>
        <w:jc w:val="center"/>
        <w:rPr>
          <w:u w:val="single"/>
        </w:rPr>
      </w:pPr>
      <w:r w:rsidRPr="006E409E">
        <w:rPr>
          <w:u w:val="single"/>
        </w:rPr>
        <w:tab/>
      </w:r>
      <w:r w:rsidRPr="006E409E">
        <w:rPr>
          <w:u w:val="single"/>
        </w:rPr>
        <w:tab/>
      </w:r>
      <w:r w:rsidRPr="006E409E">
        <w:rPr>
          <w:u w:val="single"/>
        </w:rPr>
        <w:tab/>
      </w:r>
    </w:p>
    <w:sectPr w:rsidR="006F4911" w:rsidRPr="006E409E" w:rsidSect="0027362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46B" w:rsidRDefault="0082646B" w:rsidP="00F95C08">
      <w:pPr>
        <w:spacing w:line="240" w:lineRule="auto"/>
      </w:pPr>
    </w:p>
  </w:endnote>
  <w:endnote w:type="continuationSeparator" w:id="0">
    <w:p w:rsidR="0082646B" w:rsidRPr="00AC3823" w:rsidRDefault="0082646B" w:rsidP="00AC3823">
      <w:pPr>
        <w:pStyle w:val="Footer"/>
      </w:pPr>
    </w:p>
  </w:endnote>
  <w:endnote w:type="continuationNotice" w:id="1">
    <w:p w:rsidR="0082646B" w:rsidRDefault="008264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62D" w:rsidRPr="0027362D" w:rsidRDefault="0027362D" w:rsidP="0027362D">
    <w:pPr>
      <w:pStyle w:val="Footer"/>
      <w:tabs>
        <w:tab w:val="right" w:pos="9638"/>
      </w:tabs>
    </w:pPr>
    <w:r w:rsidRPr="0027362D">
      <w:rPr>
        <w:b/>
        <w:sz w:val="18"/>
      </w:rPr>
      <w:fldChar w:fldCharType="begin"/>
    </w:r>
    <w:r w:rsidRPr="0027362D">
      <w:rPr>
        <w:b/>
        <w:sz w:val="18"/>
      </w:rPr>
      <w:instrText xml:space="preserve"> PAGE  \* MERGEFORMAT </w:instrText>
    </w:r>
    <w:r w:rsidRPr="0027362D">
      <w:rPr>
        <w:b/>
        <w:sz w:val="18"/>
      </w:rPr>
      <w:fldChar w:fldCharType="separate"/>
    </w:r>
    <w:r w:rsidR="000257B6">
      <w:rPr>
        <w:b/>
        <w:noProof/>
        <w:sz w:val="18"/>
      </w:rPr>
      <w:t>8</w:t>
    </w:r>
    <w:r w:rsidRPr="0027362D">
      <w:rPr>
        <w:b/>
        <w:sz w:val="18"/>
      </w:rPr>
      <w:fldChar w:fldCharType="end"/>
    </w:r>
    <w:r>
      <w:rPr>
        <w:b/>
        <w:sz w:val="18"/>
      </w:rPr>
      <w:tab/>
    </w:r>
    <w:r>
      <w:t>GE.18-17899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62D" w:rsidRPr="0027362D" w:rsidRDefault="0027362D" w:rsidP="0027362D">
    <w:pPr>
      <w:pStyle w:val="Footer"/>
      <w:tabs>
        <w:tab w:val="right" w:pos="9638"/>
      </w:tabs>
      <w:rPr>
        <w:b/>
        <w:sz w:val="18"/>
      </w:rPr>
    </w:pPr>
    <w:r>
      <w:t>GE.18-17899</w:t>
    </w:r>
    <w:r>
      <w:tab/>
    </w:r>
    <w:r w:rsidRPr="0027362D">
      <w:rPr>
        <w:b/>
        <w:sz w:val="18"/>
      </w:rPr>
      <w:fldChar w:fldCharType="begin"/>
    </w:r>
    <w:r w:rsidRPr="0027362D">
      <w:rPr>
        <w:b/>
        <w:sz w:val="18"/>
      </w:rPr>
      <w:instrText xml:space="preserve"> PAGE  \* MERGEFORMAT </w:instrText>
    </w:r>
    <w:r w:rsidRPr="0027362D">
      <w:rPr>
        <w:b/>
        <w:sz w:val="18"/>
      </w:rPr>
      <w:fldChar w:fldCharType="separate"/>
    </w:r>
    <w:r w:rsidR="000257B6">
      <w:rPr>
        <w:b/>
        <w:noProof/>
        <w:sz w:val="18"/>
      </w:rPr>
      <w:t>7</w:t>
    </w:r>
    <w:r w:rsidRPr="002736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27362D" w:rsidRDefault="0027362D" w:rsidP="0027362D">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18-17899</w:t>
    </w:r>
    <w:r w:rsidR="00AB73B1">
      <w:rPr>
        <w:sz w:val="20"/>
      </w:rPr>
      <w:t xml:space="preserve">  </w:t>
    </w:r>
    <w:r>
      <w:rPr>
        <w:sz w:val="20"/>
      </w:rPr>
      <w:t>(F)</w:t>
    </w:r>
    <w:r w:rsidR="00AB73B1">
      <w:rPr>
        <w:sz w:val="20"/>
      </w:rPr>
      <w:t xml:space="preserve">    </w:t>
    </w:r>
    <w:r>
      <w:rPr>
        <w:sz w:val="20"/>
      </w:rPr>
      <w:t>081118</w:t>
    </w:r>
    <w:r w:rsidR="00AB73B1">
      <w:rPr>
        <w:sz w:val="20"/>
      </w:rPr>
      <w:t xml:space="preserve">    </w:t>
    </w:r>
    <w:r>
      <w:rPr>
        <w:sz w:val="20"/>
      </w:rPr>
      <w:t>221118</w:t>
    </w:r>
    <w:r>
      <w:rPr>
        <w:sz w:val="20"/>
      </w:rPr>
      <w:br/>
    </w:r>
    <w:r w:rsidRPr="0027362D">
      <w:rPr>
        <w:rFonts w:ascii="C39T30Lfz" w:hAnsi="C39T30Lfz"/>
        <w:sz w:val="56"/>
      </w:rPr>
      <w:t></w:t>
    </w:r>
    <w:r w:rsidRPr="0027362D">
      <w:rPr>
        <w:rFonts w:ascii="C39T30Lfz" w:hAnsi="C39T30Lfz"/>
        <w:sz w:val="56"/>
      </w:rPr>
      <w:t></w:t>
    </w:r>
    <w:r w:rsidRPr="0027362D">
      <w:rPr>
        <w:rFonts w:ascii="C39T30Lfz" w:hAnsi="C39T30Lfz"/>
        <w:sz w:val="56"/>
      </w:rPr>
      <w:t></w:t>
    </w:r>
    <w:r w:rsidRPr="0027362D">
      <w:rPr>
        <w:rFonts w:ascii="C39T30Lfz" w:hAnsi="C39T30Lfz"/>
        <w:sz w:val="56"/>
      </w:rPr>
      <w:t></w:t>
    </w:r>
    <w:r w:rsidRPr="0027362D">
      <w:rPr>
        <w:rFonts w:ascii="C39T30Lfz" w:hAnsi="C39T30Lfz"/>
        <w:sz w:val="56"/>
      </w:rPr>
      <w:t></w:t>
    </w:r>
    <w:r w:rsidRPr="0027362D">
      <w:rPr>
        <w:rFonts w:ascii="C39T30Lfz" w:hAnsi="C39T30Lfz"/>
        <w:sz w:val="56"/>
      </w:rPr>
      <w:t></w:t>
    </w:r>
    <w:r w:rsidRPr="0027362D">
      <w:rPr>
        <w:rFonts w:ascii="C39T30Lfz" w:hAnsi="C39T30Lfz"/>
        <w:sz w:val="56"/>
      </w:rPr>
      <w:t></w:t>
    </w:r>
    <w:r w:rsidRPr="0027362D">
      <w:rPr>
        <w:rFonts w:ascii="C39T30Lfz" w:hAnsi="C39T30Lfz"/>
        <w:sz w:val="56"/>
      </w:rPr>
      <w:t></w:t>
    </w:r>
    <w:r w:rsidRPr="0027362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ECE/TRANS/WP.29/GRPE/2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CE/TRANS/WP.29/GRPE/20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46B" w:rsidRPr="00AC3823" w:rsidRDefault="0082646B" w:rsidP="00AC3823">
      <w:pPr>
        <w:pStyle w:val="Footer"/>
        <w:tabs>
          <w:tab w:val="right" w:pos="2155"/>
        </w:tabs>
        <w:spacing w:after="80" w:line="240" w:lineRule="atLeast"/>
        <w:ind w:left="680"/>
        <w:rPr>
          <w:u w:val="single"/>
        </w:rPr>
      </w:pPr>
      <w:r>
        <w:rPr>
          <w:u w:val="single"/>
        </w:rPr>
        <w:tab/>
      </w:r>
    </w:p>
  </w:footnote>
  <w:footnote w:type="continuationSeparator" w:id="0">
    <w:p w:rsidR="0082646B" w:rsidRPr="00AC3823" w:rsidRDefault="0082646B" w:rsidP="00AC3823">
      <w:pPr>
        <w:pStyle w:val="Footer"/>
        <w:tabs>
          <w:tab w:val="right" w:pos="2155"/>
        </w:tabs>
        <w:spacing w:after="80" w:line="240" w:lineRule="atLeast"/>
        <w:ind w:left="680"/>
        <w:rPr>
          <w:u w:val="single"/>
        </w:rPr>
      </w:pPr>
      <w:r>
        <w:rPr>
          <w:u w:val="single"/>
        </w:rPr>
        <w:tab/>
      </w:r>
    </w:p>
  </w:footnote>
  <w:footnote w:type="continuationNotice" w:id="1">
    <w:p w:rsidR="0082646B" w:rsidRPr="00AC3823" w:rsidRDefault="0082646B">
      <w:pPr>
        <w:spacing w:line="240" w:lineRule="auto"/>
        <w:rPr>
          <w:sz w:val="2"/>
          <w:szCs w:val="2"/>
        </w:rPr>
      </w:pPr>
    </w:p>
  </w:footnote>
  <w:footnote w:id="2">
    <w:p w:rsidR="006F4911" w:rsidRPr="00036619" w:rsidRDefault="006F4911" w:rsidP="006F4911">
      <w:pPr>
        <w:pStyle w:val="FootnoteText"/>
      </w:pPr>
      <w:r>
        <w:tab/>
      </w:r>
      <w:r w:rsidRPr="00036619">
        <w:rPr>
          <w:sz w:val="20"/>
        </w:rPr>
        <w:t>*</w:t>
      </w:r>
      <w:r w:rsidRPr="00036619">
        <w:rPr>
          <w:sz w:val="20"/>
        </w:rPr>
        <w:tab/>
      </w:r>
      <w:r w:rsidRPr="00036619">
        <w:t>Conformément au programme de travail du Comité des transports intérieurs pour la période 2018</w:t>
      </w:r>
      <w:r w:rsidR="00C42AEB">
        <w:noBreakHyphen/>
      </w:r>
      <w:r w:rsidRPr="00036619">
        <w:t>2019 (ECE/TRANS/274,</w:t>
      </w:r>
      <w:r w:rsidR="00AA51DB">
        <w:t xml:space="preserve"> par. 123, et ECE/TRANS/2018/21 et </w:t>
      </w:r>
      <w:r w:rsidRPr="00036619">
        <w:t>Add.1, module 3.1), le Forum mondial a pour mission d’élaborer, d’harmoniser et de mettre à jour les Règlements en vue d’améliorer les caractéristiques fonctionnelles des véhicules. Le présent document est soumis en</w:t>
      </w:r>
      <w:r w:rsidR="005D4252">
        <w:t> </w:t>
      </w:r>
      <w:r w:rsidRPr="00036619">
        <w:t>vertu</w:t>
      </w:r>
      <w:r w:rsidR="005D4252">
        <w:t> </w:t>
      </w:r>
      <w:r w:rsidRPr="00036619">
        <w:t>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62D" w:rsidRPr="0027362D" w:rsidRDefault="000505A7">
    <w:pPr>
      <w:pStyle w:val="Header"/>
    </w:pPr>
    <w:r>
      <w:fldChar w:fldCharType="begin"/>
    </w:r>
    <w:r>
      <w:instrText xml:space="preserve"> TITLE  \* MERGEFORMAT </w:instrText>
    </w:r>
    <w:r>
      <w:fldChar w:fldCharType="separate"/>
    </w:r>
    <w:r w:rsidR="000257B6">
      <w:t>ECE/TRANS/WP.29/GRPE/2019/3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62D" w:rsidRPr="0027362D" w:rsidRDefault="000505A7" w:rsidP="0027362D">
    <w:pPr>
      <w:pStyle w:val="Header"/>
      <w:jc w:val="right"/>
    </w:pPr>
    <w:r>
      <w:fldChar w:fldCharType="begin"/>
    </w:r>
    <w:r>
      <w:instrText xml:space="preserve"> TITLE  \* MERGEFORMAT </w:instrText>
    </w:r>
    <w:r>
      <w:fldChar w:fldCharType="separate"/>
    </w:r>
    <w:r w:rsidR="000257B6">
      <w:t>ECE/TRANS/WP.29/GRPE/2019/3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6B"/>
    <w:rsid w:val="00014CD2"/>
    <w:rsid w:val="00017F94"/>
    <w:rsid w:val="00023842"/>
    <w:rsid w:val="000257B6"/>
    <w:rsid w:val="000334F9"/>
    <w:rsid w:val="00045FEB"/>
    <w:rsid w:val="000505A7"/>
    <w:rsid w:val="0006679E"/>
    <w:rsid w:val="0007796D"/>
    <w:rsid w:val="000B7790"/>
    <w:rsid w:val="000B7E5C"/>
    <w:rsid w:val="000E29A1"/>
    <w:rsid w:val="000F6206"/>
    <w:rsid w:val="00111F2F"/>
    <w:rsid w:val="001124D0"/>
    <w:rsid w:val="0014365E"/>
    <w:rsid w:val="00143C66"/>
    <w:rsid w:val="0016446A"/>
    <w:rsid w:val="00176178"/>
    <w:rsid w:val="00191EF8"/>
    <w:rsid w:val="001F525A"/>
    <w:rsid w:val="00207D27"/>
    <w:rsid w:val="00223272"/>
    <w:rsid w:val="0024779E"/>
    <w:rsid w:val="00257168"/>
    <w:rsid w:val="0027362D"/>
    <w:rsid w:val="002744B8"/>
    <w:rsid w:val="00281EEA"/>
    <w:rsid w:val="002832AC"/>
    <w:rsid w:val="002A2649"/>
    <w:rsid w:val="002A26FA"/>
    <w:rsid w:val="002D7C93"/>
    <w:rsid w:val="00305801"/>
    <w:rsid w:val="00336BAE"/>
    <w:rsid w:val="00373EBC"/>
    <w:rsid w:val="003916DE"/>
    <w:rsid w:val="00421996"/>
    <w:rsid w:val="00441C3B"/>
    <w:rsid w:val="00446FE5"/>
    <w:rsid w:val="00452396"/>
    <w:rsid w:val="004837D8"/>
    <w:rsid w:val="0049689F"/>
    <w:rsid w:val="004E2EED"/>
    <w:rsid w:val="004E468C"/>
    <w:rsid w:val="005505B7"/>
    <w:rsid w:val="00573BE5"/>
    <w:rsid w:val="00586ED3"/>
    <w:rsid w:val="00587BBA"/>
    <w:rsid w:val="00596AA9"/>
    <w:rsid w:val="005C2495"/>
    <w:rsid w:val="005D4252"/>
    <w:rsid w:val="005E2479"/>
    <w:rsid w:val="005E427B"/>
    <w:rsid w:val="00643F00"/>
    <w:rsid w:val="00670CB3"/>
    <w:rsid w:val="00685FDE"/>
    <w:rsid w:val="006E409E"/>
    <w:rsid w:val="006F4911"/>
    <w:rsid w:val="00700EF0"/>
    <w:rsid w:val="00714913"/>
    <w:rsid w:val="0071601D"/>
    <w:rsid w:val="007370F3"/>
    <w:rsid w:val="0073710F"/>
    <w:rsid w:val="00755CE0"/>
    <w:rsid w:val="007A62E6"/>
    <w:rsid w:val="007C2744"/>
    <w:rsid w:val="007E24A3"/>
    <w:rsid w:val="007F20FA"/>
    <w:rsid w:val="0080684C"/>
    <w:rsid w:val="00807C79"/>
    <w:rsid w:val="0082646B"/>
    <w:rsid w:val="00871C75"/>
    <w:rsid w:val="008776DC"/>
    <w:rsid w:val="0088298D"/>
    <w:rsid w:val="008D5FFF"/>
    <w:rsid w:val="009426B0"/>
    <w:rsid w:val="009446C0"/>
    <w:rsid w:val="009705C8"/>
    <w:rsid w:val="00974E22"/>
    <w:rsid w:val="009C1CF4"/>
    <w:rsid w:val="009E5C33"/>
    <w:rsid w:val="009F6B74"/>
    <w:rsid w:val="00A12987"/>
    <w:rsid w:val="00A3029F"/>
    <w:rsid w:val="00A30353"/>
    <w:rsid w:val="00AA51DB"/>
    <w:rsid w:val="00AB73B1"/>
    <w:rsid w:val="00AC3823"/>
    <w:rsid w:val="00AD522F"/>
    <w:rsid w:val="00AD5E87"/>
    <w:rsid w:val="00AE323C"/>
    <w:rsid w:val="00AF0CB5"/>
    <w:rsid w:val="00B00181"/>
    <w:rsid w:val="00B00B0D"/>
    <w:rsid w:val="00B1351B"/>
    <w:rsid w:val="00B45F2E"/>
    <w:rsid w:val="00B51D8D"/>
    <w:rsid w:val="00B65BE9"/>
    <w:rsid w:val="00B765F7"/>
    <w:rsid w:val="00BA0CA9"/>
    <w:rsid w:val="00BB200E"/>
    <w:rsid w:val="00BB234F"/>
    <w:rsid w:val="00BB7613"/>
    <w:rsid w:val="00BE0A78"/>
    <w:rsid w:val="00C02897"/>
    <w:rsid w:val="00C2267A"/>
    <w:rsid w:val="00C42AEB"/>
    <w:rsid w:val="00C97039"/>
    <w:rsid w:val="00C97252"/>
    <w:rsid w:val="00D17811"/>
    <w:rsid w:val="00D333B0"/>
    <w:rsid w:val="00D3439C"/>
    <w:rsid w:val="00D40BD3"/>
    <w:rsid w:val="00D8674D"/>
    <w:rsid w:val="00DB1831"/>
    <w:rsid w:val="00DD3BFD"/>
    <w:rsid w:val="00DD3FC7"/>
    <w:rsid w:val="00DF6678"/>
    <w:rsid w:val="00E0299A"/>
    <w:rsid w:val="00E85C74"/>
    <w:rsid w:val="00EA6547"/>
    <w:rsid w:val="00EE7593"/>
    <w:rsid w:val="00EF2E22"/>
    <w:rsid w:val="00F06E33"/>
    <w:rsid w:val="00F12738"/>
    <w:rsid w:val="00F17316"/>
    <w:rsid w:val="00F35BAF"/>
    <w:rsid w:val="00F660DF"/>
    <w:rsid w:val="00F92BE5"/>
    <w:rsid w:val="00F94664"/>
    <w:rsid w:val="00F9573C"/>
    <w:rsid w:val="00F95C08"/>
    <w:rsid w:val="00FD1E5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288D1F-2E73-4E4F-8337-146D7A23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F4911"/>
    <w:rPr>
      <w:rFonts w:ascii="Times New Roman" w:eastAsiaTheme="minorHAnsi" w:hAnsi="Times New Roman" w:cs="Times New Roman"/>
      <w:sz w:val="20"/>
      <w:szCs w:val="20"/>
      <w:lang w:eastAsia="en-US"/>
    </w:rPr>
  </w:style>
  <w:style w:type="character" w:customStyle="1" w:styleId="HChGChar">
    <w:name w:val="_ H _Ch_G Char"/>
    <w:link w:val="HChG"/>
    <w:rsid w:val="006F4911"/>
    <w:rPr>
      <w:rFonts w:ascii="Times New Roman" w:eastAsiaTheme="minorHAnsi" w:hAnsi="Times New Roman" w:cs="Times New Roman"/>
      <w:b/>
      <w:sz w:val="28"/>
      <w:szCs w:val="20"/>
      <w:lang w:eastAsia="en-US"/>
    </w:rPr>
  </w:style>
  <w:style w:type="paragraph" w:customStyle="1" w:styleId="para">
    <w:name w:val="para"/>
    <w:basedOn w:val="SingleTxtG"/>
    <w:link w:val="paraChar"/>
    <w:qFormat/>
    <w:rsid w:val="006F4911"/>
    <w:pPr>
      <w:kinsoku/>
      <w:overflowPunct/>
      <w:autoSpaceDE/>
      <w:autoSpaceDN/>
      <w:adjustRightInd/>
      <w:snapToGrid/>
      <w:ind w:left="2268" w:hanging="1134"/>
    </w:pPr>
    <w:rPr>
      <w:rFonts w:eastAsia="Times New Roman"/>
    </w:rPr>
  </w:style>
  <w:style w:type="character" w:customStyle="1" w:styleId="paraChar">
    <w:name w:val="para Char"/>
    <w:link w:val="para"/>
    <w:rsid w:val="006F4911"/>
    <w:rPr>
      <w:rFonts w:ascii="Times New Roman" w:hAnsi="Times New Roman" w:cs="Times New Roman"/>
      <w:sz w:val="20"/>
      <w:szCs w:val="20"/>
      <w:lang w:eastAsia="en-US"/>
    </w:rPr>
  </w:style>
  <w:style w:type="character" w:customStyle="1" w:styleId="H1GChar">
    <w:name w:val="_ H_1_G Char"/>
    <w:link w:val="H1G"/>
    <w:rsid w:val="006F4911"/>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2782</Words>
  <Characters>15864</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ECE/TRANS/WP.29/GRPE/2019/3</vt:lpstr>
      <vt:lpstr>ECE/TRANS/WP.29/GRPE/2019/3</vt:lpstr>
    </vt:vector>
  </TitlesOfParts>
  <Company>DCM</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ECE/TRANS/WP.29/GRPE/2019/3</dc:title>
  <dc:subject/>
  <dc:creator>Nathalie VITTOZ</dc:creator>
  <cp:keywords/>
  <cp:lastModifiedBy>Benedicte Boudol</cp:lastModifiedBy>
  <cp:revision>2</cp:revision>
  <cp:lastPrinted>2018-11-22T11:42:00Z</cp:lastPrinted>
  <dcterms:created xsi:type="dcterms:W3CDTF">2018-11-22T16:12:00Z</dcterms:created>
  <dcterms:modified xsi:type="dcterms:W3CDTF">2018-11-22T16:12:00Z</dcterms:modified>
</cp:coreProperties>
</file>