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0482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0482C" w:rsidP="0060482C">
            <w:pPr>
              <w:jc w:val="right"/>
            </w:pPr>
            <w:r w:rsidRPr="0060482C">
              <w:rPr>
                <w:sz w:val="40"/>
              </w:rPr>
              <w:t>ECE</w:t>
            </w:r>
            <w:r>
              <w:t>/TRANS/WP.29/GRE/2019/24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0482C" w:rsidP="00C97039">
            <w:pPr>
              <w:spacing w:before="240"/>
            </w:pPr>
            <w:r>
              <w:t>Distr. générale</w:t>
            </w:r>
          </w:p>
          <w:p w:rsidR="0060482C" w:rsidRDefault="0060482C" w:rsidP="0060482C">
            <w:pPr>
              <w:spacing w:line="240" w:lineRule="exact"/>
            </w:pPr>
            <w:r>
              <w:t>7 août 2019</w:t>
            </w:r>
          </w:p>
          <w:p w:rsidR="0060482C" w:rsidRDefault="0060482C" w:rsidP="0060482C">
            <w:pPr>
              <w:spacing w:line="240" w:lineRule="exact"/>
            </w:pPr>
            <w:r>
              <w:t>Français</w:t>
            </w:r>
          </w:p>
          <w:p w:rsidR="0060482C" w:rsidRPr="00DB58B5" w:rsidRDefault="0060482C" w:rsidP="006048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0482C" w:rsidRDefault="0060482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0482C" w:rsidRDefault="0060482C" w:rsidP="00257168">
      <w:pPr>
        <w:spacing w:before="120" w:after="120" w:line="240" w:lineRule="exact"/>
        <w:rPr>
          <w:b/>
        </w:rPr>
      </w:pPr>
      <w:r>
        <w:rPr>
          <w:b/>
        </w:rPr>
        <w:t>Groupe de travail de l’éclairage et de la signalisation lumineuse</w:t>
      </w:r>
    </w:p>
    <w:p w:rsidR="0060482C" w:rsidRDefault="0060482C" w:rsidP="00257168">
      <w:pPr>
        <w:spacing w:before="120" w:line="240" w:lineRule="exact"/>
        <w:rPr>
          <w:b/>
        </w:rPr>
      </w:pPr>
      <w:r w:rsidRPr="0060482C">
        <w:rPr>
          <w:b/>
          <w:lang w:val="fr-FR"/>
        </w:rPr>
        <w:t>Quatre-vingt-deuxième</w:t>
      </w:r>
      <w:r>
        <w:rPr>
          <w:b/>
          <w:lang w:val="fr-FR"/>
        </w:rPr>
        <w:t xml:space="preserve"> </w:t>
      </w:r>
      <w:r>
        <w:rPr>
          <w:b/>
        </w:rPr>
        <w:t>session</w:t>
      </w:r>
    </w:p>
    <w:p w:rsidR="0060482C" w:rsidRDefault="0060482C" w:rsidP="00257168">
      <w:pPr>
        <w:spacing w:line="240" w:lineRule="exact"/>
      </w:pPr>
      <w:r>
        <w:t xml:space="preserve">Genève, </w:t>
      </w:r>
      <w:r w:rsidRPr="00B44289">
        <w:rPr>
          <w:szCs w:val="24"/>
          <w:lang w:val="fr-FR"/>
        </w:rPr>
        <w:t>22-25 octobre</w:t>
      </w:r>
      <w:r>
        <w:rPr>
          <w:szCs w:val="24"/>
          <w:lang w:val="fr-FR"/>
        </w:rPr>
        <w:t xml:space="preserve"> </w:t>
      </w:r>
      <w:r w:rsidRPr="00B44289">
        <w:rPr>
          <w:szCs w:val="24"/>
          <w:lang w:val="fr-FR"/>
        </w:rPr>
        <w:t>2019</w:t>
      </w:r>
    </w:p>
    <w:p w:rsidR="0060482C" w:rsidRDefault="0060482C" w:rsidP="00257168">
      <w:pPr>
        <w:spacing w:line="240" w:lineRule="exact"/>
      </w:pPr>
      <w:r>
        <w:t>Point 4 de l’ordre du jour provisoire</w:t>
      </w:r>
    </w:p>
    <w:p w:rsidR="00F9573C" w:rsidRDefault="0060482C" w:rsidP="00AF0CB5">
      <w:r w:rsidRPr="00B44289">
        <w:rPr>
          <w:b/>
          <w:szCs w:val="24"/>
        </w:rPr>
        <w:t xml:space="preserve">Simplification des Règlements ONU relatifs à l’éclairage </w:t>
      </w:r>
      <w:r>
        <w:rPr>
          <w:b/>
          <w:szCs w:val="24"/>
        </w:rPr>
        <w:br/>
      </w:r>
      <w:r w:rsidRPr="00B44289">
        <w:rPr>
          <w:b/>
          <w:szCs w:val="24"/>
        </w:rPr>
        <w:t>et à la signalisation lumineuse</w:t>
      </w:r>
    </w:p>
    <w:p w:rsidR="0060482C" w:rsidRPr="00B44289" w:rsidRDefault="0060482C" w:rsidP="0060482C">
      <w:pPr>
        <w:pStyle w:val="HChG"/>
      </w:pPr>
      <w:r>
        <w:tab/>
      </w:r>
      <w:r>
        <w:tab/>
      </w:r>
      <w:r w:rsidRPr="00B44289">
        <w:t xml:space="preserve">Proposition visant à rectifier le Règlement ONU </w:t>
      </w:r>
      <w:r w:rsidRPr="00E617C6">
        <w:t>n</w:t>
      </w:r>
      <w:r w:rsidRPr="00E617C6">
        <w:rPr>
          <w:vertAlign w:val="superscript"/>
        </w:rPr>
        <w:t>o</w:t>
      </w:r>
      <w:r>
        <w:t> [</w:t>
      </w:r>
      <w:r w:rsidRPr="00B44289">
        <w:t>149</w:t>
      </w:r>
      <w:r>
        <w:t>]</w:t>
      </w:r>
      <w:r w:rsidRPr="00B44289">
        <w:t xml:space="preserve"> (</w:t>
      </w:r>
      <w:r>
        <w:t>D</w:t>
      </w:r>
      <w:r w:rsidRPr="00B44289">
        <w:t>ispositifs d’éclairage de la route)</w:t>
      </w:r>
    </w:p>
    <w:p w:rsidR="0060482C" w:rsidRPr="00B44289" w:rsidRDefault="0060482C" w:rsidP="0060482C">
      <w:pPr>
        <w:pStyle w:val="H1G"/>
      </w:pPr>
      <w:r>
        <w:tab/>
      </w:r>
      <w:r>
        <w:tab/>
      </w:r>
      <w:r w:rsidRPr="00B44289">
        <w:t xml:space="preserve">Communication du groupe de travail informel de la simplification </w:t>
      </w:r>
      <w:r>
        <w:br/>
      </w:r>
      <w:r w:rsidRPr="00B44289">
        <w:t>des Règlements relatifs à l’éclairage et à la signalisation lumineuse</w:t>
      </w:r>
      <w:r w:rsidRPr="0060482C">
        <w:rPr>
          <w:rStyle w:val="Appelnotedebasdep"/>
          <w:b w:val="0"/>
          <w:sz w:val="20"/>
          <w:vertAlign w:val="baseline"/>
        </w:rPr>
        <w:footnoteReference w:customMarkFollows="1" w:id="2"/>
        <w:t>*</w:t>
      </w:r>
    </w:p>
    <w:p w:rsidR="0060482C" w:rsidRDefault="0060482C" w:rsidP="0060482C">
      <w:pPr>
        <w:pStyle w:val="SingleTxtG"/>
        <w:ind w:firstLine="567"/>
      </w:pPr>
      <w:r w:rsidRPr="00B44289">
        <w:t xml:space="preserve">Le texte ci-après, établi par le </w:t>
      </w:r>
      <w:r w:rsidRPr="00B44289">
        <w:rPr>
          <w:bCs/>
        </w:rPr>
        <w:t>groupe de travail informel de la simplification des Règlements relatifs à l’éclairage et à la signalisation lumineuse,</w:t>
      </w:r>
      <w:r w:rsidRPr="00B44289">
        <w:t xml:space="preserve"> vise à </w:t>
      </w:r>
      <w:r>
        <w:t xml:space="preserve">rétablir </w:t>
      </w:r>
      <w:r w:rsidRPr="00B44289">
        <w:t xml:space="preserve">les dispositions relatives à la montée en puissance des sources lumineuses à décharge de haute intensité, qui ont été involontairement omises dans le texte du nouveau Règlement ONU </w:t>
      </w:r>
      <w:r w:rsidRPr="00E617C6">
        <w:t>n</w:t>
      </w:r>
      <w:r w:rsidRPr="00E617C6">
        <w:rPr>
          <w:vertAlign w:val="superscript"/>
        </w:rPr>
        <w:t>o</w:t>
      </w:r>
      <w:r>
        <w:t> [</w:t>
      </w:r>
      <w:r w:rsidRPr="00B44289">
        <w:t>149</w:t>
      </w:r>
      <w:r>
        <w:t>]</w:t>
      </w:r>
      <w:r w:rsidRPr="00B44289">
        <w:t xml:space="preserve">. Les modifications qu’il est proposé d’apporter au Règlement ONU </w:t>
      </w:r>
      <w:r w:rsidRPr="00E617C6">
        <w:t>n</w:t>
      </w:r>
      <w:r w:rsidRPr="00E617C6">
        <w:rPr>
          <w:vertAlign w:val="superscript"/>
        </w:rPr>
        <w:t>o</w:t>
      </w:r>
      <w:r>
        <w:t> </w:t>
      </w:r>
      <w:r>
        <w:t>[</w:t>
      </w:r>
      <w:r w:rsidRPr="00B44289">
        <w:t>149</w:t>
      </w:r>
      <w:r>
        <w:t>]</w:t>
      </w:r>
      <w:r w:rsidRPr="00B44289">
        <w:t xml:space="preserve"> </w:t>
      </w:r>
      <w:r w:rsidRPr="00B44289">
        <w:rPr>
          <w:rStyle w:val="content"/>
          <w:szCs w:val="24"/>
          <w:lang w:val="fr-FR"/>
        </w:rPr>
        <w:t xml:space="preserve">(ECE/TRANS/WP.29/2018/158/Rev.1) </w:t>
      </w:r>
      <w:r>
        <w:t>figurent en</w:t>
      </w:r>
      <w:r w:rsidRPr="00B44289">
        <w:t xml:space="preserve"> caractères </w:t>
      </w:r>
      <w:r w:rsidRPr="0060482C">
        <w:rPr>
          <w:b/>
        </w:rPr>
        <w:t>gras</w:t>
      </w:r>
      <w:r w:rsidRPr="00B44289">
        <w:t xml:space="preserve"> pour les ajouts et </w:t>
      </w:r>
      <w:r w:rsidRPr="0060482C">
        <w:rPr>
          <w:strike/>
        </w:rPr>
        <w:t>biffés</w:t>
      </w:r>
      <w:r w:rsidRPr="00B44289">
        <w:t xml:space="preserve"> pour les suppressions.</w:t>
      </w:r>
    </w:p>
    <w:p w:rsidR="0060482C" w:rsidRPr="0060482C" w:rsidRDefault="0060482C" w:rsidP="0060482C">
      <w:pPr>
        <w:pStyle w:val="HChG"/>
        <w:rPr>
          <w:lang w:val="fr-FR"/>
        </w:rPr>
      </w:pPr>
      <w:r>
        <w:br w:type="page"/>
      </w:r>
      <w:r>
        <w:lastRenderedPageBreak/>
        <w:tab/>
      </w:r>
      <w:r w:rsidRPr="0060482C">
        <w:rPr>
          <w:lang w:val="fr-FR"/>
        </w:rPr>
        <w:t>I.</w:t>
      </w:r>
      <w:r w:rsidRPr="0060482C">
        <w:rPr>
          <w:lang w:val="fr-FR"/>
        </w:rPr>
        <w:tab/>
        <w:t>Proposition</w:t>
      </w:r>
    </w:p>
    <w:p w:rsidR="0060482C" w:rsidRPr="0060482C" w:rsidRDefault="0060482C" w:rsidP="0060482C">
      <w:pPr>
        <w:pStyle w:val="SingleTxtG"/>
      </w:pPr>
      <w:r w:rsidRPr="0060482C">
        <w:rPr>
          <w:i/>
        </w:rPr>
        <w:t>Ajouter un nouveau paragraphe 5.1.3.7</w:t>
      </w:r>
      <w:r w:rsidRPr="0060482C">
        <w:t>, libellé comme suit</w:t>
      </w:r>
      <w:r>
        <w:t> </w:t>
      </w:r>
      <w:r w:rsidRPr="0060482C">
        <w:t>:</w:t>
      </w:r>
    </w:p>
    <w:p w:rsidR="0060482C" w:rsidRPr="0060482C" w:rsidRDefault="0060482C" w:rsidP="00CC477C">
      <w:pPr>
        <w:pStyle w:val="SingleTxtG"/>
        <w:ind w:left="2268" w:hanging="1134"/>
        <w:rPr>
          <w:i/>
        </w:rPr>
      </w:pPr>
      <w:r w:rsidRPr="0060482C">
        <w:t>« </w:t>
      </w:r>
      <w:r w:rsidRPr="0060482C">
        <w:rPr>
          <w:b/>
        </w:rPr>
        <w:t>5.1.3.7</w:t>
      </w:r>
      <w:r w:rsidRPr="0060482C">
        <w:tab/>
      </w:r>
      <w:r w:rsidRPr="0060482C">
        <w:rPr>
          <w:b/>
        </w:rPr>
        <w:t>Quatre secondes après l’allumage d’un faisceau de route de classe D ou ES équipé d’une source lumineuse à décharge à ballast non intégré et qui n’a pas fonctionné pendant 30 minutes ou plus, il doit être obtenu au point HV au moins 37 500 cd pour un projecteur émettant seulement un faisceau de route.</w:t>
      </w:r>
    </w:p>
    <w:p w:rsidR="0060482C" w:rsidRPr="0060482C" w:rsidRDefault="0060482C" w:rsidP="00BA02DA">
      <w:pPr>
        <w:pStyle w:val="SingleTxtG"/>
        <w:ind w:left="2268"/>
      </w:pPr>
      <w:r w:rsidRPr="0060482C">
        <w:rPr>
          <w:b/>
        </w:rPr>
        <w:t>La source d’alimentation doit être suffisante pour garantir que l’impulsion de forte intensité a le temps de montée prescrit.</w:t>
      </w:r>
      <w:r w:rsidRPr="0060482C">
        <w:t> »</w:t>
      </w:r>
      <w:r>
        <w:t>.</w:t>
      </w:r>
    </w:p>
    <w:p w:rsidR="0060482C" w:rsidRPr="0060482C" w:rsidRDefault="0060482C" w:rsidP="0060482C">
      <w:pPr>
        <w:pStyle w:val="SingleTxtG"/>
      </w:pPr>
      <w:r w:rsidRPr="0060482C">
        <w:rPr>
          <w:i/>
        </w:rPr>
        <w:t>Ajouter un nouveau paragraphe 5.2.2.1</w:t>
      </w:r>
      <w:r w:rsidRPr="0060482C">
        <w:t>, libellé comme suit</w:t>
      </w:r>
      <w:r>
        <w:t> </w:t>
      </w:r>
      <w:r w:rsidRPr="0060482C">
        <w:t>:</w:t>
      </w:r>
    </w:p>
    <w:p w:rsidR="0060482C" w:rsidRPr="0060482C" w:rsidRDefault="0060482C" w:rsidP="00BA02DA">
      <w:pPr>
        <w:pStyle w:val="SingleTxtG"/>
        <w:ind w:left="2268" w:hanging="1134"/>
      </w:pPr>
      <w:r w:rsidRPr="0060482C">
        <w:t>« </w:t>
      </w:r>
      <w:r w:rsidRPr="0060482C">
        <w:rPr>
          <w:b/>
        </w:rPr>
        <w:t>5.2.2.1</w:t>
      </w:r>
      <w:r w:rsidRPr="0060482C">
        <w:rPr>
          <w:b/>
        </w:rPr>
        <w:tab/>
        <w:t xml:space="preserve">Quatre </w:t>
      </w:r>
      <w:r w:rsidRPr="0060482C">
        <w:rPr>
          <w:b/>
          <w:spacing w:val="-2"/>
        </w:rPr>
        <w:t>secondes après l’allumage d’un faisceau de croisement</w:t>
      </w:r>
      <w:r w:rsidRPr="0060482C">
        <w:rPr>
          <w:b/>
        </w:rPr>
        <w:t xml:space="preserve"> de classe D équipé d’une source lumineuse à décharge à ballast non intégré et qui n’a pas fonctionné pendant 30 minutes ou plus, il doit être obtenu au point 50</w:t>
      </w:r>
      <w:r>
        <w:rPr>
          <w:b/>
        </w:rPr>
        <w:t> </w:t>
      </w:r>
      <w:r w:rsidRPr="0060482C">
        <w:rPr>
          <w:b/>
        </w:rPr>
        <w:t>V au moins 6</w:t>
      </w:r>
      <w:r>
        <w:rPr>
          <w:b/>
        </w:rPr>
        <w:t> </w:t>
      </w:r>
      <w:r w:rsidRPr="0060482C">
        <w:rPr>
          <w:b/>
        </w:rPr>
        <w:t xml:space="preserve">250 cd pour les projecteurs émettant seulement un faisceau de croisement ou les projecteurs conçus pour émettre </w:t>
      </w:r>
      <w:r w:rsidRPr="0060482C">
        <w:rPr>
          <w:b/>
        </w:rPr>
        <w:tab/>
        <w:t>alternativement un faisceau de route et un faisceau de croisement.</w:t>
      </w:r>
    </w:p>
    <w:p w:rsidR="0060482C" w:rsidRPr="0060482C" w:rsidRDefault="0060482C" w:rsidP="00BA02DA">
      <w:pPr>
        <w:pStyle w:val="SingleTxtG"/>
        <w:ind w:left="2268"/>
      </w:pPr>
      <w:r w:rsidRPr="0060482C">
        <w:rPr>
          <w:b/>
        </w:rPr>
        <w:t>La source d’alimentation doit être suffisante pour garantir que l’impulsion de forte intensité a le temps de montée prescrit.</w:t>
      </w:r>
      <w:r w:rsidRPr="0060482C">
        <w:t> »</w:t>
      </w:r>
      <w:r>
        <w:t>.</w:t>
      </w:r>
    </w:p>
    <w:p w:rsidR="0060482C" w:rsidRPr="0060482C" w:rsidRDefault="0060482C" w:rsidP="0060482C">
      <w:pPr>
        <w:pStyle w:val="SingleTxtG"/>
      </w:pPr>
      <w:r w:rsidRPr="0060482C">
        <w:rPr>
          <w:i/>
        </w:rPr>
        <w:t>Ajouter un nouveau paragraphe 5.4.4.3.1</w:t>
      </w:r>
      <w:r w:rsidRPr="0060482C">
        <w:t>, libellé comme suit</w:t>
      </w:r>
      <w:r>
        <w:t> </w:t>
      </w:r>
      <w:r w:rsidRPr="0060482C">
        <w:t>:</w:t>
      </w:r>
    </w:p>
    <w:p w:rsidR="0060482C" w:rsidRPr="0060482C" w:rsidRDefault="0060482C" w:rsidP="00BA02DA">
      <w:pPr>
        <w:pStyle w:val="SingleTxtG"/>
        <w:ind w:left="2268" w:hanging="1134"/>
        <w:rPr>
          <w:b/>
        </w:rPr>
      </w:pPr>
      <w:r w:rsidRPr="0060482C">
        <w:t>« </w:t>
      </w:r>
      <w:r w:rsidRPr="0060482C">
        <w:rPr>
          <w:b/>
        </w:rPr>
        <w:t>5.4.4.3.1</w:t>
      </w:r>
      <w:r w:rsidRPr="0060482C">
        <w:rPr>
          <w:b/>
        </w:rPr>
        <w:tab/>
      </w:r>
      <w:r w:rsidRPr="0060482C">
        <w:rPr>
          <w:b/>
          <w:spacing w:val="-2"/>
        </w:rPr>
        <w:t>Quatre secondes après l’allumage d’un faisceau de croisement de classe ES</w:t>
      </w:r>
      <w:r w:rsidRPr="0060482C">
        <w:rPr>
          <w:b/>
        </w:rPr>
        <w:t xml:space="preserve"> qui n’a pas fonctionné pendant 30</w:t>
      </w:r>
      <w:r>
        <w:rPr>
          <w:b/>
        </w:rPr>
        <w:t> </w:t>
      </w:r>
      <w:r w:rsidRPr="0060482C">
        <w:rPr>
          <w:b/>
        </w:rPr>
        <w:t>min ou plus, il doit être obtenu au moins 3</w:t>
      </w:r>
      <w:r>
        <w:rPr>
          <w:b/>
        </w:rPr>
        <w:t> </w:t>
      </w:r>
      <w:r w:rsidRPr="0060482C">
        <w:rPr>
          <w:b/>
        </w:rPr>
        <w:t xml:space="preserve">750 cd au point 2 (0,86 D-V) pour les projecteurs comportant à la fois les fonctions faisceau de route et faisceau de croisement ou pour les projecteurs comportant seulement une fonction faisceau de croisement. </w:t>
      </w:r>
    </w:p>
    <w:p w:rsidR="0060482C" w:rsidRPr="0060482C" w:rsidRDefault="0060482C" w:rsidP="00BA02DA">
      <w:pPr>
        <w:pStyle w:val="SingleTxtG"/>
        <w:ind w:left="2268"/>
      </w:pPr>
      <w:r w:rsidRPr="0060482C">
        <w:rPr>
          <w:b/>
        </w:rPr>
        <w:t>La source d’alimentation doit être suffisante pour garantir que l’impulsion de forte intensité a le temps de montée prescrit.</w:t>
      </w:r>
      <w:r w:rsidRPr="0060482C">
        <w:t> »</w:t>
      </w:r>
      <w:r>
        <w:t>.</w:t>
      </w:r>
    </w:p>
    <w:p w:rsidR="0060482C" w:rsidRPr="0060482C" w:rsidRDefault="0060482C" w:rsidP="0060482C">
      <w:pPr>
        <w:pStyle w:val="HChG"/>
      </w:pPr>
      <w:r>
        <w:tab/>
      </w:r>
      <w:r w:rsidRPr="0060482C">
        <w:t>II.</w:t>
      </w:r>
      <w:r w:rsidRPr="0060482C">
        <w:tab/>
        <w:t>Justification</w:t>
      </w:r>
    </w:p>
    <w:p w:rsidR="0060482C" w:rsidRDefault="0060482C" w:rsidP="0060482C">
      <w:pPr>
        <w:pStyle w:val="SingleTxtG"/>
        <w:ind w:firstLine="567"/>
      </w:pPr>
      <w:r w:rsidRPr="0060482C">
        <w:t>Ces dispositions figurent dans les Règlements ONU n</w:t>
      </w:r>
      <w:r w:rsidRPr="0060482C">
        <w:rPr>
          <w:vertAlign w:val="superscript"/>
        </w:rPr>
        <w:t>os</w:t>
      </w:r>
      <w:r w:rsidRPr="0060482C">
        <w:t> 98 (par.</w:t>
      </w:r>
      <w:r>
        <w:t> </w:t>
      </w:r>
      <w:r w:rsidRPr="0060482C">
        <w:t>6.1.7) et 113 (par.</w:t>
      </w:r>
      <w:r>
        <w:t> </w:t>
      </w:r>
      <w:r w:rsidRPr="0060482C">
        <w:t>6.1.4.3), mais pas encore dans le Règlement ONU n</w:t>
      </w:r>
      <w:r w:rsidRPr="0060482C">
        <w:rPr>
          <w:vertAlign w:val="superscript"/>
        </w:rPr>
        <w:t>o</w:t>
      </w:r>
      <w:r w:rsidRPr="0060482C">
        <w:t> [149].</w:t>
      </w:r>
    </w:p>
    <w:p w:rsidR="0060482C" w:rsidRPr="0060482C" w:rsidRDefault="0060482C" w:rsidP="0060482C">
      <w:pPr>
        <w:pStyle w:val="SingleTxtG"/>
        <w:spacing w:before="240" w:after="0"/>
        <w:jc w:val="center"/>
        <w:rPr>
          <w:u w:val="single"/>
        </w:rPr>
      </w:pPr>
      <w:bookmarkStart w:id="0" w:name="_GoBack"/>
      <w:bookmarkEnd w:id="0"/>
      <w:r>
        <w:rPr>
          <w:u w:val="single"/>
        </w:rPr>
        <w:tab/>
      </w:r>
      <w:r>
        <w:rPr>
          <w:u w:val="single"/>
        </w:rPr>
        <w:tab/>
      </w:r>
      <w:r>
        <w:rPr>
          <w:u w:val="single"/>
        </w:rPr>
        <w:tab/>
      </w:r>
    </w:p>
    <w:sectPr w:rsidR="0060482C" w:rsidRPr="0060482C" w:rsidSect="006048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412" w:rsidRDefault="00AB1412" w:rsidP="00F95C08">
      <w:pPr>
        <w:spacing w:line="240" w:lineRule="auto"/>
      </w:pPr>
    </w:p>
  </w:endnote>
  <w:endnote w:type="continuationSeparator" w:id="0">
    <w:p w:rsidR="00AB1412" w:rsidRPr="00AC3823" w:rsidRDefault="00AB1412" w:rsidP="00AC3823">
      <w:pPr>
        <w:pStyle w:val="Pieddepage"/>
      </w:pPr>
    </w:p>
  </w:endnote>
  <w:endnote w:type="continuationNotice" w:id="1">
    <w:p w:rsidR="00AB1412" w:rsidRDefault="00AB1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C" w:rsidRPr="0060482C" w:rsidRDefault="0060482C" w:rsidP="0060482C">
    <w:pPr>
      <w:pStyle w:val="Pieddepage"/>
      <w:tabs>
        <w:tab w:val="right" w:pos="9638"/>
      </w:tabs>
    </w:pPr>
    <w:r w:rsidRPr="0060482C">
      <w:rPr>
        <w:b/>
        <w:sz w:val="18"/>
      </w:rPr>
      <w:fldChar w:fldCharType="begin"/>
    </w:r>
    <w:r w:rsidRPr="0060482C">
      <w:rPr>
        <w:b/>
        <w:sz w:val="18"/>
      </w:rPr>
      <w:instrText xml:space="preserve"> PAGE  \* MERGEFORMAT </w:instrText>
    </w:r>
    <w:r w:rsidRPr="0060482C">
      <w:rPr>
        <w:b/>
        <w:sz w:val="18"/>
      </w:rPr>
      <w:fldChar w:fldCharType="separate"/>
    </w:r>
    <w:r w:rsidRPr="0060482C">
      <w:rPr>
        <w:b/>
        <w:noProof/>
        <w:sz w:val="18"/>
      </w:rPr>
      <w:t>2</w:t>
    </w:r>
    <w:r w:rsidRPr="0060482C">
      <w:rPr>
        <w:b/>
        <w:sz w:val="18"/>
      </w:rPr>
      <w:fldChar w:fldCharType="end"/>
    </w:r>
    <w:r>
      <w:rPr>
        <w:b/>
        <w:sz w:val="18"/>
      </w:rPr>
      <w:tab/>
    </w:r>
    <w:r>
      <w:t>GE.19-13565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C" w:rsidRPr="0060482C" w:rsidRDefault="0060482C" w:rsidP="0060482C">
    <w:pPr>
      <w:pStyle w:val="Pieddepage"/>
      <w:tabs>
        <w:tab w:val="right" w:pos="9638"/>
      </w:tabs>
      <w:rPr>
        <w:b/>
        <w:sz w:val="18"/>
      </w:rPr>
    </w:pPr>
    <w:r>
      <w:t>GE.19-13565</w:t>
    </w:r>
    <w:r>
      <w:tab/>
    </w:r>
    <w:r w:rsidRPr="0060482C">
      <w:rPr>
        <w:b/>
        <w:sz w:val="18"/>
      </w:rPr>
      <w:fldChar w:fldCharType="begin"/>
    </w:r>
    <w:r w:rsidRPr="0060482C">
      <w:rPr>
        <w:b/>
        <w:sz w:val="18"/>
      </w:rPr>
      <w:instrText xml:space="preserve"> PAGE  \* MERGEFORMAT </w:instrText>
    </w:r>
    <w:r w:rsidRPr="0060482C">
      <w:rPr>
        <w:b/>
        <w:sz w:val="18"/>
      </w:rPr>
      <w:fldChar w:fldCharType="separate"/>
    </w:r>
    <w:r w:rsidRPr="0060482C">
      <w:rPr>
        <w:b/>
        <w:noProof/>
        <w:sz w:val="18"/>
      </w:rPr>
      <w:t>3</w:t>
    </w:r>
    <w:r w:rsidRPr="006048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0482C" w:rsidRDefault="0060482C" w:rsidP="0060482C">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19-13565  (F)    230819    030919</w:t>
    </w:r>
    <w:r>
      <w:rPr>
        <w:sz w:val="20"/>
      </w:rPr>
      <w:br/>
    </w:r>
    <w:r w:rsidRPr="0060482C">
      <w:rPr>
        <w:rFonts w:ascii="C39T30Lfz" w:hAnsi="C39T30Lfz"/>
        <w:sz w:val="56"/>
      </w:rPr>
      <w:t></w:t>
    </w:r>
    <w:r w:rsidRPr="0060482C">
      <w:rPr>
        <w:rFonts w:ascii="C39T30Lfz" w:hAnsi="C39T30Lfz"/>
        <w:sz w:val="56"/>
      </w:rPr>
      <w:t></w:t>
    </w:r>
    <w:r w:rsidRPr="0060482C">
      <w:rPr>
        <w:rFonts w:ascii="C39T30Lfz" w:hAnsi="C39T30Lfz"/>
        <w:sz w:val="56"/>
      </w:rPr>
      <w:t></w:t>
    </w:r>
    <w:r w:rsidRPr="0060482C">
      <w:rPr>
        <w:rFonts w:ascii="C39T30Lfz" w:hAnsi="C39T30Lfz"/>
        <w:sz w:val="56"/>
      </w:rPr>
      <w:t></w:t>
    </w:r>
    <w:r w:rsidRPr="0060482C">
      <w:rPr>
        <w:rFonts w:ascii="C39T30Lfz" w:hAnsi="C39T30Lfz"/>
        <w:sz w:val="56"/>
      </w:rPr>
      <w:t></w:t>
    </w:r>
    <w:r w:rsidRPr="0060482C">
      <w:rPr>
        <w:rFonts w:ascii="C39T30Lfz" w:hAnsi="C39T30Lfz"/>
        <w:sz w:val="56"/>
      </w:rPr>
      <w:t></w:t>
    </w:r>
    <w:r w:rsidRPr="0060482C">
      <w:rPr>
        <w:rFonts w:ascii="C39T30Lfz" w:hAnsi="C39T30Lfz"/>
        <w:sz w:val="56"/>
      </w:rPr>
      <w:t></w:t>
    </w:r>
    <w:r w:rsidRPr="0060482C">
      <w:rPr>
        <w:rFonts w:ascii="C39T30Lfz" w:hAnsi="C39T30Lfz"/>
        <w:sz w:val="56"/>
      </w:rPr>
      <w:t></w:t>
    </w:r>
    <w:r w:rsidRPr="0060482C">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412" w:rsidRPr="00AC3823" w:rsidRDefault="00AB1412" w:rsidP="00AC3823">
      <w:pPr>
        <w:pStyle w:val="Pieddepage"/>
        <w:tabs>
          <w:tab w:val="right" w:pos="2155"/>
        </w:tabs>
        <w:spacing w:after="80" w:line="240" w:lineRule="atLeast"/>
        <w:ind w:left="680"/>
        <w:rPr>
          <w:u w:val="single"/>
        </w:rPr>
      </w:pPr>
      <w:r>
        <w:rPr>
          <w:u w:val="single"/>
        </w:rPr>
        <w:tab/>
      </w:r>
    </w:p>
  </w:footnote>
  <w:footnote w:type="continuationSeparator" w:id="0">
    <w:p w:rsidR="00AB1412" w:rsidRPr="00AC3823" w:rsidRDefault="00AB1412" w:rsidP="00AC3823">
      <w:pPr>
        <w:pStyle w:val="Pieddepage"/>
        <w:tabs>
          <w:tab w:val="right" w:pos="2155"/>
        </w:tabs>
        <w:spacing w:after="80" w:line="240" w:lineRule="atLeast"/>
        <w:ind w:left="680"/>
        <w:rPr>
          <w:u w:val="single"/>
        </w:rPr>
      </w:pPr>
      <w:r>
        <w:rPr>
          <w:u w:val="single"/>
        </w:rPr>
        <w:tab/>
      </w:r>
    </w:p>
  </w:footnote>
  <w:footnote w:type="continuationNotice" w:id="1">
    <w:p w:rsidR="00AB1412" w:rsidRPr="00AC3823" w:rsidRDefault="00AB1412">
      <w:pPr>
        <w:spacing w:line="240" w:lineRule="auto"/>
        <w:rPr>
          <w:sz w:val="2"/>
          <w:szCs w:val="2"/>
        </w:rPr>
      </w:pPr>
    </w:p>
  </w:footnote>
  <w:footnote w:id="2">
    <w:p w:rsidR="0060482C" w:rsidRPr="0060482C" w:rsidRDefault="0060482C">
      <w:pPr>
        <w:pStyle w:val="Notedebasdepage"/>
      </w:pPr>
      <w:r>
        <w:rPr>
          <w:rStyle w:val="Appelnotedebasdep"/>
        </w:rPr>
        <w:tab/>
      </w:r>
      <w:r w:rsidRPr="0060482C">
        <w:rPr>
          <w:rStyle w:val="Appelnotedebasdep"/>
          <w:sz w:val="20"/>
          <w:vertAlign w:val="baseline"/>
        </w:rPr>
        <w:t>*</w:t>
      </w:r>
      <w:r>
        <w:rPr>
          <w:rStyle w:val="Appelnotedebasdep"/>
          <w:sz w:val="20"/>
          <w:vertAlign w:val="baseline"/>
        </w:rPr>
        <w:tab/>
      </w:r>
      <w: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C" w:rsidRPr="0060482C" w:rsidRDefault="0060482C">
    <w:pPr>
      <w:pStyle w:val="En-tte"/>
    </w:pPr>
    <w:fldSimple w:instr=" TITLE  \* MERGEFORMAT ">
      <w:r w:rsidR="00BA02DA">
        <w:t>ECE/TRANS/WP.29/GRE/2019/24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C" w:rsidRPr="0060482C" w:rsidRDefault="0060482C" w:rsidP="0060482C">
    <w:pPr>
      <w:pStyle w:val="En-tte"/>
      <w:jc w:val="right"/>
    </w:pPr>
    <w:fldSimple w:instr=" TITLE  \* MERGEFORMAT ">
      <w:r w:rsidR="00BA02DA">
        <w:t>ECE/TRANS/WP.29/GRE/2019/24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1412"/>
    <w:rsid w:val="00017F94"/>
    <w:rsid w:val="00023842"/>
    <w:rsid w:val="000334F9"/>
    <w:rsid w:val="00045FEB"/>
    <w:rsid w:val="0007796D"/>
    <w:rsid w:val="000B7790"/>
    <w:rsid w:val="00111F2F"/>
    <w:rsid w:val="0014365E"/>
    <w:rsid w:val="00143C66"/>
    <w:rsid w:val="00176178"/>
    <w:rsid w:val="001F525A"/>
    <w:rsid w:val="00220535"/>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0482C"/>
    <w:rsid w:val="0071601D"/>
    <w:rsid w:val="007A62E6"/>
    <w:rsid w:val="007F20FA"/>
    <w:rsid w:val="0080684C"/>
    <w:rsid w:val="00871C75"/>
    <w:rsid w:val="008776DC"/>
    <w:rsid w:val="009446C0"/>
    <w:rsid w:val="009705C8"/>
    <w:rsid w:val="009C1CF4"/>
    <w:rsid w:val="009F6B74"/>
    <w:rsid w:val="00A3029F"/>
    <w:rsid w:val="00A30353"/>
    <w:rsid w:val="00AA758F"/>
    <w:rsid w:val="00AB1412"/>
    <w:rsid w:val="00AC3823"/>
    <w:rsid w:val="00AE323C"/>
    <w:rsid w:val="00AF0CB5"/>
    <w:rsid w:val="00B00181"/>
    <w:rsid w:val="00B00B0D"/>
    <w:rsid w:val="00B45F2E"/>
    <w:rsid w:val="00B765F7"/>
    <w:rsid w:val="00BA02DA"/>
    <w:rsid w:val="00BA0CA9"/>
    <w:rsid w:val="00C02897"/>
    <w:rsid w:val="00C97039"/>
    <w:rsid w:val="00CC477C"/>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F6B9D9"/>
  <w15:docId w15:val="{36B29346-D7DF-43AA-AF98-0402F144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PP,Footnote Text Char,5_G_6,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PP Car,Footnote Text Char Car,5_G_6 Car,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content">
    <w:name w:val="content"/>
    <w:basedOn w:val="Policepardfaut"/>
    <w:rsid w:val="0060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395</Words>
  <Characters>2771</Characters>
  <Application>Microsoft Office Word</Application>
  <DocSecurity>0</DocSecurity>
  <Lines>230</Lines>
  <Paragraphs>126</Paragraphs>
  <ScaleCrop>false</ScaleCrop>
  <HeadingPairs>
    <vt:vector size="2" baseType="variant">
      <vt:variant>
        <vt:lpstr>Titre</vt:lpstr>
      </vt:variant>
      <vt:variant>
        <vt:i4>1</vt:i4>
      </vt:variant>
    </vt:vector>
  </HeadingPairs>
  <TitlesOfParts>
    <vt:vector size="1" baseType="lpstr">
      <vt:lpstr>ECE/TRANS/WP.29/GRE/2019/24</vt:lpstr>
    </vt:vector>
  </TitlesOfParts>
  <Company>DCM</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ECE/TRANS/WP.29/GRE/2019/24</dc:title>
  <dc:subject/>
  <dc:creator>Fabienne CRELIER</dc:creator>
  <cp:keywords/>
  <cp:lastModifiedBy>Fabienne CRELIER</cp:lastModifiedBy>
  <cp:revision>2</cp:revision>
  <cp:lastPrinted>2019-09-03T13:36:00Z</cp:lastPrinted>
  <dcterms:created xsi:type="dcterms:W3CDTF">2019-09-03T13:59:00Z</dcterms:created>
  <dcterms:modified xsi:type="dcterms:W3CDTF">2019-09-03T13:59:00Z</dcterms:modified>
</cp:coreProperties>
</file>