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F7C76"/>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F7C76" w:rsidP="009F7C76">
            <w:pPr>
              <w:jc w:val="right"/>
            </w:pPr>
            <w:r w:rsidRPr="009F7C76">
              <w:rPr>
                <w:sz w:val="40"/>
              </w:rPr>
              <w:t>ECE</w:t>
            </w:r>
            <w:r>
              <w:t>/TRANS/WP.29/GRE/2019/13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F7C76" w:rsidP="00C97039">
            <w:pPr>
              <w:spacing w:before="240"/>
            </w:pPr>
            <w:r>
              <w:t>Distr. générale</w:t>
            </w:r>
          </w:p>
          <w:p w:rsidR="009F7C76" w:rsidRDefault="009F7C76" w:rsidP="009F7C76">
            <w:pPr>
              <w:spacing w:line="240" w:lineRule="exact"/>
            </w:pPr>
            <w:r>
              <w:t>6 août 2019</w:t>
            </w:r>
          </w:p>
          <w:p w:rsidR="009F7C76" w:rsidRDefault="009F7C76" w:rsidP="009F7C76">
            <w:pPr>
              <w:spacing w:line="240" w:lineRule="exact"/>
            </w:pPr>
            <w:r>
              <w:t>Français</w:t>
            </w:r>
          </w:p>
          <w:p w:rsidR="009F7C76" w:rsidRPr="00DB58B5" w:rsidRDefault="009F7C76" w:rsidP="009F7C7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C6A9F">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F7C76" w:rsidRDefault="009F7C76" w:rsidP="00AF0CB5">
      <w:pPr>
        <w:spacing w:before="120"/>
        <w:rPr>
          <w:b/>
          <w:sz w:val="24"/>
          <w:szCs w:val="24"/>
        </w:rPr>
      </w:pPr>
      <w:r w:rsidRPr="00685843">
        <w:rPr>
          <w:b/>
          <w:sz w:val="24"/>
          <w:szCs w:val="24"/>
        </w:rPr>
        <w:t>Forum mondial de l</w:t>
      </w:r>
      <w:r w:rsidR="00CC6A9F">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9F7C76" w:rsidRDefault="009F7C76" w:rsidP="00257168">
      <w:pPr>
        <w:spacing w:before="120" w:after="120" w:line="240" w:lineRule="exact"/>
        <w:rPr>
          <w:b/>
        </w:rPr>
      </w:pPr>
      <w:r>
        <w:rPr>
          <w:b/>
        </w:rPr>
        <w:t>Groupe de travail de l</w:t>
      </w:r>
      <w:r w:rsidR="00CC6A9F">
        <w:rPr>
          <w:b/>
        </w:rPr>
        <w:t>’</w:t>
      </w:r>
      <w:r>
        <w:rPr>
          <w:b/>
        </w:rPr>
        <w:t>éclairage et de la signalisation lumineuse</w:t>
      </w:r>
    </w:p>
    <w:p w:rsidR="009F7C76" w:rsidRDefault="009F7C76" w:rsidP="00257168">
      <w:pPr>
        <w:spacing w:before="120" w:line="240" w:lineRule="exact"/>
        <w:rPr>
          <w:b/>
        </w:rPr>
      </w:pPr>
      <w:r w:rsidRPr="009F7C76">
        <w:rPr>
          <w:b/>
          <w:bCs/>
        </w:rPr>
        <w:t xml:space="preserve">Quatre-vingt-deuxième </w:t>
      </w:r>
      <w:r>
        <w:rPr>
          <w:b/>
        </w:rPr>
        <w:t>session</w:t>
      </w:r>
    </w:p>
    <w:p w:rsidR="009F7C76" w:rsidRPr="009F7C76" w:rsidRDefault="009F7C76" w:rsidP="009F7C76">
      <w:pPr>
        <w:spacing w:line="240" w:lineRule="exact"/>
      </w:pPr>
      <w:r>
        <w:t xml:space="preserve">Genève, </w:t>
      </w:r>
      <w:r w:rsidRPr="009F7C76">
        <w:t>22-25 octobre 2019</w:t>
      </w:r>
    </w:p>
    <w:p w:rsidR="009F7C76" w:rsidRPr="009F7C76" w:rsidRDefault="009F7C76" w:rsidP="009F7C76">
      <w:pPr>
        <w:spacing w:line="240" w:lineRule="exact"/>
      </w:pPr>
      <w:r w:rsidRPr="009F7C76">
        <w:t>Point</w:t>
      </w:r>
      <w:r>
        <w:t> </w:t>
      </w:r>
      <w:r w:rsidRPr="009F7C76">
        <w:t>1 de l</w:t>
      </w:r>
      <w:r w:rsidR="00CC6A9F">
        <w:t>’</w:t>
      </w:r>
      <w:r w:rsidRPr="009F7C76">
        <w:t>ordre du jour provisoire</w:t>
      </w:r>
    </w:p>
    <w:p w:rsidR="009F7C76" w:rsidRDefault="009F7C76" w:rsidP="009F7C76">
      <w:pPr>
        <w:spacing w:line="240" w:lineRule="exact"/>
      </w:pPr>
      <w:r w:rsidRPr="009F7C76">
        <w:rPr>
          <w:b/>
          <w:bCs/>
        </w:rPr>
        <w:t>Adoption de l</w:t>
      </w:r>
      <w:r w:rsidR="00CC6A9F">
        <w:rPr>
          <w:b/>
          <w:bCs/>
        </w:rPr>
        <w:t>’</w:t>
      </w:r>
      <w:r w:rsidRPr="009F7C76">
        <w:rPr>
          <w:b/>
          <w:bCs/>
        </w:rPr>
        <w:t>ordre du jour</w:t>
      </w:r>
    </w:p>
    <w:p w:rsidR="009F7C76" w:rsidRPr="009F7C76" w:rsidRDefault="009F7C76" w:rsidP="009F7C76">
      <w:pPr>
        <w:pStyle w:val="HChG"/>
      </w:pPr>
      <w:r>
        <w:tab/>
      </w:r>
      <w:r>
        <w:tab/>
      </w:r>
      <w:r w:rsidRPr="009F7C76">
        <w:t xml:space="preserve">Ordre du jour provisoire annoté de </w:t>
      </w:r>
      <w:r>
        <w:br/>
      </w:r>
      <w:r w:rsidRPr="009F7C76">
        <w:t>la quatre-vingt-deuxième session</w:t>
      </w:r>
      <w:r w:rsidRPr="009F7C76">
        <w:rPr>
          <w:b w:val="0"/>
          <w:position w:val="6"/>
          <w:sz w:val="20"/>
        </w:rPr>
        <w:footnoteReference w:customMarkFollows="1" w:id="2"/>
        <w:t>*,</w:t>
      </w:r>
      <w:r>
        <w:rPr>
          <w:b w:val="0"/>
          <w:position w:val="6"/>
          <w:sz w:val="20"/>
        </w:rPr>
        <w:t xml:space="preserve"> </w:t>
      </w:r>
      <w:r w:rsidRPr="009F7C76">
        <w:rPr>
          <w:b w:val="0"/>
          <w:position w:val="6"/>
          <w:sz w:val="20"/>
        </w:rPr>
        <w:footnoteReference w:customMarkFollows="1" w:id="3"/>
        <w:t>**</w:t>
      </w:r>
      <w:r w:rsidRPr="009F7C76">
        <w:t xml:space="preserve"> </w:t>
      </w:r>
    </w:p>
    <w:p w:rsidR="009F7C76" w:rsidRPr="009F7C76" w:rsidRDefault="009F7C76" w:rsidP="009F7C76">
      <w:pPr>
        <w:pStyle w:val="H56G"/>
      </w:pPr>
      <w:r>
        <w:tab/>
      </w:r>
      <w:r>
        <w:tab/>
      </w:r>
      <w:r w:rsidRPr="009F7C76">
        <w:t>Qui s</w:t>
      </w:r>
      <w:r w:rsidR="00CC6A9F">
        <w:t>’</w:t>
      </w:r>
      <w:r w:rsidRPr="009F7C76">
        <w:t>ouvrira au Palais des Nations, à Genève, le 22</w:t>
      </w:r>
      <w:r>
        <w:t> </w:t>
      </w:r>
      <w:r w:rsidRPr="009F7C76">
        <w:t xml:space="preserve">octobre 2019 à 9 h 30, </w:t>
      </w:r>
      <w:r>
        <w:br/>
      </w:r>
      <w:r w:rsidRPr="009F7C76">
        <w:t>et s</w:t>
      </w:r>
      <w:r w:rsidR="00CC6A9F">
        <w:t>’</w:t>
      </w:r>
      <w:r w:rsidRPr="009F7C76">
        <w:t>achèvera le 25</w:t>
      </w:r>
      <w:r>
        <w:t> </w:t>
      </w:r>
      <w:r w:rsidRPr="009F7C76">
        <w:t>octobre 2019 à 12 h 30.</w:t>
      </w:r>
    </w:p>
    <w:p w:rsidR="009F7C76" w:rsidRPr="009F7C76" w:rsidRDefault="009F7C76" w:rsidP="009F7C76">
      <w:pPr>
        <w:pStyle w:val="HChG"/>
      </w:pPr>
      <w:r>
        <w:tab/>
      </w:r>
      <w:r w:rsidRPr="009F7C76">
        <w:t>I.</w:t>
      </w:r>
      <w:r w:rsidRPr="009F7C76">
        <w:tab/>
        <w:t>Ordre du jour provisoire</w:t>
      </w:r>
    </w:p>
    <w:p w:rsidR="009F7C76" w:rsidRPr="009F7C76" w:rsidRDefault="009F7C76" w:rsidP="009F7C76">
      <w:pPr>
        <w:pStyle w:val="SingleTxtG"/>
      </w:pPr>
      <w:r w:rsidRPr="009F7C76">
        <w:t>1.</w:t>
      </w:r>
      <w:r w:rsidRPr="009F7C76">
        <w:tab/>
        <w:t>Adoption de l</w:t>
      </w:r>
      <w:r w:rsidR="00CC6A9F">
        <w:t>’</w:t>
      </w:r>
      <w:r w:rsidRPr="009F7C76">
        <w:t>ordre du jour.</w:t>
      </w:r>
    </w:p>
    <w:p w:rsidR="009F7C76" w:rsidRPr="009F7C76" w:rsidRDefault="009F7C76" w:rsidP="009F7C76">
      <w:pPr>
        <w:pStyle w:val="SingleTxtG"/>
      </w:pPr>
      <w:r w:rsidRPr="009F7C76">
        <w:t>2.</w:t>
      </w:r>
      <w:r w:rsidRPr="009F7C76">
        <w:tab/>
        <w:t xml:space="preserve">Accord de 1998 </w:t>
      </w:r>
      <w:r>
        <w:t>− </w:t>
      </w:r>
      <w:r w:rsidRPr="009F7C76">
        <w:t>Règlements techniques mondiaux ONU</w:t>
      </w:r>
      <w:r>
        <w:t> </w:t>
      </w:r>
      <w:r w:rsidRPr="009F7C76">
        <w:t>: Élaboration.</w:t>
      </w:r>
    </w:p>
    <w:p w:rsidR="009F7C76" w:rsidRPr="009F7C76" w:rsidRDefault="009F7C76" w:rsidP="009F7C76">
      <w:pPr>
        <w:pStyle w:val="SingleTxtG"/>
      </w:pPr>
      <w:r w:rsidRPr="009F7C76">
        <w:t>3.</w:t>
      </w:r>
      <w:r w:rsidRPr="009F7C76">
        <w:tab/>
        <w:t xml:space="preserve">Accord de 1997 </w:t>
      </w:r>
      <w:r>
        <w:t>− </w:t>
      </w:r>
      <w:r w:rsidRPr="009F7C76">
        <w:t>Règles</w:t>
      </w:r>
      <w:r>
        <w:t> </w:t>
      </w:r>
      <w:r w:rsidRPr="009F7C76">
        <w:t>: Élaboration.</w:t>
      </w:r>
    </w:p>
    <w:p w:rsidR="009F7C76" w:rsidRPr="009F7C76" w:rsidRDefault="009F7C76" w:rsidP="009F7C76">
      <w:pPr>
        <w:pStyle w:val="SingleTxtG"/>
        <w:ind w:left="1701" w:hanging="567"/>
      </w:pPr>
      <w:r w:rsidRPr="009F7C76">
        <w:t>4.</w:t>
      </w:r>
      <w:r w:rsidRPr="009F7C76">
        <w:tab/>
        <w:t>Simplification des Règlements ONU relatifs à l</w:t>
      </w:r>
      <w:r w:rsidR="00CC6A9F">
        <w:t>’</w:t>
      </w:r>
      <w:r w:rsidRPr="009F7C76">
        <w:t>éclairage et à la signalisation lumineuse.</w:t>
      </w:r>
    </w:p>
    <w:p w:rsidR="009F7C76" w:rsidRPr="009F7C76" w:rsidRDefault="009F7C76" w:rsidP="009F7C76">
      <w:pPr>
        <w:pStyle w:val="SingleTxtG"/>
        <w:ind w:left="1701" w:hanging="567"/>
      </w:pPr>
      <w:r w:rsidRPr="009F7C76">
        <w:lastRenderedPageBreak/>
        <w:t>5.</w:t>
      </w:r>
      <w:r w:rsidRPr="009F7C76">
        <w:tab/>
        <w:t>Règlements ONU</w:t>
      </w:r>
      <w:r w:rsidR="00CC6A9F">
        <w:t> </w:t>
      </w:r>
      <w:r w:rsidRPr="002D76F4">
        <w:rPr>
          <w:rFonts w:eastAsia="MS Mincho"/>
          <w:szCs w:val="22"/>
        </w:rPr>
        <w:t>n</w:t>
      </w:r>
      <w:r w:rsidRPr="002D76F4">
        <w:rPr>
          <w:rFonts w:eastAsia="MS Mincho"/>
          <w:szCs w:val="22"/>
          <w:vertAlign w:val="superscript"/>
        </w:rPr>
        <w:t>o</w:t>
      </w:r>
      <w:r>
        <w:rPr>
          <w:rFonts w:eastAsia="MS Mincho"/>
          <w:szCs w:val="22"/>
          <w:vertAlign w:val="superscript"/>
        </w:rPr>
        <w:t>s </w:t>
      </w:r>
      <w:r w:rsidRPr="009F7C76">
        <w:t>37 (Lampes à incandescence), 99</w:t>
      </w:r>
      <w:r w:rsidR="00CC6A9F">
        <w:t> </w:t>
      </w:r>
      <w:r w:rsidRPr="009F7C76">
        <w:t>(Sources lumineuses à décharge) et 128 (Sources lumineuses à diodes électroluminescentes), et Résolution d</w:t>
      </w:r>
      <w:r w:rsidR="00CC6A9F">
        <w:t>’</w:t>
      </w:r>
      <w:r w:rsidRPr="009F7C76">
        <w:t>ensemble sur une spécification commune des catégories de sources lumineuses.</w:t>
      </w:r>
    </w:p>
    <w:p w:rsidR="009F7C76" w:rsidRPr="009F7C76" w:rsidRDefault="009F7C76" w:rsidP="009F7C76">
      <w:pPr>
        <w:pStyle w:val="SingleTxtG"/>
        <w:ind w:left="1701" w:hanging="567"/>
      </w:pPr>
      <w:r w:rsidRPr="009F7C76">
        <w:t>6.</w:t>
      </w:r>
      <w:r w:rsidRPr="009F7C76">
        <w:tab/>
        <w:t xml:space="preserve">Règlement ONU </w:t>
      </w:r>
      <w:r w:rsidRPr="002D76F4">
        <w:rPr>
          <w:rFonts w:eastAsia="MS Mincho"/>
          <w:szCs w:val="22"/>
        </w:rPr>
        <w:t>n</w:t>
      </w:r>
      <w:r w:rsidRPr="002D76F4">
        <w:rPr>
          <w:rFonts w:eastAsia="MS Mincho"/>
          <w:szCs w:val="22"/>
          <w:vertAlign w:val="superscript"/>
        </w:rPr>
        <w:t>o</w:t>
      </w:r>
      <w:r>
        <w:t> </w:t>
      </w:r>
      <w:r w:rsidRPr="009F7C76">
        <w:t>48 (Installation des dispositifs d</w:t>
      </w:r>
      <w:r w:rsidR="00CC6A9F">
        <w:t>’</w:t>
      </w:r>
      <w:r w:rsidRPr="009F7C76">
        <w:t>éclairage et de signalisation lumineuse)</w:t>
      </w:r>
      <w:r>
        <w:t> :</w:t>
      </w:r>
    </w:p>
    <w:p w:rsidR="009F7C76" w:rsidRPr="009F7C76" w:rsidRDefault="009F7C76" w:rsidP="009F7C76">
      <w:pPr>
        <w:pStyle w:val="SingleTxtG"/>
        <w:ind w:left="1701"/>
      </w:pPr>
      <w:r w:rsidRPr="009F7C76">
        <w:t>a)</w:t>
      </w:r>
      <w:r w:rsidRPr="009F7C76">
        <w:tab/>
        <w:t>Propositions d</w:t>
      </w:r>
      <w:r w:rsidR="00CC6A9F">
        <w:t>’</w:t>
      </w:r>
      <w:r w:rsidRPr="009F7C76">
        <w:t>amendements aux séries</w:t>
      </w:r>
      <w:r w:rsidR="00CC6A9F">
        <w:t> </w:t>
      </w:r>
      <w:r w:rsidRPr="009F7C76">
        <w:t>05 et</w:t>
      </w:r>
      <w:r w:rsidR="00CC6A9F">
        <w:t> </w:t>
      </w:r>
      <w:r w:rsidRPr="009F7C76">
        <w:t>06 d</w:t>
      </w:r>
      <w:r w:rsidR="00CC6A9F">
        <w:t>’</w:t>
      </w:r>
      <w:r w:rsidRPr="009F7C76">
        <w:t>amendements ;</w:t>
      </w:r>
    </w:p>
    <w:p w:rsidR="009F7C76" w:rsidRPr="009F7C76" w:rsidRDefault="009F7C76" w:rsidP="009F7C76">
      <w:pPr>
        <w:pStyle w:val="SingleTxtG"/>
        <w:ind w:left="1701"/>
      </w:pPr>
      <w:r w:rsidRPr="009F7C76">
        <w:t>b)</w:t>
      </w:r>
      <w:r w:rsidRPr="009F7C76">
        <w:tab/>
        <w:t>Propositions de nouvelles séries d</w:t>
      </w:r>
      <w:r w:rsidR="00CC6A9F">
        <w:t>’</w:t>
      </w:r>
      <w:r w:rsidRPr="009F7C76">
        <w:t>amendements au Règlement ONU</w:t>
      </w:r>
      <w:r w:rsidR="00CC6A9F">
        <w:t> </w:t>
      </w:r>
      <w:r w:rsidRPr="002D76F4">
        <w:rPr>
          <w:rFonts w:eastAsia="MS Mincho"/>
          <w:szCs w:val="22"/>
        </w:rPr>
        <w:t>n</w:t>
      </w:r>
      <w:r w:rsidRPr="002D76F4">
        <w:rPr>
          <w:rFonts w:eastAsia="MS Mincho"/>
          <w:szCs w:val="22"/>
          <w:vertAlign w:val="superscript"/>
        </w:rPr>
        <w:t>o</w:t>
      </w:r>
      <w:r>
        <w:t> </w:t>
      </w:r>
      <w:r w:rsidRPr="009F7C76">
        <w:t>48.</w:t>
      </w:r>
    </w:p>
    <w:p w:rsidR="009F7C76" w:rsidRPr="009F7C76" w:rsidRDefault="009F7C76" w:rsidP="009F7C76">
      <w:pPr>
        <w:pStyle w:val="SingleTxtG"/>
        <w:keepNext/>
        <w:keepLines/>
      </w:pPr>
      <w:r w:rsidRPr="009F7C76">
        <w:t>7.</w:t>
      </w:r>
      <w:r w:rsidRPr="009F7C76">
        <w:tab/>
        <w:t>Autres Règlements ONU</w:t>
      </w:r>
      <w:r>
        <w:t> :</w:t>
      </w:r>
    </w:p>
    <w:p w:rsidR="009F7C76" w:rsidRPr="009F7C76" w:rsidRDefault="009F7C76" w:rsidP="009F7C76">
      <w:pPr>
        <w:pStyle w:val="SingleTxtG"/>
        <w:ind w:left="1701"/>
      </w:pPr>
      <w:r w:rsidRPr="009F7C76">
        <w:t>a)</w:t>
      </w:r>
      <w:r w:rsidRPr="009F7C76">
        <w:tab/>
        <w:t xml:space="preserve">Règlement ONU </w:t>
      </w:r>
      <w:r w:rsidRPr="002D76F4">
        <w:rPr>
          <w:rFonts w:eastAsia="MS Mincho"/>
          <w:szCs w:val="22"/>
        </w:rPr>
        <w:t>n</w:t>
      </w:r>
      <w:r w:rsidRPr="002D76F4">
        <w:rPr>
          <w:rFonts w:eastAsia="MS Mincho"/>
          <w:szCs w:val="22"/>
          <w:vertAlign w:val="superscript"/>
        </w:rPr>
        <w:t>o</w:t>
      </w:r>
      <w:r>
        <w:t> </w:t>
      </w:r>
      <w:r w:rsidRPr="009F7C76">
        <w:t>10 (Compatibilité électromagnétique)</w:t>
      </w:r>
      <w:r>
        <w:t> </w:t>
      </w:r>
      <w:r w:rsidRPr="009F7C76">
        <w:t>;</w:t>
      </w:r>
    </w:p>
    <w:p w:rsidR="009F7C76" w:rsidRPr="009F7C76" w:rsidRDefault="009F7C76" w:rsidP="009F7C76">
      <w:pPr>
        <w:pStyle w:val="SingleTxtG"/>
        <w:ind w:left="2268" w:hanging="567"/>
      </w:pPr>
      <w:r w:rsidRPr="009F7C76">
        <w:t>b)</w:t>
      </w:r>
      <w:r w:rsidRPr="009F7C76">
        <w:tab/>
        <w:t xml:space="preserve">Règlement ONU </w:t>
      </w:r>
      <w:r w:rsidRPr="002D76F4">
        <w:rPr>
          <w:rFonts w:eastAsia="MS Mincho"/>
          <w:szCs w:val="22"/>
        </w:rPr>
        <w:t>n</w:t>
      </w:r>
      <w:r w:rsidRPr="002D76F4">
        <w:rPr>
          <w:rFonts w:eastAsia="MS Mincho"/>
          <w:szCs w:val="22"/>
          <w:vertAlign w:val="superscript"/>
        </w:rPr>
        <w:t>o</w:t>
      </w:r>
      <w:r>
        <w:t> </w:t>
      </w:r>
      <w:r w:rsidRPr="009F7C76">
        <w:t>53 (Installation des dispositifs d</w:t>
      </w:r>
      <w:r w:rsidR="00CC6A9F">
        <w:t>’</w:t>
      </w:r>
      <w:r w:rsidRPr="009F7C76">
        <w:t>éclairage et de signalisation lumineuse sur les véhicules de la catégorie</w:t>
      </w:r>
      <w:r>
        <w:t> </w:t>
      </w:r>
      <w:r w:rsidRPr="009F7C76">
        <w:t>L</w:t>
      </w:r>
      <w:r w:rsidRPr="009F7C76">
        <w:rPr>
          <w:vertAlign w:val="subscript"/>
        </w:rPr>
        <w:t>3</w:t>
      </w:r>
      <w:r w:rsidRPr="009F7C76">
        <w:t>)</w:t>
      </w:r>
      <w:r>
        <w:t> ;</w:t>
      </w:r>
    </w:p>
    <w:p w:rsidR="009F7C76" w:rsidRPr="009F7C76" w:rsidRDefault="009F7C76" w:rsidP="009F7C76">
      <w:pPr>
        <w:pStyle w:val="SingleTxtG"/>
        <w:ind w:left="2268" w:hanging="567"/>
      </w:pPr>
      <w:r w:rsidRPr="009F7C76">
        <w:t>c)</w:t>
      </w:r>
      <w:r w:rsidRPr="009F7C76">
        <w:tab/>
        <w:t xml:space="preserve">Règlement ONU </w:t>
      </w:r>
      <w:r w:rsidRPr="002D76F4">
        <w:rPr>
          <w:rFonts w:eastAsia="MS Mincho"/>
          <w:szCs w:val="22"/>
        </w:rPr>
        <w:t>n</w:t>
      </w:r>
      <w:r w:rsidRPr="002D76F4">
        <w:rPr>
          <w:rFonts w:eastAsia="MS Mincho"/>
          <w:szCs w:val="22"/>
          <w:vertAlign w:val="superscript"/>
        </w:rPr>
        <w:t>o</w:t>
      </w:r>
      <w:r>
        <w:t> </w:t>
      </w:r>
      <w:r w:rsidRPr="009F7C76">
        <w:t>65 (Feux spéciaux d</w:t>
      </w:r>
      <w:r w:rsidR="00CC6A9F">
        <w:t>’</w:t>
      </w:r>
      <w:r w:rsidRPr="009F7C76">
        <w:t>avertissement).</w:t>
      </w:r>
    </w:p>
    <w:p w:rsidR="009F7C76" w:rsidRPr="009F7C76" w:rsidRDefault="009F7C76" w:rsidP="009F7C76">
      <w:pPr>
        <w:pStyle w:val="SingleTxtG"/>
        <w:keepNext/>
        <w:keepLines/>
      </w:pPr>
      <w:r w:rsidRPr="009F7C76">
        <w:t>8.</w:t>
      </w:r>
      <w:r w:rsidRPr="009F7C76">
        <w:tab/>
        <w:t>Questions diverses :</w:t>
      </w:r>
    </w:p>
    <w:p w:rsidR="009F7C76" w:rsidRPr="009F7C76" w:rsidRDefault="009F7C76" w:rsidP="009F7C76">
      <w:pPr>
        <w:pStyle w:val="SingleTxtG"/>
        <w:ind w:left="2268" w:hanging="567"/>
      </w:pPr>
      <w:r w:rsidRPr="009F7C76">
        <w:t>a)</w:t>
      </w:r>
      <w:r w:rsidRPr="009F7C76">
        <w:tab/>
        <w:t>Mise au point d</w:t>
      </w:r>
      <w:r w:rsidR="00CC6A9F">
        <w:t>’</w:t>
      </w:r>
      <w:r w:rsidRPr="009F7C76">
        <w:t>une homologation de type internationale de l</w:t>
      </w:r>
      <w:r w:rsidR="00CC6A9F">
        <w:t>’</w:t>
      </w:r>
      <w:r w:rsidRPr="009F7C76">
        <w:t>ensemble du</w:t>
      </w:r>
      <w:r>
        <w:t> </w:t>
      </w:r>
      <w:r w:rsidRPr="009F7C76">
        <w:t>véhicule ;</w:t>
      </w:r>
    </w:p>
    <w:p w:rsidR="009F7C76" w:rsidRPr="009F7C76" w:rsidRDefault="009F7C76" w:rsidP="009F7C76">
      <w:pPr>
        <w:pStyle w:val="SingleTxtG"/>
        <w:ind w:left="2268" w:hanging="567"/>
      </w:pPr>
      <w:r w:rsidRPr="009F7C76">
        <w:t>b)</w:t>
      </w:r>
      <w:r w:rsidRPr="009F7C76">
        <w:tab/>
        <w:t>Amendements à la Convention sur la circulation routière (Vienne, 1968) ;</w:t>
      </w:r>
    </w:p>
    <w:p w:rsidR="009F7C76" w:rsidRPr="009F7C76" w:rsidRDefault="009F7C76" w:rsidP="009F7C76">
      <w:pPr>
        <w:pStyle w:val="SingleTxtG"/>
        <w:ind w:left="2268" w:hanging="567"/>
      </w:pPr>
      <w:r w:rsidRPr="009F7C76">
        <w:t>c)</w:t>
      </w:r>
      <w:r w:rsidRPr="009F7C76">
        <w:tab/>
        <w:t>Décennie d</w:t>
      </w:r>
      <w:r w:rsidR="00CC6A9F">
        <w:t>’</w:t>
      </w:r>
      <w:r w:rsidRPr="009F7C76">
        <w:t>action pour la sécurité routière</w:t>
      </w:r>
      <w:r w:rsidR="00CC6A9F">
        <w:t> </w:t>
      </w:r>
      <w:r w:rsidRPr="009F7C76">
        <w:t>2011-2020 ;</w:t>
      </w:r>
    </w:p>
    <w:p w:rsidR="009F7C76" w:rsidRPr="009F7C76" w:rsidRDefault="009F7C76" w:rsidP="009F7C76">
      <w:pPr>
        <w:pStyle w:val="SingleTxtG"/>
        <w:ind w:left="2268" w:hanging="567"/>
      </w:pPr>
      <w:r w:rsidRPr="009F7C76">
        <w:t>d)</w:t>
      </w:r>
      <w:r w:rsidRPr="009F7C76">
        <w:tab/>
        <w:t>Demandes du Comité des transports intérieurs ;</w:t>
      </w:r>
    </w:p>
    <w:p w:rsidR="009F7C76" w:rsidRPr="009F7C76" w:rsidRDefault="009F7C76" w:rsidP="009F7C76">
      <w:pPr>
        <w:pStyle w:val="SingleTxtG"/>
        <w:ind w:left="2268" w:hanging="567"/>
      </w:pPr>
      <w:r w:rsidRPr="009F7C76">
        <w:t>e)</w:t>
      </w:r>
      <w:r w:rsidRPr="009F7C76">
        <w:tab/>
        <w:t>Dispositions transitoires caduques.</w:t>
      </w:r>
    </w:p>
    <w:p w:rsidR="009F7C76" w:rsidRPr="009F7C76" w:rsidRDefault="009F7C76" w:rsidP="009F7C76">
      <w:pPr>
        <w:pStyle w:val="SingleTxtG"/>
      </w:pPr>
      <w:r w:rsidRPr="009F7C76">
        <w:t>9.</w:t>
      </w:r>
      <w:r w:rsidRPr="009F7C76">
        <w:tab/>
        <w:t>Autres questions et soumissions tardives.</w:t>
      </w:r>
    </w:p>
    <w:p w:rsidR="009F7C76" w:rsidRPr="009F7C76" w:rsidRDefault="009F7C76" w:rsidP="009F7C76">
      <w:pPr>
        <w:pStyle w:val="SingleTxtG"/>
      </w:pPr>
      <w:r w:rsidRPr="009F7C76">
        <w:t>10.</w:t>
      </w:r>
      <w:r w:rsidRPr="009F7C76">
        <w:tab/>
        <w:t>Orientation des travaux futurs du GRE.</w:t>
      </w:r>
    </w:p>
    <w:p w:rsidR="009F7C76" w:rsidRPr="009F7C76" w:rsidRDefault="009F7C76" w:rsidP="009F7C76">
      <w:pPr>
        <w:pStyle w:val="SingleTxtG"/>
      </w:pPr>
      <w:r w:rsidRPr="009F7C76">
        <w:t>11.</w:t>
      </w:r>
      <w:r w:rsidRPr="009F7C76">
        <w:tab/>
        <w:t xml:space="preserve">Ordre du jour provisoire de la prochaine session. </w:t>
      </w:r>
    </w:p>
    <w:p w:rsidR="009F7C76" w:rsidRPr="009F7C76" w:rsidRDefault="009F7C76" w:rsidP="009F7C76">
      <w:pPr>
        <w:pStyle w:val="SingleTxtG"/>
      </w:pPr>
      <w:r w:rsidRPr="009F7C76">
        <w:t>12.</w:t>
      </w:r>
      <w:r w:rsidRPr="009F7C76">
        <w:tab/>
        <w:t>Élection du Bureau.</w:t>
      </w:r>
    </w:p>
    <w:p w:rsidR="009F7C76" w:rsidRPr="009F7C76" w:rsidRDefault="009F7C76" w:rsidP="009F7C76">
      <w:pPr>
        <w:pStyle w:val="HChG"/>
      </w:pPr>
      <w:r>
        <w:tab/>
      </w:r>
      <w:r w:rsidRPr="009F7C76">
        <w:t>II.</w:t>
      </w:r>
      <w:r w:rsidRPr="009F7C76">
        <w:tab/>
        <w:t>Annotations</w:t>
      </w:r>
    </w:p>
    <w:p w:rsidR="009F7C76" w:rsidRPr="009F7C76" w:rsidRDefault="009F7C76" w:rsidP="00C62B97">
      <w:pPr>
        <w:pStyle w:val="H1G"/>
      </w:pPr>
      <w:r>
        <w:tab/>
      </w:r>
      <w:r w:rsidRPr="009F7C76">
        <w:t>1.</w:t>
      </w:r>
      <w:r w:rsidRPr="009F7C76">
        <w:tab/>
        <w:t>Adoption de l</w:t>
      </w:r>
      <w:r w:rsidR="00CC6A9F">
        <w:t>’</w:t>
      </w:r>
      <w:r w:rsidRPr="009F7C76">
        <w:t>ordre du jour</w:t>
      </w:r>
    </w:p>
    <w:p w:rsidR="009F7C76" w:rsidRPr="009F7C76" w:rsidRDefault="009F7C76" w:rsidP="009F7C76">
      <w:pPr>
        <w:pStyle w:val="SingleTxtG"/>
        <w:ind w:firstLine="567"/>
      </w:pPr>
      <w:r w:rsidRPr="009F7C76">
        <w:t>Conformément à l</w:t>
      </w:r>
      <w:r w:rsidR="00CC6A9F">
        <w:t>’</w:t>
      </w:r>
      <w:r w:rsidRPr="009F7C76">
        <w:t>article</w:t>
      </w:r>
      <w:r>
        <w:t> </w:t>
      </w:r>
      <w:r w:rsidRPr="009F7C76">
        <w:t>7 du chapitre</w:t>
      </w:r>
      <w:r>
        <w:t> </w:t>
      </w:r>
      <w:r w:rsidRPr="009F7C76">
        <w:t>III du Règlement intérieur du Forum mondial de l</w:t>
      </w:r>
      <w:r w:rsidR="00CC6A9F">
        <w:t>’</w:t>
      </w:r>
      <w:r w:rsidRPr="009F7C76">
        <w:t>harmonisation des Règlements concernant les véhicules (WP.29) (TRANS/WP.29/690, Amend.1 et Amend.2), le premier point de l</w:t>
      </w:r>
      <w:r w:rsidR="00CC6A9F">
        <w:t>’</w:t>
      </w:r>
      <w:r w:rsidRPr="009F7C76">
        <w:t>ordre du jour provisoire est son adoption.</w:t>
      </w:r>
    </w:p>
    <w:p w:rsidR="009F7C76" w:rsidRPr="009F7C76" w:rsidRDefault="009F7C76" w:rsidP="009F7C76">
      <w:pPr>
        <w:pStyle w:val="SingleTxtG"/>
      </w:pPr>
      <w:r w:rsidRPr="009F7C76">
        <w:rPr>
          <w:b/>
        </w:rPr>
        <w:t>Document(s)</w:t>
      </w:r>
      <w:r w:rsidRPr="009F7C76">
        <w:t xml:space="preserve"> : </w:t>
      </w:r>
      <w:r w:rsidRPr="009F7C76">
        <w:tab/>
        <w:t>ECE/TRANS/WP.29/GRE/2019/13</w:t>
      </w:r>
      <w:r>
        <w:t>.</w:t>
      </w:r>
    </w:p>
    <w:p w:rsidR="009F7C76" w:rsidRPr="009F7C76" w:rsidRDefault="009F7C76" w:rsidP="00C62B97">
      <w:pPr>
        <w:pStyle w:val="H1G"/>
      </w:pPr>
      <w:r>
        <w:tab/>
      </w:r>
      <w:r w:rsidRPr="009F7C76">
        <w:t>2.</w:t>
      </w:r>
      <w:r w:rsidRPr="009F7C76">
        <w:tab/>
        <w:t xml:space="preserve">Accord de 1998 </w:t>
      </w:r>
      <w:r>
        <w:t>− </w:t>
      </w:r>
      <w:r w:rsidRPr="009F7C76">
        <w:t>Règlements techniques mondiaux ONU</w:t>
      </w:r>
      <w:r>
        <w:t> </w:t>
      </w:r>
      <w:r w:rsidRPr="009F7C76">
        <w:t>: Élaboration</w:t>
      </w:r>
    </w:p>
    <w:p w:rsidR="009F7C76" w:rsidRPr="009F7C76" w:rsidRDefault="009F7C76" w:rsidP="009F7C76">
      <w:pPr>
        <w:pStyle w:val="SingleTxtG"/>
        <w:ind w:firstLine="567"/>
      </w:pPr>
      <w:r w:rsidRPr="009F7C76">
        <w:t>Le Groupe de travail de l</w:t>
      </w:r>
      <w:r w:rsidR="00CC6A9F">
        <w:t>’</w:t>
      </w:r>
      <w:r w:rsidRPr="009F7C76">
        <w:t>éclairage et de la signalisation lumineuse (GRE) souhaitera sans doute reprendre l</w:t>
      </w:r>
      <w:r w:rsidR="00CC6A9F">
        <w:t>’</w:t>
      </w:r>
      <w:r w:rsidRPr="009F7C76">
        <w:t>examen de cette question. Il attend que de nouvelles propositions soient formulées et que des contributeurs se manifestent pour élaborer un Règlement technique mondial ONU (RTM ONU). À sa session précédente, lors du débat sur l</w:t>
      </w:r>
      <w:r w:rsidR="00CC6A9F">
        <w:t>’</w:t>
      </w:r>
      <w:r w:rsidRPr="009F7C76">
        <w:t>élaboration du nouveau RTM ONU, le Groupe de travail s</w:t>
      </w:r>
      <w:r w:rsidR="00CC6A9F">
        <w:t>’</w:t>
      </w:r>
      <w:r w:rsidRPr="009F7C76">
        <w:t>est demandé si ce processus devait être mené pendant la phase</w:t>
      </w:r>
      <w:r>
        <w:t> </w:t>
      </w:r>
      <w:r w:rsidRPr="009F7C76">
        <w:t>2 du processus de simplification des Règlements ONU relatifs à l</w:t>
      </w:r>
      <w:r w:rsidR="00CC6A9F">
        <w:t>’</w:t>
      </w:r>
      <w:r w:rsidRPr="009F7C76">
        <w:t>éclairage et à la signalisation lumineuse ou, plutôt, à l</w:t>
      </w:r>
      <w:r w:rsidR="00CC6A9F">
        <w:t>’</w:t>
      </w:r>
      <w:r w:rsidRPr="009F7C76">
        <w:t>issue de l</w:t>
      </w:r>
      <w:r w:rsidR="00CC6A9F">
        <w:t>’</w:t>
      </w:r>
      <w:r w:rsidRPr="009F7C76">
        <w:t>examen des fonctions de signalisation lumineuse des véhicules automatisés/autonomes.</w:t>
      </w:r>
    </w:p>
    <w:p w:rsidR="009F7C76" w:rsidRPr="009F7C76" w:rsidRDefault="009F7C76" w:rsidP="009F7C76">
      <w:pPr>
        <w:pStyle w:val="SingleTxtG"/>
      </w:pPr>
      <w:r w:rsidRPr="009F7C76">
        <w:rPr>
          <w:b/>
        </w:rPr>
        <w:t>Document(s) </w:t>
      </w:r>
      <w:r w:rsidRPr="009F7C76">
        <w:t xml:space="preserve">: </w:t>
      </w:r>
      <w:r w:rsidRPr="009F7C76">
        <w:tab/>
        <w:t>ECE/TRANS/WP.29/GRE/81, par</w:t>
      </w:r>
      <w:r>
        <w:t>agraphe </w:t>
      </w:r>
      <w:r w:rsidRPr="009F7C76">
        <w:t>5</w:t>
      </w:r>
      <w:r>
        <w:t>.</w:t>
      </w:r>
    </w:p>
    <w:p w:rsidR="009F7C76" w:rsidRPr="009F7C76" w:rsidRDefault="009F7C76" w:rsidP="00C62B97">
      <w:pPr>
        <w:pStyle w:val="H1G"/>
      </w:pPr>
      <w:r>
        <w:lastRenderedPageBreak/>
        <w:tab/>
      </w:r>
      <w:r w:rsidRPr="009F7C76">
        <w:t>3.</w:t>
      </w:r>
      <w:r w:rsidRPr="009F7C76">
        <w:tab/>
        <w:t xml:space="preserve">Accord de 1997 </w:t>
      </w:r>
      <w:r>
        <w:t>− </w:t>
      </w:r>
      <w:r w:rsidRPr="009F7C76">
        <w:t>Règles</w:t>
      </w:r>
      <w:r>
        <w:t> </w:t>
      </w:r>
      <w:r w:rsidRPr="009F7C76">
        <w:t>: Élaboration</w:t>
      </w:r>
    </w:p>
    <w:p w:rsidR="009F7C76" w:rsidRPr="009F7C76" w:rsidRDefault="009F7C76" w:rsidP="009F7C76">
      <w:pPr>
        <w:pStyle w:val="SingleTxtG"/>
        <w:ind w:firstLine="567"/>
      </w:pPr>
      <w:r w:rsidRPr="009F7C76">
        <w:t>Le GRE examinera de nouvelles propositions d</w:t>
      </w:r>
      <w:r w:rsidR="00CC6A9F">
        <w:t>’</w:t>
      </w:r>
      <w:r w:rsidRPr="009F7C76">
        <w:t>amendements aux Règles, s</w:t>
      </w:r>
      <w:r w:rsidR="00CC6A9F">
        <w:t>’</w:t>
      </w:r>
      <w:r w:rsidRPr="009F7C76">
        <w:t xml:space="preserve">il y a lieu. </w:t>
      </w:r>
    </w:p>
    <w:p w:rsidR="009F7C76" w:rsidRPr="009F7C76" w:rsidRDefault="009F7C76" w:rsidP="00C62B97">
      <w:pPr>
        <w:pStyle w:val="H1G"/>
      </w:pPr>
      <w:r>
        <w:tab/>
      </w:r>
      <w:r w:rsidRPr="009F7C76">
        <w:t>4.</w:t>
      </w:r>
      <w:r w:rsidRPr="009F7C76">
        <w:tab/>
        <w:t>Simplification des Règlements ONU relatifs à l</w:t>
      </w:r>
      <w:r w:rsidR="00CC6A9F">
        <w:t>’</w:t>
      </w:r>
      <w:r w:rsidRPr="009F7C76">
        <w:t xml:space="preserve">éclairage </w:t>
      </w:r>
      <w:r>
        <w:br/>
      </w:r>
      <w:r w:rsidRPr="009F7C76">
        <w:t>et à la signalisation lumineuse</w:t>
      </w:r>
    </w:p>
    <w:p w:rsidR="009F7C76" w:rsidRPr="009F7C76" w:rsidRDefault="009F7C76" w:rsidP="009F7C76">
      <w:pPr>
        <w:pStyle w:val="SingleTxtG"/>
        <w:ind w:firstLine="567"/>
      </w:pPr>
      <w:r w:rsidRPr="009F7C76">
        <w:t>Le GRE sera informé de l</w:t>
      </w:r>
      <w:r w:rsidR="00CC6A9F">
        <w:t>’</w:t>
      </w:r>
      <w:r w:rsidRPr="009F7C76">
        <w:t>état d</w:t>
      </w:r>
      <w:r w:rsidR="00CC6A9F">
        <w:t>’</w:t>
      </w:r>
      <w:r w:rsidRPr="009F7C76">
        <w:t>avancement des travaux du groupe de travail informel de la simplification des Règlements relatifs à l</w:t>
      </w:r>
      <w:r w:rsidR="00CC6A9F">
        <w:t>’</w:t>
      </w:r>
      <w:r w:rsidRPr="009F7C76">
        <w:t xml:space="preserve">éclairage et à la signalisation lumineuse. </w:t>
      </w:r>
    </w:p>
    <w:p w:rsidR="009F7C76" w:rsidRPr="009F7C76" w:rsidRDefault="009F7C76" w:rsidP="009F7C76">
      <w:pPr>
        <w:pStyle w:val="SingleTxtG"/>
        <w:ind w:firstLine="567"/>
      </w:pPr>
      <w:r w:rsidRPr="009F7C76">
        <w:t>Le GRE prendra note du fait que les trois nouveaux Règlements ONU simplifiés sur les dispositifs de signalisation lumineuse (</w:t>
      </w:r>
      <w:r w:rsidRPr="002D76F4">
        <w:rPr>
          <w:rFonts w:eastAsia="MS Mincho"/>
          <w:szCs w:val="22"/>
        </w:rPr>
        <w:t>n</w:t>
      </w:r>
      <w:r w:rsidRPr="002D76F4">
        <w:rPr>
          <w:rFonts w:eastAsia="MS Mincho"/>
          <w:szCs w:val="22"/>
          <w:vertAlign w:val="superscript"/>
        </w:rPr>
        <w:t>o</w:t>
      </w:r>
      <w:r>
        <w:t> </w:t>
      </w:r>
      <w:r w:rsidRPr="009F7C76">
        <w:t>[148]), les dispositifs d</w:t>
      </w:r>
      <w:r w:rsidR="00CC6A9F">
        <w:t>’</w:t>
      </w:r>
      <w:r w:rsidRPr="009F7C76">
        <w:t>éclairage des routes (</w:t>
      </w:r>
      <w:r w:rsidRPr="002D76F4">
        <w:rPr>
          <w:rFonts w:eastAsia="MS Mincho"/>
          <w:szCs w:val="22"/>
        </w:rPr>
        <w:t>n</w:t>
      </w:r>
      <w:r w:rsidRPr="002D76F4">
        <w:rPr>
          <w:rFonts w:eastAsia="MS Mincho"/>
          <w:szCs w:val="22"/>
          <w:vertAlign w:val="superscript"/>
        </w:rPr>
        <w:t>o</w:t>
      </w:r>
      <w:r>
        <w:t> </w:t>
      </w:r>
      <w:r w:rsidRPr="009F7C76">
        <w:t>[149]) et les dispositifs rétro-réfléchissants (</w:t>
      </w:r>
      <w:r w:rsidRPr="002D76F4">
        <w:rPr>
          <w:rFonts w:eastAsia="MS Mincho"/>
          <w:szCs w:val="22"/>
        </w:rPr>
        <w:t>n</w:t>
      </w:r>
      <w:r w:rsidRPr="002D76F4">
        <w:rPr>
          <w:rFonts w:eastAsia="MS Mincho"/>
          <w:szCs w:val="22"/>
          <w:vertAlign w:val="superscript"/>
        </w:rPr>
        <w:t>o</w:t>
      </w:r>
      <w:r>
        <w:t> </w:t>
      </w:r>
      <w:r w:rsidRPr="009F7C76">
        <w:t>[150]) devraient entrer en vigueur le 15</w:t>
      </w:r>
      <w:r w:rsidR="00C62B97">
        <w:t> </w:t>
      </w:r>
      <w:r w:rsidRPr="009F7C76">
        <w:t>novembre 2019. Dans cette perspective, le GRE examinera une proposition urgente du groupe de travail informel de la simplification des Règlements relatifs à l</w:t>
      </w:r>
      <w:r w:rsidR="00CC6A9F">
        <w:t>’</w:t>
      </w:r>
      <w:r w:rsidRPr="009F7C76">
        <w:t>éclairage et à la signalisation lumineuse visant à corriger des erreurs introduites par inadvertance dans le nouveau Règlement ONU</w:t>
      </w:r>
      <w:r w:rsidR="00C421F5">
        <w:t> </w:t>
      </w:r>
      <w:r w:rsidRPr="002D76F4">
        <w:rPr>
          <w:rFonts w:eastAsia="MS Mincho"/>
          <w:szCs w:val="22"/>
        </w:rPr>
        <w:t>n</w:t>
      </w:r>
      <w:r w:rsidRPr="002D76F4">
        <w:rPr>
          <w:rFonts w:eastAsia="MS Mincho"/>
          <w:szCs w:val="22"/>
          <w:vertAlign w:val="superscript"/>
        </w:rPr>
        <w:t>o</w:t>
      </w:r>
      <w:r>
        <w:t> </w:t>
      </w:r>
      <w:r w:rsidRPr="009F7C76">
        <w:t xml:space="preserve">[149]. La même proposition sera aussi soumise au WP.29, à sa session de novembre 2019, sous une cote officielle WP.29. </w:t>
      </w:r>
    </w:p>
    <w:p w:rsidR="009F7C76" w:rsidRPr="009F7C76" w:rsidRDefault="009F7C76" w:rsidP="009F7C76">
      <w:pPr>
        <w:pStyle w:val="SingleTxtG"/>
      </w:pPr>
      <w:r w:rsidRPr="009F7C76">
        <w:rPr>
          <w:b/>
        </w:rPr>
        <w:t>Document(s) </w:t>
      </w:r>
      <w:r w:rsidRPr="009F7C76">
        <w:t xml:space="preserve">: </w:t>
      </w:r>
      <w:r w:rsidRPr="009F7C76">
        <w:tab/>
        <w:t>Document informel GRE-82-02</w:t>
      </w:r>
      <w:r>
        <w:t>.</w:t>
      </w:r>
    </w:p>
    <w:p w:rsidR="009F7C76" w:rsidRPr="009F7C76" w:rsidRDefault="009F7C76" w:rsidP="009F7C76">
      <w:pPr>
        <w:pStyle w:val="SingleTxtG"/>
        <w:ind w:firstLine="567"/>
      </w:pPr>
      <w:r w:rsidRPr="009F7C76">
        <w:t>Le GRE pourrait aussi décider d</w:t>
      </w:r>
      <w:r w:rsidR="00CC6A9F">
        <w:t>’</w:t>
      </w:r>
      <w:r w:rsidRPr="009F7C76">
        <w:t>examiner des propositions de corrections complémentaires à apporter aux trois nouveaux Règlements ONU, établies par le groupe de travail informel de la simplification des Règlements relatifs à l</w:t>
      </w:r>
      <w:r w:rsidR="00CC6A9F">
        <w:t>’</w:t>
      </w:r>
      <w:r w:rsidRPr="009F7C76">
        <w:t xml:space="preserve">éclairage et à la signalisation lumineuse. </w:t>
      </w:r>
    </w:p>
    <w:p w:rsidR="009F7C76" w:rsidRPr="009F7C76" w:rsidRDefault="009F7C76" w:rsidP="009F7C76">
      <w:pPr>
        <w:pStyle w:val="SingleTxtG"/>
        <w:ind w:left="2835" w:hanging="1701"/>
      </w:pPr>
      <w:r w:rsidRPr="009F7C76">
        <w:rPr>
          <w:b/>
        </w:rPr>
        <w:t>Document(s)</w:t>
      </w:r>
      <w:r w:rsidRPr="009F7C76">
        <w:t xml:space="preserve"> : </w:t>
      </w:r>
      <w:r w:rsidRPr="009F7C76">
        <w:tab/>
        <w:t>ECE/TRANS/WP.29/GRE/2019/24,</w:t>
      </w:r>
      <w:r w:rsidRPr="009F7C76">
        <w:tab/>
        <w:t>ECE/TRANS/WP.29/GRE/2019/25, ECE/TRANS/WP.29/GRE/2019/26</w:t>
      </w:r>
      <w:r>
        <w:t>.</w:t>
      </w:r>
    </w:p>
    <w:p w:rsidR="009F7C76" w:rsidRPr="009F7C76" w:rsidRDefault="009F7C76" w:rsidP="009F7C76">
      <w:pPr>
        <w:pStyle w:val="SingleTxtG"/>
        <w:ind w:firstLine="567"/>
      </w:pPr>
      <w:r w:rsidRPr="009F7C76">
        <w:t>Le GRE examinera des propositions révisées d</w:t>
      </w:r>
      <w:r w:rsidR="00CC6A9F">
        <w:t>’</w:t>
      </w:r>
      <w:r w:rsidRPr="009F7C76">
        <w:t xml:space="preserve">amendements au Règlement ONU </w:t>
      </w:r>
      <w:r w:rsidRPr="002D76F4">
        <w:rPr>
          <w:rFonts w:eastAsia="MS Mincho"/>
          <w:szCs w:val="22"/>
        </w:rPr>
        <w:t>n</w:t>
      </w:r>
      <w:r w:rsidRPr="002D76F4">
        <w:rPr>
          <w:rFonts w:eastAsia="MS Mincho"/>
          <w:szCs w:val="22"/>
          <w:vertAlign w:val="superscript"/>
        </w:rPr>
        <w:t>o</w:t>
      </w:r>
      <w:r>
        <w:t> </w:t>
      </w:r>
      <w:r w:rsidRPr="009F7C76">
        <w:t>[148] et au Règlement ONU</w:t>
      </w:r>
      <w:r w:rsidR="00711441">
        <w:t> </w:t>
      </w:r>
      <w:r w:rsidRPr="002D76F4">
        <w:rPr>
          <w:rFonts w:eastAsia="MS Mincho"/>
          <w:szCs w:val="22"/>
        </w:rPr>
        <w:t>n</w:t>
      </w:r>
      <w:r w:rsidRPr="002D76F4">
        <w:rPr>
          <w:rFonts w:eastAsia="MS Mincho"/>
          <w:szCs w:val="22"/>
          <w:vertAlign w:val="superscript"/>
        </w:rPr>
        <w:t>o</w:t>
      </w:r>
      <w:r>
        <w:t> </w:t>
      </w:r>
      <w:r w:rsidRPr="009F7C76">
        <w:t>48, soumises par les experts de la France et de l</w:t>
      </w:r>
      <w:r w:rsidR="00CC6A9F">
        <w:t>’</w:t>
      </w:r>
      <w:r w:rsidRPr="009F7C76">
        <w:t>Allemagne en vue de définir les conditions d</w:t>
      </w:r>
      <w:r w:rsidR="00CC6A9F">
        <w:t>’</w:t>
      </w:r>
      <w:r w:rsidRPr="009F7C76">
        <w:t>utilisation de logos à l</w:t>
      </w:r>
      <w:r w:rsidR="00CC6A9F">
        <w:t>’</w:t>
      </w:r>
      <w:r w:rsidRPr="009F7C76">
        <w:t>intérieur de la plage éclairante d</w:t>
      </w:r>
      <w:r w:rsidR="00CC6A9F">
        <w:t>’</w:t>
      </w:r>
      <w:r w:rsidRPr="009F7C76">
        <w:t xml:space="preserve">un feu de signalisation. </w:t>
      </w:r>
    </w:p>
    <w:p w:rsidR="009F7C76" w:rsidRPr="009F7C76" w:rsidRDefault="009F7C76" w:rsidP="009F7C76">
      <w:pPr>
        <w:pStyle w:val="SingleTxtG"/>
      </w:pPr>
      <w:r w:rsidRPr="009F7C76">
        <w:rPr>
          <w:b/>
        </w:rPr>
        <w:t>Document(s)</w:t>
      </w:r>
      <w:r w:rsidRPr="009F7C76">
        <w:t xml:space="preserve"> : </w:t>
      </w:r>
      <w:r w:rsidRPr="009F7C76">
        <w:tab/>
        <w:t>ECE/TRANS/WP.29/GRE/2019/28</w:t>
      </w:r>
      <w:r>
        <w:t>.</w:t>
      </w:r>
    </w:p>
    <w:p w:rsidR="009F7C76" w:rsidRPr="009F7C76" w:rsidRDefault="009F7C76" w:rsidP="009F7C76">
      <w:pPr>
        <w:pStyle w:val="SingleTxtG"/>
        <w:ind w:firstLine="567"/>
      </w:pPr>
      <w:r w:rsidRPr="009F7C76">
        <w:t>Le GRE examinera une proposition actualisée de l</w:t>
      </w:r>
      <w:r w:rsidR="00CC6A9F">
        <w:t>’</w:t>
      </w:r>
      <w:r w:rsidRPr="009F7C76">
        <w:t>expert de l</w:t>
      </w:r>
      <w:r w:rsidR="00CC6A9F">
        <w:t>’</w:t>
      </w:r>
      <w:r w:rsidRPr="009F7C76">
        <w:t>Allemagne qui vise à introduire des prescriptions applicables aux essais sur l</w:t>
      </w:r>
      <w:r w:rsidR="00CC6A9F">
        <w:t>’</w:t>
      </w:r>
      <w:r w:rsidRPr="009F7C76">
        <w:t xml:space="preserve">effet du soleil dans le Règlement ONU </w:t>
      </w:r>
      <w:r w:rsidRPr="002D76F4">
        <w:rPr>
          <w:rFonts w:eastAsia="MS Mincho"/>
          <w:szCs w:val="22"/>
        </w:rPr>
        <w:t>n</w:t>
      </w:r>
      <w:r w:rsidRPr="002D76F4">
        <w:rPr>
          <w:rFonts w:eastAsia="MS Mincho"/>
          <w:szCs w:val="22"/>
          <w:vertAlign w:val="superscript"/>
        </w:rPr>
        <w:t>o</w:t>
      </w:r>
      <w:r>
        <w:t> </w:t>
      </w:r>
      <w:r w:rsidRPr="009F7C76">
        <w:t xml:space="preserve">[148] sur les dispositifs de signalisation lumineuse. </w:t>
      </w:r>
    </w:p>
    <w:p w:rsidR="009F7C76" w:rsidRPr="009F7C76" w:rsidRDefault="009F7C76" w:rsidP="009F7C76">
      <w:pPr>
        <w:pStyle w:val="SingleTxtG"/>
      </w:pPr>
      <w:r w:rsidRPr="009F7C76">
        <w:rPr>
          <w:b/>
        </w:rPr>
        <w:t>Document(s)</w:t>
      </w:r>
      <w:r w:rsidRPr="009F7C76">
        <w:t xml:space="preserve"> : </w:t>
      </w:r>
      <w:r w:rsidRPr="009F7C76">
        <w:tab/>
        <w:t>ECE/TRANS/WP.29/GRE/2019/22</w:t>
      </w:r>
      <w:r>
        <w:t>.</w:t>
      </w:r>
    </w:p>
    <w:p w:rsidR="009F7C76" w:rsidRPr="009F7C76" w:rsidRDefault="009F7C76" w:rsidP="009F7C76">
      <w:pPr>
        <w:pStyle w:val="SingleTxtG"/>
        <w:ind w:firstLine="567"/>
      </w:pPr>
      <w:r w:rsidRPr="009F7C76">
        <w:t>Le GRE reprendra son débat sur les différentes manières d</w:t>
      </w:r>
      <w:r w:rsidR="00CC6A9F">
        <w:t>’</w:t>
      </w:r>
      <w:r w:rsidRPr="009F7C76">
        <w:t>utiliser l</w:t>
      </w:r>
      <w:r w:rsidR="00CC6A9F">
        <w:t>’</w:t>
      </w:r>
      <w:r w:rsidRPr="009F7C76">
        <w:t>identifiant unique dans les nouveaux Règlements ONU simplifiés et sera informé des vues du groupe de travail informel de la base de données pour l</w:t>
      </w:r>
      <w:r w:rsidR="00CC6A9F">
        <w:t>’</w:t>
      </w:r>
      <w:r w:rsidRPr="009F7C76">
        <w:t>échange d</w:t>
      </w:r>
      <w:r w:rsidR="00CC6A9F">
        <w:t>’</w:t>
      </w:r>
      <w:r w:rsidRPr="009F7C76">
        <w:t>informations concernant l</w:t>
      </w:r>
      <w:r w:rsidR="00CC6A9F">
        <w:t>’</w:t>
      </w:r>
      <w:r w:rsidRPr="009F7C76">
        <w:t xml:space="preserve">homologation de type (DETA). </w:t>
      </w:r>
    </w:p>
    <w:p w:rsidR="009F7C76" w:rsidRPr="009F7C76" w:rsidRDefault="009F7C76" w:rsidP="009F7C76">
      <w:pPr>
        <w:pStyle w:val="SingleTxtG"/>
      </w:pPr>
      <w:r w:rsidRPr="009F7C76">
        <w:rPr>
          <w:b/>
        </w:rPr>
        <w:t>Document(s) </w:t>
      </w:r>
      <w:r w:rsidRPr="009F7C76">
        <w:t xml:space="preserve">: </w:t>
      </w:r>
      <w:r w:rsidRPr="009F7C76">
        <w:tab/>
        <w:t>Document informel GRE-81-20</w:t>
      </w:r>
      <w:r>
        <w:t>.</w:t>
      </w:r>
    </w:p>
    <w:p w:rsidR="009F7C76" w:rsidRPr="009F7C76" w:rsidRDefault="009F7C76" w:rsidP="00C62B97">
      <w:pPr>
        <w:pStyle w:val="H1G"/>
      </w:pPr>
      <w:r>
        <w:tab/>
      </w:r>
      <w:r w:rsidRPr="009F7C76">
        <w:t>5.</w:t>
      </w:r>
      <w:r w:rsidRPr="009F7C76">
        <w:tab/>
        <w:t>Règlements ONU</w:t>
      </w:r>
      <w:r w:rsidR="00711441">
        <w:t> </w:t>
      </w:r>
      <w:r w:rsidRPr="002D76F4">
        <w:rPr>
          <w:rFonts w:eastAsia="MS Mincho"/>
          <w:szCs w:val="22"/>
        </w:rPr>
        <w:t>n</w:t>
      </w:r>
      <w:r w:rsidRPr="002D76F4">
        <w:rPr>
          <w:rFonts w:eastAsia="MS Mincho"/>
          <w:szCs w:val="22"/>
          <w:vertAlign w:val="superscript"/>
        </w:rPr>
        <w:t>o</w:t>
      </w:r>
      <w:r>
        <w:rPr>
          <w:rFonts w:eastAsia="MS Mincho"/>
          <w:szCs w:val="22"/>
          <w:vertAlign w:val="superscript"/>
        </w:rPr>
        <w:t>s </w:t>
      </w:r>
      <w:r w:rsidRPr="009F7C76">
        <w:t xml:space="preserve">37 (Lampes à incandescence), 99 </w:t>
      </w:r>
      <w:r w:rsidR="00C62B97">
        <w:br/>
      </w:r>
      <w:r w:rsidRPr="009F7C76">
        <w:t>(Sources lumineuses à</w:t>
      </w:r>
      <w:r>
        <w:t> </w:t>
      </w:r>
      <w:r w:rsidRPr="009F7C76">
        <w:t xml:space="preserve">décharge) et 128 (Sources lumineuses </w:t>
      </w:r>
      <w:r w:rsidR="00C62B97">
        <w:br/>
      </w:r>
      <w:r w:rsidRPr="009F7C76">
        <w:t>à diodes électroluminescentes), et Résolution d</w:t>
      </w:r>
      <w:r w:rsidR="00CC6A9F">
        <w:t>’</w:t>
      </w:r>
      <w:r w:rsidRPr="009F7C76">
        <w:t xml:space="preserve">ensemble sur </w:t>
      </w:r>
      <w:r w:rsidR="00C62B97">
        <w:br/>
      </w:r>
      <w:r w:rsidRPr="009F7C76">
        <w:t>une spécification commune des catégories de sources lumineuses</w:t>
      </w:r>
    </w:p>
    <w:p w:rsidR="009F7C76" w:rsidRPr="009F7C76" w:rsidRDefault="009F7C76" w:rsidP="009F7C76">
      <w:pPr>
        <w:pStyle w:val="SingleTxtG"/>
        <w:ind w:firstLine="567"/>
      </w:pPr>
      <w:r w:rsidRPr="009F7C76">
        <w:t>Le GRE examinera une proposition établie par l</w:t>
      </w:r>
      <w:r w:rsidR="00CC6A9F">
        <w:t>’</w:t>
      </w:r>
      <w:r w:rsidRPr="009F7C76">
        <w:t>expert du Groupe de travail «</w:t>
      </w:r>
      <w:r>
        <w:t> </w:t>
      </w:r>
      <w:r w:rsidRPr="009F7C76">
        <w:t>Bruxelles</w:t>
      </w:r>
      <w:r>
        <w:t> </w:t>
      </w:r>
      <w:r w:rsidRPr="009F7C76">
        <w:t>1952</w:t>
      </w:r>
      <w:r>
        <w:t> </w:t>
      </w:r>
      <w:r w:rsidRPr="009F7C76">
        <w:t>» (GTB) qui vise à modifier les catégories de sources lumineuses d</w:t>
      </w:r>
      <w:r w:rsidR="00CC6A9F">
        <w:t>’</w:t>
      </w:r>
      <w:r w:rsidRPr="009F7C76">
        <w:t>éclairage L1A/6 et L1B/6 dans la Résolution d</w:t>
      </w:r>
      <w:r w:rsidR="00CC6A9F">
        <w:t>’</w:t>
      </w:r>
      <w:r w:rsidRPr="009F7C76">
        <w:t>ensemble sur une spécification commune des catégories de sources lumineuses (R.E.5), ainsi qu</w:t>
      </w:r>
      <w:r w:rsidR="00CC6A9F">
        <w:t>’</w:t>
      </w:r>
      <w:r w:rsidRPr="009F7C76">
        <w:t>un amendement connexe au Règlement ONU</w:t>
      </w:r>
      <w:r>
        <w:t> </w:t>
      </w:r>
      <w:r w:rsidRPr="009F7C76">
        <w:t>n</w:t>
      </w:r>
      <w:r w:rsidRPr="009F7C76">
        <w:rPr>
          <w:vertAlign w:val="superscript"/>
        </w:rPr>
        <w:t>o</w:t>
      </w:r>
      <w:r w:rsidRPr="009F7C76">
        <w:t xml:space="preserve"> 128. </w:t>
      </w:r>
    </w:p>
    <w:p w:rsidR="009F7C76" w:rsidRPr="009F7C76" w:rsidRDefault="009F7C76" w:rsidP="009F7C76">
      <w:pPr>
        <w:pStyle w:val="SingleTxtG"/>
        <w:ind w:left="2835" w:hanging="1701"/>
      </w:pPr>
      <w:r w:rsidRPr="009F7C76">
        <w:rPr>
          <w:b/>
        </w:rPr>
        <w:lastRenderedPageBreak/>
        <w:t>Document(s) </w:t>
      </w:r>
      <w:r w:rsidRPr="009F7C76">
        <w:t>:</w:t>
      </w:r>
      <w:r w:rsidRPr="009F7C76">
        <w:rPr>
          <w:b/>
        </w:rPr>
        <w:tab/>
      </w:r>
      <w:bookmarkStart w:id="0" w:name="_Hlk15915183"/>
      <w:r w:rsidRPr="009F7C76">
        <w:t>ECE/TRANS/WP.29/GRE/2019/15</w:t>
      </w:r>
      <w:bookmarkEnd w:id="0"/>
      <w:r w:rsidRPr="009F7C76">
        <w:t>, ECE/TRANS/WP.29/GRE/2019/16</w:t>
      </w:r>
      <w:r>
        <w:t>.</w:t>
      </w:r>
    </w:p>
    <w:p w:rsidR="009F7C76" w:rsidRPr="009F7C76" w:rsidRDefault="009F7C76" w:rsidP="009F7C76">
      <w:pPr>
        <w:pStyle w:val="SingleTxtG"/>
        <w:ind w:firstLine="567"/>
      </w:pPr>
      <w:r w:rsidRPr="009F7C76">
        <w:t>L</w:t>
      </w:r>
      <w:r w:rsidR="00CC6A9F">
        <w:t>’</w:t>
      </w:r>
      <w:r w:rsidRPr="009F7C76">
        <w:t>équipe spéciale des sources lumineuses de substitution ou de remplacement présentera probablement un rapport sur l</w:t>
      </w:r>
      <w:r w:rsidR="00CC6A9F">
        <w:t>’</w:t>
      </w:r>
      <w:r w:rsidRPr="009F7C76">
        <w:t>état d</w:t>
      </w:r>
      <w:r w:rsidR="00CC6A9F">
        <w:t>’</w:t>
      </w:r>
      <w:r w:rsidRPr="009F7C76">
        <w:t>avancement de ses travaux au GRE, lequel devrait examiner les propositions de l</w:t>
      </w:r>
      <w:r w:rsidR="00CC6A9F">
        <w:t>’</w:t>
      </w:r>
      <w:r w:rsidRPr="009F7C76">
        <w:t>équipe visant à introduire des prescriptions applicables à l</w:t>
      </w:r>
      <w:r w:rsidR="00CC6A9F">
        <w:t>’</w:t>
      </w:r>
      <w:r w:rsidRPr="009F7C76">
        <w:t>utilisation de sources lumineuses à diodes électroluminescentes (DEL) de substitution dans le nouveau Règlement ONU</w:t>
      </w:r>
      <w:r w:rsidR="00711441">
        <w:t> </w:t>
      </w:r>
      <w:r w:rsidRPr="002D76F4">
        <w:rPr>
          <w:rFonts w:eastAsia="MS Mincho"/>
          <w:szCs w:val="22"/>
        </w:rPr>
        <w:t>n</w:t>
      </w:r>
      <w:r w:rsidRPr="002D76F4">
        <w:rPr>
          <w:rFonts w:eastAsia="MS Mincho"/>
          <w:szCs w:val="22"/>
          <w:vertAlign w:val="superscript"/>
        </w:rPr>
        <w:t>o</w:t>
      </w:r>
      <w:r>
        <w:t> </w:t>
      </w:r>
      <w:r w:rsidRPr="009F7C76">
        <w:t>[149] sur les dispositifs d</w:t>
      </w:r>
      <w:r w:rsidR="00CC6A9F">
        <w:t>’</w:t>
      </w:r>
      <w:r w:rsidRPr="009F7C76">
        <w:t xml:space="preserve">éclairage des routes. </w:t>
      </w:r>
    </w:p>
    <w:p w:rsidR="009F7C76" w:rsidRPr="009F7C76" w:rsidRDefault="009F7C76" w:rsidP="009F7C76">
      <w:pPr>
        <w:pStyle w:val="SingleTxtG"/>
      </w:pPr>
      <w:r w:rsidRPr="009F7C76">
        <w:rPr>
          <w:b/>
        </w:rPr>
        <w:t>Document(s)</w:t>
      </w:r>
      <w:r w:rsidRPr="009F7C76">
        <w:t> :</w:t>
      </w:r>
      <w:r w:rsidRPr="009F7C76">
        <w:tab/>
        <w:t>ECE/TRANS/WP.29/GRE/2019/19</w:t>
      </w:r>
      <w:r>
        <w:t>.</w:t>
      </w:r>
    </w:p>
    <w:p w:rsidR="009F7C76" w:rsidRPr="009F7C76" w:rsidRDefault="009F7C76" w:rsidP="009F7C76">
      <w:pPr>
        <w:pStyle w:val="SingleTxtG"/>
        <w:ind w:firstLine="567"/>
      </w:pPr>
      <w:r w:rsidRPr="009F7C76">
        <w:t>En outre, le GRE est invité à examiner une proposition soumise par l</w:t>
      </w:r>
      <w:r w:rsidR="00CC6A9F">
        <w:t>’</w:t>
      </w:r>
      <w:r w:rsidRPr="009F7C76">
        <w:t>équipe spéciale des sources lumineuses de substitution ou de remplacement visant à introduire une nouvelle catégorie de sources lumineuses à DEL de substitution H11/LED dans la R.E.5.</w:t>
      </w:r>
    </w:p>
    <w:p w:rsidR="009F7C76" w:rsidRPr="009F7C76" w:rsidRDefault="009F7C76" w:rsidP="009F7C76">
      <w:pPr>
        <w:pStyle w:val="SingleTxtG"/>
        <w:ind w:left="2835" w:hanging="1701"/>
      </w:pPr>
      <w:r w:rsidRPr="009F7C76">
        <w:rPr>
          <w:b/>
        </w:rPr>
        <w:t>Document(s) </w:t>
      </w:r>
      <w:r w:rsidRPr="009F7C76">
        <w:t>:</w:t>
      </w:r>
      <w:r w:rsidRPr="009F7C76">
        <w:tab/>
        <w:t xml:space="preserve">ECE/TRANS/WP.29/GRE/2019/21, </w:t>
      </w:r>
      <w:r>
        <w:br/>
      </w:r>
      <w:r w:rsidRPr="009F7C76">
        <w:t>Document informel GRE-82-03</w:t>
      </w:r>
      <w:r>
        <w:t>.</w:t>
      </w:r>
    </w:p>
    <w:p w:rsidR="009F7C76" w:rsidRPr="009F7C76" w:rsidRDefault="009F7C76" w:rsidP="004C0D13">
      <w:pPr>
        <w:pStyle w:val="H1G"/>
      </w:pPr>
      <w:r>
        <w:tab/>
      </w:r>
      <w:r w:rsidRPr="009F7C76">
        <w:t>6.</w:t>
      </w:r>
      <w:r w:rsidRPr="009F7C76">
        <w:tab/>
        <w:t xml:space="preserve">Règlement ONU </w:t>
      </w:r>
      <w:r w:rsidRPr="002D76F4">
        <w:rPr>
          <w:rFonts w:eastAsia="MS Mincho"/>
          <w:szCs w:val="22"/>
        </w:rPr>
        <w:t>n</w:t>
      </w:r>
      <w:r w:rsidRPr="002D76F4">
        <w:rPr>
          <w:rFonts w:eastAsia="MS Mincho"/>
          <w:szCs w:val="22"/>
          <w:vertAlign w:val="superscript"/>
        </w:rPr>
        <w:t>o</w:t>
      </w:r>
      <w:r>
        <w:t> </w:t>
      </w:r>
      <w:r w:rsidRPr="009F7C76">
        <w:t>48 (Installation des dispositifs d</w:t>
      </w:r>
      <w:r w:rsidR="00CC6A9F">
        <w:t>’</w:t>
      </w:r>
      <w:r w:rsidRPr="009F7C76">
        <w:t xml:space="preserve">éclairage </w:t>
      </w:r>
      <w:r>
        <w:br/>
      </w:r>
      <w:r w:rsidRPr="009F7C76">
        <w:t>et de signalisation lumineuse)</w:t>
      </w:r>
    </w:p>
    <w:p w:rsidR="009F7C76" w:rsidRPr="009F7C76" w:rsidRDefault="009F7C76" w:rsidP="009F7C76">
      <w:pPr>
        <w:pStyle w:val="H23G"/>
      </w:pPr>
      <w:r>
        <w:tab/>
      </w:r>
      <w:r w:rsidRPr="009F7C76">
        <w:t>a)</w:t>
      </w:r>
      <w:r w:rsidRPr="009F7C76">
        <w:tab/>
        <w:t>Propositions d</w:t>
      </w:r>
      <w:r w:rsidR="00CC6A9F">
        <w:t>’</w:t>
      </w:r>
      <w:r w:rsidRPr="009F7C76">
        <w:t>amendements aux séries 05 et 06 d</w:t>
      </w:r>
      <w:r w:rsidR="00CC6A9F">
        <w:t>’</w:t>
      </w:r>
      <w:r w:rsidRPr="009F7C76">
        <w:t xml:space="preserve">amendements </w:t>
      </w:r>
    </w:p>
    <w:p w:rsidR="009F7C76" w:rsidRPr="009F7C76" w:rsidRDefault="009F7C76" w:rsidP="009F7C76">
      <w:pPr>
        <w:pStyle w:val="SingleTxtG"/>
        <w:ind w:firstLine="567"/>
      </w:pPr>
      <w:r w:rsidRPr="009F7C76">
        <w:t>Le GRE examinera une proposition établie par l</w:t>
      </w:r>
      <w:r w:rsidR="00CC6A9F">
        <w:t>’</w:t>
      </w:r>
      <w:r w:rsidRPr="009F7C76">
        <w:t>expert de l</w:t>
      </w:r>
      <w:r w:rsidR="00CC6A9F">
        <w:t>’</w:t>
      </w:r>
      <w:r w:rsidRPr="009F7C76">
        <w:t>Allemagne, qui vise à autoriser l</w:t>
      </w:r>
      <w:r w:rsidR="00CC6A9F">
        <w:t>’</w:t>
      </w:r>
      <w:r w:rsidRPr="009F7C76">
        <w:t>extinction manuelle de tous les dispositifs d</w:t>
      </w:r>
      <w:r w:rsidR="00CC6A9F">
        <w:t>’</w:t>
      </w:r>
      <w:r w:rsidRPr="009F7C76">
        <w:t xml:space="preserve">éclairage dans des cas particuliers. </w:t>
      </w:r>
    </w:p>
    <w:p w:rsidR="009F7C76" w:rsidRPr="009F7C76" w:rsidRDefault="009F7C76" w:rsidP="009F7C76">
      <w:pPr>
        <w:pStyle w:val="SingleTxtG"/>
      </w:pPr>
      <w:r w:rsidRPr="009F7C76">
        <w:rPr>
          <w:b/>
        </w:rPr>
        <w:t>Document(s)</w:t>
      </w:r>
      <w:r w:rsidRPr="009F7C76">
        <w:t xml:space="preserve"> : </w:t>
      </w:r>
      <w:r w:rsidRPr="009F7C76">
        <w:tab/>
        <w:t>ECE/TRANS/WP.29/GRE/2019/14</w:t>
      </w:r>
      <w:r>
        <w:t>.</w:t>
      </w:r>
    </w:p>
    <w:p w:rsidR="009F7C76" w:rsidRPr="009F7C76" w:rsidRDefault="009F7C76" w:rsidP="009F7C76">
      <w:pPr>
        <w:pStyle w:val="SingleTxtG"/>
        <w:ind w:firstLine="567"/>
        <w:rPr>
          <w:bCs/>
        </w:rPr>
      </w:pPr>
      <w:r w:rsidRPr="009F7C76">
        <w:tab/>
        <w:t>Le GRE souhaitera sans doute rappeler le débat tenu à la session précédente sur l</w:t>
      </w:r>
      <w:r w:rsidR="00CC6A9F">
        <w:t>’</w:t>
      </w:r>
      <w:r w:rsidRPr="009F7C76">
        <w:t>activation du signal de détresse à l</w:t>
      </w:r>
      <w:r w:rsidR="00CC6A9F">
        <w:t>’</w:t>
      </w:r>
      <w:r w:rsidRPr="009F7C76">
        <w:t>ouverture d</w:t>
      </w:r>
      <w:r w:rsidR="00CC6A9F">
        <w:t>’</w:t>
      </w:r>
      <w:r w:rsidRPr="009F7C76">
        <w:t>une portière en l</w:t>
      </w:r>
      <w:r w:rsidR="00CC6A9F">
        <w:t>’</w:t>
      </w:r>
      <w:r w:rsidRPr="009F7C76">
        <w:t>absence de système agissant sur les portières du véhicule et entraînant le déclenchement d</w:t>
      </w:r>
      <w:r w:rsidR="00CC6A9F">
        <w:t>’</w:t>
      </w:r>
      <w:r w:rsidRPr="009F7C76">
        <w:t>une alarme. À la demande du GRE, le secrétariat a appelé l</w:t>
      </w:r>
      <w:r w:rsidR="00CC6A9F">
        <w:t>’</w:t>
      </w:r>
      <w:r w:rsidRPr="009F7C76">
        <w:t xml:space="preserve">attention du Groupe de travail des dispositions générales de sécurité (GRSG) sur cette question. Le GRE sera informé des résultats des travaux du GRSG. </w:t>
      </w:r>
    </w:p>
    <w:p w:rsidR="009F7C76" w:rsidRPr="009F7C76" w:rsidRDefault="009F7C76" w:rsidP="009F7C76">
      <w:pPr>
        <w:pStyle w:val="SingleTxtG"/>
        <w:rPr>
          <w:bCs/>
        </w:rPr>
      </w:pPr>
      <w:r w:rsidRPr="009F7C76">
        <w:rPr>
          <w:b/>
        </w:rPr>
        <w:t>Document(s) </w:t>
      </w:r>
      <w:r w:rsidRPr="009F7C76">
        <w:t xml:space="preserve">: </w:t>
      </w:r>
      <w:r w:rsidRPr="009F7C76">
        <w:tab/>
        <w:t>ECE/TRANS/WP.29/GRE/81, par</w:t>
      </w:r>
      <w:r>
        <w:t>agraphe </w:t>
      </w:r>
      <w:r w:rsidRPr="009F7C76">
        <w:t>17</w:t>
      </w:r>
      <w:r>
        <w:rPr>
          <w:bCs/>
        </w:rPr>
        <w:t>.</w:t>
      </w:r>
    </w:p>
    <w:p w:rsidR="009F7C76" w:rsidRPr="009F7C76" w:rsidRDefault="009F7C76" w:rsidP="009F7C76">
      <w:pPr>
        <w:pStyle w:val="H23G"/>
      </w:pPr>
      <w:r>
        <w:tab/>
      </w:r>
      <w:r w:rsidRPr="009F7C76">
        <w:t>b)</w:t>
      </w:r>
      <w:r w:rsidRPr="009F7C76">
        <w:tab/>
        <w:t>Propositions de nouvelles séries d</w:t>
      </w:r>
      <w:r w:rsidR="00CC6A9F">
        <w:t>’</w:t>
      </w:r>
      <w:r w:rsidRPr="009F7C76">
        <w:t>amendements au Règlement ONU</w:t>
      </w:r>
      <w:r w:rsidR="00711441">
        <w:t> </w:t>
      </w:r>
      <w:r w:rsidRPr="002D76F4">
        <w:rPr>
          <w:rFonts w:eastAsia="MS Mincho"/>
          <w:szCs w:val="22"/>
        </w:rPr>
        <w:t>n</w:t>
      </w:r>
      <w:r w:rsidRPr="002D76F4">
        <w:rPr>
          <w:rFonts w:eastAsia="MS Mincho"/>
          <w:szCs w:val="22"/>
          <w:vertAlign w:val="superscript"/>
        </w:rPr>
        <w:t>o</w:t>
      </w:r>
      <w:r>
        <w:t> </w:t>
      </w:r>
      <w:r w:rsidRPr="009F7C76">
        <w:t>48</w:t>
      </w:r>
    </w:p>
    <w:p w:rsidR="009F7C76" w:rsidRPr="009F7C76" w:rsidRDefault="009F7C76" w:rsidP="009F7C76">
      <w:pPr>
        <w:pStyle w:val="SingleTxtG"/>
        <w:ind w:firstLine="567"/>
      </w:pPr>
      <w:r w:rsidRPr="009F7C76">
        <w:t>Le GRE sera invité à examiner une proposition concernant une nouvelle série d</w:t>
      </w:r>
      <w:r w:rsidR="00CC6A9F">
        <w:t>’</w:t>
      </w:r>
      <w:r w:rsidRPr="009F7C76">
        <w:t>amendements, établie par l</w:t>
      </w:r>
      <w:r w:rsidR="00CC6A9F">
        <w:t>’</w:t>
      </w:r>
      <w:r w:rsidRPr="009F7C76">
        <w:t>expert du groupe spécial d</w:t>
      </w:r>
      <w:r w:rsidR="00CC6A9F">
        <w:t>’</w:t>
      </w:r>
      <w:r w:rsidRPr="009F7C76">
        <w:t>intérêt, visant à définir les conditions d</w:t>
      </w:r>
      <w:r w:rsidR="00CC6A9F">
        <w:t>’</w:t>
      </w:r>
      <w:r w:rsidRPr="009F7C76">
        <w:t>allumage et d</w:t>
      </w:r>
      <w:r w:rsidR="00CC6A9F">
        <w:t>’</w:t>
      </w:r>
      <w:r w:rsidRPr="009F7C76">
        <w:t>extinction des faisceaux-croisement et des feux de circulation diurnes et les variations de l</w:t>
      </w:r>
      <w:r w:rsidR="00CC6A9F">
        <w:t>’</w:t>
      </w:r>
      <w:r w:rsidRPr="009F7C76">
        <w:t xml:space="preserve">intensité lumineuse des feux arrière en fonction de la densité du trafic. </w:t>
      </w:r>
    </w:p>
    <w:p w:rsidR="009F7C76" w:rsidRPr="009F7C76" w:rsidRDefault="009F7C76" w:rsidP="009F7C76">
      <w:pPr>
        <w:pStyle w:val="SingleTxtG"/>
      </w:pPr>
      <w:r w:rsidRPr="009F7C76">
        <w:rPr>
          <w:b/>
        </w:rPr>
        <w:t>Document(s)</w:t>
      </w:r>
      <w:r w:rsidRPr="009F7C76">
        <w:t> :</w:t>
      </w:r>
      <w:r w:rsidRPr="009F7C76">
        <w:tab/>
        <w:t>ECE/TRANS/WP.29/GRE/2019/20</w:t>
      </w:r>
      <w:r>
        <w:t>.</w:t>
      </w:r>
    </w:p>
    <w:p w:rsidR="009F7C76" w:rsidRPr="009F7C76" w:rsidRDefault="009F7C76" w:rsidP="009F7C76">
      <w:pPr>
        <w:pStyle w:val="SingleTxtG"/>
        <w:ind w:firstLine="567"/>
      </w:pPr>
      <w:r w:rsidRPr="009F7C76">
        <w:t>Le GRE examinera une autre proposition concernant une nouvelle série d</w:t>
      </w:r>
      <w:r w:rsidR="00CC6A9F">
        <w:t>’</w:t>
      </w:r>
      <w:r w:rsidRPr="009F7C76">
        <w:t>amendements, établie par l</w:t>
      </w:r>
      <w:r w:rsidR="00CC6A9F">
        <w:t>’</w:t>
      </w:r>
      <w:r w:rsidRPr="009F7C76">
        <w:t>expert du groupe spécial d</w:t>
      </w:r>
      <w:r w:rsidR="00CC6A9F">
        <w:t>’</w:t>
      </w:r>
      <w:r w:rsidRPr="009F7C76">
        <w:t xml:space="preserve">intérêt, qui vise à préciser la définition des termes </w:t>
      </w:r>
      <w:r w:rsidRPr="009F7C76">
        <w:rPr>
          <w:i/>
          <w:iCs/>
        </w:rPr>
        <w:t>switching</w:t>
      </w:r>
      <w:r w:rsidRPr="009F7C76">
        <w:t xml:space="preserve"> (allumer/éteindre) et </w:t>
      </w:r>
      <w:r w:rsidRPr="009F7C76">
        <w:rPr>
          <w:i/>
          <w:iCs/>
        </w:rPr>
        <w:t>activation</w:t>
      </w:r>
      <w:r w:rsidRPr="009F7C76">
        <w:t xml:space="preserve"> (activation) et à rendre obligatoire le signal d</w:t>
      </w:r>
      <w:r w:rsidR="00CC6A9F">
        <w:t>’</w:t>
      </w:r>
      <w:r w:rsidRPr="009F7C76">
        <w:t>arrêt d</w:t>
      </w:r>
      <w:r w:rsidR="00CC6A9F">
        <w:t>’</w:t>
      </w:r>
      <w:r w:rsidRPr="009F7C76">
        <w:t xml:space="preserve">urgence. </w:t>
      </w:r>
    </w:p>
    <w:p w:rsidR="009F7C76" w:rsidRPr="009F7C76" w:rsidRDefault="009F7C76" w:rsidP="009F7C76">
      <w:pPr>
        <w:pStyle w:val="SingleTxtG"/>
      </w:pPr>
      <w:r w:rsidRPr="009F7C76">
        <w:rPr>
          <w:b/>
        </w:rPr>
        <w:t>Document(s)</w:t>
      </w:r>
      <w:r w:rsidRPr="009F7C76">
        <w:t> :</w:t>
      </w:r>
      <w:r w:rsidRPr="009F7C76">
        <w:tab/>
        <w:t>ECE/TRANS/WP.29/GRE/2019/29</w:t>
      </w:r>
      <w:r>
        <w:t>.</w:t>
      </w:r>
    </w:p>
    <w:p w:rsidR="009F7C76" w:rsidRPr="009F7C76" w:rsidRDefault="009F7C76" w:rsidP="004C0D13">
      <w:pPr>
        <w:pStyle w:val="H1G"/>
      </w:pPr>
      <w:r>
        <w:tab/>
      </w:r>
      <w:r w:rsidRPr="009F7C76">
        <w:t>7.</w:t>
      </w:r>
      <w:r w:rsidRPr="009F7C76">
        <w:tab/>
        <w:t>Autres Règlements ONU</w:t>
      </w:r>
    </w:p>
    <w:p w:rsidR="009F7C76" w:rsidRPr="009F7C76" w:rsidRDefault="009F7C76" w:rsidP="009F7C76">
      <w:pPr>
        <w:pStyle w:val="H23G"/>
      </w:pPr>
      <w:r>
        <w:tab/>
      </w:r>
      <w:r w:rsidRPr="009F7C76">
        <w:t>a)</w:t>
      </w:r>
      <w:r w:rsidRPr="009F7C76">
        <w:tab/>
        <w:t xml:space="preserve">Règlement ONU </w:t>
      </w:r>
      <w:r w:rsidRPr="002D76F4">
        <w:rPr>
          <w:rFonts w:eastAsia="MS Mincho"/>
          <w:szCs w:val="22"/>
        </w:rPr>
        <w:t>n</w:t>
      </w:r>
      <w:r w:rsidRPr="002D76F4">
        <w:rPr>
          <w:rFonts w:eastAsia="MS Mincho"/>
          <w:szCs w:val="22"/>
          <w:vertAlign w:val="superscript"/>
        </w:rPr>
        <w:t>o</w:t>
      </w:r>
      <w:r>
        <w:t> </w:t>
      </w:r>
      <w:r w:rsidRPr="009F7C76">
        <w:t>10 (Compatibilité électromagnétique)</w:t>
      </w:r>
    </w:p>
    <w:p w:rsidR="009F7C76" w:rsidRPr="009F7C76" w:rsidRDefault="009F7C76" w:rsidP="009F7C76">
      <w:pPr>
        <w:pStyle w:val="SingleTxtG"/>
        <w:ind w:firstLine="567"/>
      </w:pPr>
      <w:r w:rsidRPr="009F7C76">
        <w:t>Le GRE examinera une proposition de l</w:t>
      </w:r>
      <w:r w:rsidR="00CC6A9F">
        <w:t>’</w:t>
      </w:r>
      <w:r w:rsidRPr="009F7C76">
        <w:t>expert des Pays-Bas visant à améliorer le texte du paragraphe 3.1.8.</w:t>
      </w:r>
    </w:p>
    <w:p w:rsidR="009F7C76" w:rsidRPr="009F7C76" w:rsidRDefault="009F7C76" w:rsidP="009F7C76">
      <w:pPr>
        <w:pStyle w:val="SingleTxtG"/>
      </w:pPr>
      <w:r w:rsidRPr="009F7C76">
        <w:rPr>
          <w:b/>
        </w:rPr>
        <w:t>Document(s)</w:t>
      </w:r>
      <w:r w:rsidRPr="009F7C76">
        <w:t xml:space="preserve"> : </w:t>
      </w:r>
      <w:r w:rsidRPr="009F7C76">
        <w:tab/>
        <w:t>ECE/TRANS/WP.29/GRE/2019/27</w:t>
      </w:r>
      <w:r>
        <w:t>.</w:t>
      </w:r>
    </w:p>
    <w:p w:rsidR="009F7C76" w:rsidRPr="009F7C76" w:rsidRDefault="009F7C76" w:rsidP="009F7C76">
      <w:pPr>
        <w:pStyle w:val="SingleTxtG"/>
        <w:ind w:firstLine="567"/>
        <w:rPr>
          <w:bCs/>
        </w:rPr>
      </w:pPr>
      <w:r w:rsidRPr="009F7C76">
        <w:lastRenderedPageBreak/>
        <w:t>Le GRE sera informé que le GRSG achève l</w:t>
      </w:r>
      <w:r w:rsidR="00CC6A9F">
        <w:t>’</w:t>
      </w:r>
      <w:r w:rsidRPr="009F7C76">
        <w:t>élaboration de propositions concernant la scission du Règlement ONU n</w:t>
      </w:r>
      <w:r w:rsidRPr="009F7C76">
        <w:rPr>
          <w:vertAlign w:val="superscript"/>
        </w:rPr>
        <w:t>o</w:t>
      </w:r>
      <w:r w:rsidRPr="009F7C76">
        <w:t> 116 et qu</w:t>
      </w:r>
      <w:r w:rsidR="00CC6A9F">
        <w:t>’</w:t>
      </w:r>
      <w:r w:rsidRPr="009F7C76">
        <w:t>il a prié le GRE, et plus particulièrement l</w:t>
      </w:r>
      <w:r w:rsidR="00CC6A9F">
        <w:t>’</w:t>
      </w:r>
      <w:r w:rsidRPr="009F7C76">
        <w:t>équipe spéciale de la compatibilité électromagnétique, d</w:t>
      </w:r>
      <w:r w:rsidR="00CC6A9F">
        <w:t>’</w:t>
      </w:r>
      <w:r w:rsidRPr="009F7C76">
        <w:t>examiner les dispositions de l</w:t>
      </w:r>
      <w:r w:rsidR="00CC6A9F">
        <w:t>’</w:t>
      </w:r>
      <w:r w:rsidRPr="009F7C76">
        <w:t>annexe 5 relatives à la compatibilité électromagnétique (CEM).</w:t>
      </w:r>
    </w:p>
    <w:p w:rsidR="009F7C76" w:rsidRPr="009F7C76" w:rsidRDefault="009F7C76" w:rsidP="009F7C76">
      <w:pPr>
        <w:pStyle w:val="H23G"/>
      </w:pPr>
      <w:r>
        <w:tab/>
      </w:r>
      <w:r w:rsidRPr="009F7C76">
        <w:t>b)</w:t>
      </w:r>
      <w:r w:rsidRPr="009F7C76">
        <w:tab/>
        <w:t xml:space="preserve">Règlement ONU </w:t>
      </w:r>
      <w:r w:rsidRPr="002D76F4">
        <w:rPr>
          <w:rFonts w:eastAsia="MS Mincho"/>
          <w:szCs w:val="22"/>
        </w:rPr>
        <w:t>n</w:t>
      </w:r>
      <w:r w:rsidRPr="002D76F4">
        <w:rPr>
          <w:rFonts w:eastAsia="MS Mincho"/>
          <w:szCs w:val="22"/>
          <w:vertAlign w:val="superscript"/>
        </w:rPr>
        <w:t>o</w:t>
      </w:r>
      <w:r>
        <w:t> </w:t>
      </w:r>
      <w:r w:rsidRPr="009F7C76">
        <w:t>53 (Installation des dispositifs d</w:t>
      </w:r>
      <w:r w:rsidR="00CC6A9F">
        <w:t>’</w:t>
      </w:r>
      <w:r w:rsidRPr="009F7C76">
        <w:t>éclairage et de signalisation lumineuse sur les véhicules de la catégorie L</w:t>
      </w:r>
      <w:r w:rsidRPr="009F7C76">
        <w:rPr>
          <w:vertAlign w:val="subscript"/>
        </w:rPr>
        <w:t>3</w:t>
      </w:r>
      <w:r w:rsidRPr="009F7C76">
        <w:t xml:space="preserve">) </w:t>
      </w:r>
    </w:p>
    <w:p w:rsidR="009F7C76" w:rsidRPr="009F7C76" w:rsidRDefault="009F7C76" w:rsidP="009F7C76">
      <w:pPr>
        <w:pStyle w:val="SingleTxtG"/>
        <w:ind w:firstLine="567"/>
      </w:pPr>
      <w:r w:rsidRPr="009F7C76">
        <w:t>Le GRE sera invité à examiner une proposition de l</w:t>
      </w:r>
      <w:r w:rsidR="00CC6A9F">
        <w:t>’</w:t>
      </w:r>
      <w:r w:rsidRPr="009F7C76">
        <w:t>expert de l</w:t>
      </w:r>
      <w:r w:rsidR="00CC6A9F">
        <w:t>’</w:t>
      </w:r>
      <w:r w:rsidRPr="009F7C76">
        <w:t>Inde visant à rendre facultative l</w:t>
      </w:r>
      <w:r w:rsidR="00CC6A9F">
        <w:t>’</w:t>
      </w:r>
      <w:r w:rsidRPr="009F7C76">
        <w:t xml:space="preserve">installation de feux de position avant. </w:t>
      </w:r>
    </w:p>
    <w:p w:rsidR="009F7C76" w:rsidRPr="009F7C76" w:rsidRDefault="009F7C76" w:rsidP="009F7C76">
      <w:pPr>
        <w:pStyle w:val="SingleTxtG"/>
        <w:keepNext/>
        <w:keepLines/>
      </w:pPr>
      <w:r w:rsidRPr="009F7C76">
        <w:rPr>
          <w:b/>
        </w:rPr>
        <w:t>Document(s)</w:t>
      </w:r>
      <w:r w:rsidRPr="009F7C76">
        <w:t xml:space="preserve"> : </w:t>
      </w:r>
      <w:r w:rsidRPr="009F7C76">
        <w:tab/>
        <w:t>ECE/TRANS/WP.29/GRE/2019/18</w:t>
      </w:r>
      <w:r>
        <w:t>.</w:t>
      </w:r>
    </w:p>
    <w:p w:rsidR="009F7C76" w:rsidRPr="009F7C76" w:rsidRDefault="009F7C76" w:rsidP="009F7C76">
      <w:pPr>
        <w:pStyle w:val="SingleTxtG"/>
        <w:ind w:firstLine="567"/>
      </w:pPr>
      <w:r w:rsidRPr="009F7C76">
        <w:t>Le GRE souhaitera sans doute examiner une proposition soumise par l</w:t>
      </w:r>
      <w:r w:rsidR="00CC6A9F">
        <w:t>’</w:t>
      </w:r>
      <w:r w:rsidRPr="009F7C76">
        <w:t>expert de l</w:t>
      </w:r>
      <w:r w:rsidR="00CC6A9F">
        <w:t>’</w:t>
      </w:r>
      <w:r w:rsidRPr="009F7C76">
        <w:t>Association internationale des constructeurs de motocycles (AICM) qui vise à modifier le texte de la série</w:t>
      </w:r>
      <w:r w:rsidR="00564D74">
        <w:t> </w:t>
      </w:r>
      <w:r w:rsidRPr="009F7C76">
        <w:t>03 d</w:t>
      </w:r>
      <w:r w:rsidR="00CC6A9F">
        <w:t>’</w:t>
      </w:r>
      <w:r w:rsidRPr="009F7C76">
        <w:t>amendements au Règlement ONU</w:t>
      </w:r>
      <w:r w:rsidR="00564D74">
        <w:t> </w:t>
      </w:r>
      <w:r w:rsidRPr="002D76F4">
        <w:rPr>
          <w:rFonts w:eastAsia="MS Mincho"/>
          <w:szCs w:val="22"/>
        </w:rPr>
        <w:t>n</w:t>
      </w:r>
      <w:r w:rsidRPr="002D76F4">
        <w:rPr>
          <w:rFonts w:eastAsia="MS Mincho"/>
          <w:szCs w:val="22"/>
          <w:vertAlign w:val="superscript"/>
        </w:rPr>
        <w:t>o</w:t>
      </w:r>
      <w:r>
        <w:t> </w:t>
      </w:r>
      <w:r w:rsidRPr="009F7C76">
        <w:t>53 en tenant compte des modifications les plus récentes apportées aux séries</w:t>
      </w:r>
      <w:r w:rsidR="00564D74">
        <w:t> </w:t>
      </w:r>
      <w:r w:rsidRPr="009F7C76">
        <w:t>01 et</w:t>
      </w:r>
      <w:r w:rsidR="00564D74">
        <w:t> </w:t>
      </w:r>
      <w:r w:rsidRPr="009F7C76">
        <w:t xml:space="preserve">02. </w:t>
      </w:r>
    </w:p>
    <w:p w:rsidR="009F7C76" w:rsidRPr="009F7C76" w:rsidRDefault="009F7C76" w:rsidP="009F7C76">
      <w:pPr>
        <w:pStyle w:val="SingleTxtG"/>
      </w:pPr>
      <w:r w:rsidRPr="009F7C76">
        <w:rPr>
          <w:b/>
        </w:rPr>
        <w:t>Document(s)</w:t>
      </w:r>
      <w:r w:rsidRPr="009F7C76">
        <w:t xml:space="preserve"> : </w:t>
      </w:r>
      <w:r w:rsidRPr="009F7C76">
        <w:tab/>
        <w:t>ECE/TRANS/WP.29/GRE/2019/2</w:t>
      </w:r>
      <w:r>
        <w:t>3.</w:t>
      </w:r>
    </w:p>
    <w:p w:rsidR="009F7C76" w:rsidRPr="009F7C76" w:rsidRDefault="009F7C76" w:rsidP="009F7C76">
      <w:pPr>
        <w:pStyle w:val="H23G"/>
      </w:pPr>
      <w:r>
        <w:tab/>
      </w:r>
      <w:r w:rsidRPr="009F7C76">
        <w:t>c)</w:t>
      </w:r>
      <w:r w:rsidRPr="009F7C76">
        <w:tab/>
        <w:t xml:space="preserve">Règlement ONU </w:t>
      </w:r>
      <w:r w:rsidRPr="002D76F4">
        <w:rPr>
          <w:rFonts w:eastAsia="MS Mincho"/>
          <w:szCs w:val="22"/>
        </w:rPr>
        <w:t>n</w:t>
      </w:r>
      <w:r w:rsidRPr="002D76F4">
        <w:rPr>
          <w:rFonts w:eastAsia="MS Mincho"/>
          <w:szCs w:val="22"/>
          <w:vertAlign w:val="superscript"/>
        </w:rPr>
        <w:t>o</w:t>
      </w:r>
      <w:r>
        <w:t> </w:t>
      </w:r>
      <w:r w:rsidRPr="009F7C76">
        <w:t>65 (Feux spéciaux d</w:t>
      </w:r>
      <w:r w:rsidR="00CC6A9F">
        <w:t>’</w:t>
      </w:r>
      <w:r w:rsidRPr="009F7C76">
        <w:t>avertissement)</w:t>
      </w:r>
    </w:p>
    <w:p w:rsidR="009F7C76" w:rsidRPr="009F7C76" w:rsidRDefault="009F7C76" w:rsidP="009F7C76">
      <w:pPr>
        <w:pStyle w:val="SingleTxtG"/>
        <w:ind w:firstLine="567"/>
      </w:pPr>
      <w:r w:rsidRPr="009F7C76">
        <w:t>Le GRE examinera une proposition de corrections établie par l</w:t>
      </w:r>
      <w:r w:rsidR="00CC6A9F">
        <w:t>’</w:t>
      </w:r>
      <w:r w:rsidRPr="009F7C76">
        <w:t>expert du GTB.</w:t>
      </w:r>
    </w:p>
    <w:p w:rsidR="009F7C76" w:rsidRPr="009F7C76" w:rsidRDefault="009F7C76" w:rsidP="009F7C76">
      <w:pPr>
        <w:pStyle w:val="SingleTxtG"/>
      </w:pPr>
      <w:r w:rsidRPr="009F7C76">
        <w:rPr>
          <w:b/>
          <w:bCs/>
        </w:rPr>
        <w:t>Document(s)</w:t>
      </w:r>
      <w:r>
        <w:rPr>
          <w:b/>
          <w:bCs/>
        </w:rPr>
        <w:t> </w:t>
      </w:r>
      <w:r w:rsidRPr="009F7C76">
        <w:t xml:space="preserve">: </w:t>
      </w:r>
      <w:r w:rsidRPr="009F7C76">
        <w:tab/>
        <w:t>ECE/TRANS/WP.29/GRE/2019/17</w:t>
      </w:r>
      <w:r>
        <w:t>.</w:t>
      </w:r>
    </w:p>
    <w:p w:rsidR="009F7C76" w:rsidRPr="009F7C76" w:rsidRDefault="009F7C76" w:rsidP="004C0D13">
      <w:pPr>
        <w:pStyle w:val="H1G"/>
      </w:pPr>
      <w:r>
        <w:tab/>
      </w:r>
      <w:r w:rsidRPr="009F7C76">
        <w:t>8.</w:t>
      </w:r>
      <w:r w:rsidRPr="009F7C76">
        <w:tab/>
        <w:t>Questions diverses</w:t>
      </w:r>
    </w:p>
    <w:p w:rsidR="009F7C76" w:rsidRPr="009F7C76" w:rsidRDefault="009F7C76" w:rsidP="009F7C76">
      <w:pPr>
        <w:pStyle w:val="H23G"/>
      </w:pPr>
      <w:r>
        <w:tab/>
      </w:r>
      <w:r w:rsidRPr="009F7C76">
        <w:t>a)</w:t>
      </w:r>
      <w:r w:rsidRPr="009F7C76">
        <w:tab/>
        <w:t>Mise au point d</w:t>
      </w:r>
      <w:r w:rsidR="00CC6A9F">
        <w:t>’</w:t>
      </w:r>
      <w:r w:rsidRPr="009F7C76">
        <w:t xml:space="preserve">une homologation de type internationale </w:t>
      </w:r>
      <w:r>
        <w:br/>
      </w:r>
      <w:r w:rsidRPr="009F7C76">
        <w:t>de l</w:t>
      </w:r>
      <w:r w:rsidR="00CC6A9F">
        <w:t>’</w:t>
      </w:r>
      <w:r w:rsidRPr="009F7C76">
        <w:t>ensemble du véhicule</w:t>
      </w:r>
    </w:p>
    <w:p w:rsidR="009F7C76" w:rsidRPr="009F7C76" w:rsidRDefault="009F7C76" w:rsidP="009F7C76">
      <w:pPr>
        <w:pStyle w:val="SingleTxtG"/>
        <w:ind w:firstLine="567"/>
      </w:pPr>
      <w:r w:rsidRPr="009F7C76">
        <w:t>Le représentant du GRE auprès du groupe de travail informel de l</w:t>
      </w:r>
      <w:r w:rsidR="00CC6A9F">
        <w:t>’</w:t>
      </w:r>
      <w:r w:rsidRPr="009F7C76">
        <w:t>homologation de type internationale de l</w:t>
      </w:r>
      <w:r w:rsidR="00CC6A9F">
        <w:t>’</w:t>
      </w:r>
      <w:r w:rsidRPr="009F7C76">
        <w:t xml:space="preserve">ensemble du véhicule (IWVTA) présentera probablement un rapport oral sur les activités menées et les mesures de suivi nécessaires. </w:t>
      </w:r>
    </w:p>
    <w:p w:rsidR="009F7C76" w:rsidRPr="009F7C76" w:rsidRDefault="009F7C76" w:rsidP="009F7C76">
      <w:pPr>
        <w:pStyle w:val="SingleTxtG"/>
        <w:ind w:firstLine="567"/>
      </w:pPr>
      <w:r w:rsidRPr="009F7C76">
        <w:t>En outre, le GRE sera informé des progrès réalisés dans l</w:t>
      </w:r>
      <w:r w:rsidR="00CC6A9F">
        <w:t>’</w:t>
      </w:r>
      <w:r w:rsidRPr="009F7C76">
        <w:t>établissement d</w:t>
      </w:r>
      <w:r w:rsidR="00CC6A9F">
        <w:t>’</w:t>
      </w:r>
      <w:r w:rsidRPr="009F7C76">
        <w:t>une base de données électronique pour l</w:t>
      </w:r>
      <w:r w:rsidR="00CC6A9F">
        <w:t>’</w:t>
      </w:r>
      <w:r w:rsidRPr="009F7C76">
        <w:t>échange d</w:t>
      </w:r>
      <w:r w:rsidR="00CC6A9F">
        <w:t>’</w:t>
      </w:r>
      <w:r w:rsidRPr="009F7C76">
        <w:t>informations concernant l</w:t>
      </w:r>
      <w:r w:rsidR="00CC6A9F">
        <w:t>’</w:t>
      </w:r>
      <w:r w:rsidRPr="009F7C76">
        <w:t>homologation de type (DETA).</w:t>
      </w:r>
    </w:p>
    <w:p w:rsidR="009F7C76" w:rsidRPr="009F7C76" w:rsidRDefault="009F7C76" w:rsidP="009F7C76">
      <w:pPr>
        <w:pStyle w:val="H23G"/>
      </w:pPr>
      <w:r>
        <w:tab/>
      </w:r>
      <w:r w:rsidRPr="009F7C76">
        <w:t>b)</w:t>
      </w:r>
      <w:r w:rsidRPr="009F7C76">
        <w:tab/>
        <w:t>Amendements à la Convention sur la circulation routière (Vienne, 1968)</w:t>
      </w:r>
    </w:p>
    <w:p w:rsidR="009F7C76" w:rsidRPr="009F7C76" w:rsidRDefault="009F7C76" w:rsidP="009F7C76">
      <w:pPr>
        <w:pStyle w:val="SingleTxtG"/>
        <w:ind w:firstLine="567"/>
      </w:pPr>
      <w:r w:rsidRPr="009F7C76">
        <w:t>Le GRE sera informé des questions examinées par le Forum mondial de la sécurité routière (WP.1) à sa dernière session en date.</w:t>
      </w:r>
    </w:p>
    <w:p w:rsidR="009F7C76" w:rsidRPr="009F7C76" w:rsidRDefault="009F7C76" w:rsidP="009F7C76">
      <w:pPr>
        <w:pStyle w:val="H23G"/>
      </w:pPr>
      <w:r>
        <w:tab/>
      </w:r>
      <w:r w:rsidRPr="009F7C76">
        <w:t>c)</w:t>
      </w:r>
      <w:r w:rsidRPr="009F7C76">
        <w:tab/>
        <w:t>Décennie d</w:t>
      </w:r>
      <w:r w:rsidR="00CC6A9F">
        <w:t>’</w:t>
      </w:r>
      <w:r w:rsidRPr="009F7C76">
        <w:t>action pour la sécurité routière 2011-2020</w:t>
      </w:r>
    </w:p>
    <w:p w:rsidR="009F7C76" w:rsidRPr="009F7C76" w:rsidRDefault="009F7C76" w:rsidP="009F7C76">
      <w:pPr>
        <w:pStyle w:val="SingleTxtG"/>
        <w:ind w:firstLine="567"/>
      </w:pPr>
      <w:r w:rsidRPr="009F7C76">
        <w:t>Le GRE sera invité à présenter et à examiner les faits nouveaux survenus aux échelons national et international dans le domaine de la sécurité routière, ainsi que dans les domaines de l</w:t>
      </w:r>
      <w:r w:rsidR="00CC6A9F">
        <w:t>’</w:t>
      </w:r>
      <w:r w:rsidRPr="009F7C76">
        <w:t>éclairage et de la signalisation lumineuse.</w:t>
      </w:r>
    </w:p>
    <w:p w:rsidR="009F7C76" w:rsidRPr="009F7C76" w:rsidRDefault="009F7C76" w:rsidP="009F7C76">
      <w:pPr>
        <w:pStyle w:val="H23G"/>
      </w:pPr>
      <w:r>
        <w:tab/>
      </w:r>
      <w:r w:rsidRPr="009F7C76">
        <w:t>d)</w:t>
      </w:r>
      <w:r w:rsidRPr="009F7C76">
        <w:tab/>
        <w:t>Demandes du Comité des transports intérieurs</w:t>
      </w:r>
    </w:p>
    <w:p w:rsidR="009F7C76" w:rsidRPr="009F7C76" w:rsidRDefault="009F7C76" w:rsidP="009F7C76">
      <w:pPr>
        <w:pStyle w:val="SingleTxtG"/>
        <w:ind w:firstLine="567"/>
      </w:pPr>
      <w:r w:rsidRPr="009F7C76">
        <w:t>À sa quatre-vingt</w:t>
      </w:r>
      <w:r w:rsidR="004C0D13">
        <w:t xml:space="preserve"> </w:t>
      </w:r>
      <w:bookmarkStart w:id="1" w:name="_GoBack"/>
      <w:bookmarkEnd w:id="1"/>
      <w:r w:rsidR="004C0D13">
        <w:t xml:space="preserve">et </w:t>
      </w:r>
      <w:r w:rsidRPr="009F7C76">
        <w:t>unième session, en 2019, le Comité des transports intérieurs (CTI) a adopté sa stratégie à l</w:t>
      </w:r>
      <w:r w:rsidR="00CC6A9F">
        <w:t>’</w:t>
      </w:r>
      <w:r w:rsidRPr="009F7C76">
        <w:t>horizon 2030, demandé à ses organes subsidiaires de prendre des mesures de suivi afin d</w:t>
      </w:r>
      <w:r w:rsidR="00CC6A9F">
        <w:t>’</w:t>
      </w:r>
      <w:r w:rsidRPr="009F7C76">
        <w:t>aligner leurs travaux sur la stratégie et prié le secrétariat de prendre les mesures nécessaires pour en faciliter l</w:t>
      </w:r>
      <w:r w:rsidR="00CC6A9F">
        <w:t>’</w:t>
      </w:r>
      <w:r w:rsidRPr="009F7C76">
        <w:t>application (ECE/TRANS/288, par.</w:t>
      </w:r>
      <w:r w:rsidR="00564D74">
        <w:t> </w:t>
      </w:r>
      <w:r w:rsidRPr="009F7C76">
        <w:t>15</w:t>
      </w:r>
      <w:r w:rsidR="00564D74">
        <w:t> </w:t>
      </w:r>
      <w:r w:rsidRPr="009F7C76">
        <w:t>a), c) et</w:t>
      </w:r>
      <w:r w:rsidR="00564D74">
        <w:t> </w:t>
      </w:r>
      <w:r w:rsidRPr="009F7C76">
        <w:t>g)). En outre, le Comité s</w:t>
      </w:r>
      <w:r w:rsidR="00CC6A9F">
        <w:t>’</w:t>
      </w:r>
      <w:r w:rsidRPr="009F7C76">
        <w:t>est déclaré préoccupé par l</w:t>
      </w:r>
      <w:r w:rsidR="00CC6A9F">
        <w:t>’</w:t>
      </w:r>
      <w:r w:rsidRPr="009F7C76">
        <w:t>état d</w:t>
      </w:r>
      <w:r w:rsidR="00CC6A9F">
        <w:t>’</w:t>
      </w:r>
      <w:r w:rsidRPr="009F7C76">
        <w:t>avancement limité de la réalisation, au niveau mondial, des cibles de sécurité routière associées aux objectifs de développement durable et des objectifs visés dans le cadre de la Décennie d</w:t>
      </w:r>
      <w:r w:rsidR="00CC6A9F">
        <w:t>’</w:t>
      </w:r>
      <w:r w:rsidRPr="009F7C76">
        <w:t>action des Nations Unies pour la sécurité routière (ibid., par.</w:t>
      </w:r>
      <w:r>
        <w:t> </w:t>
      </w:r>
      <w:r w:rsidRPr="009F7C76">
        <w:t>64). Afin d</w:t>
      </w:r>
      <w:r w:rsidR="00CC6A9F">
        <w:t>’</w:t>
      </w:r>
      <w:r w:rsidRPr="009F7C76">
        <w:t>aider les pays, en particulier les nouvelles Parties contractantes, à continuer d</w:t>
      </w:r>
      <w:r w:rsidR="00CC6A9F">
        <w:t>’</w:t>
      </w:r>
      <w:r w:rsidRPr="009F7C76">
        <w:t>avancer dans l</w:t>
      </w:r>
      <w:r w:rsidR="00CC6A9F">
        <w:t>’</w:t>
      </w:r>
      <w:r w:rsidRPr="009F7C76">
        <w:t xml:space="preserve">application des instruments juridiques relatifs à la sécurité routière, le secrétariat a établi un projet de recommandations du CTI pour le renforcement des systèmes nationaux de sécurité routière, </w:t>
      </w:r>
      <w:r w:rsidRPr="009F7C76">
        <w:lastRenderedPageBreak/>
        <w:t xml:space="preserve">au sujet duquel les groupes de travail sont invités à formuler des observations. Le GRE est invité à apporter sa contribution dans ce cadre. </w:t>
      </w:r>
    </w:p>
    <w:p w:rsidR="009F7C76" w:rsidRPr="009F7C76" w:rsidRDefault="009F7C76" w:rsidP="009F7C76">
      <w:pPr>
        <w:pStyle w:val="H23G"/>
      </w:pPr>
      <w:r>
        <w:tab/>
      </w:r>
      <w:r w:rsidRPr="009F7C76">
        <w:t>e)</w:t>
      </w:r>
      <w:r w:rsidRPr="009F7C76">
        <w:tab/>
        <w:t xml:space="preserve">Dispositions transitoires caduques </w:t>
      </w:r>
    </w:p>
    <w:p w:rsidR="009F7C76" w:rsidRPr="009F7C76" w:rsidRDefault="009F7C76" w:rsidP="009F7C76">
      <w:pPr>
        <w:pStyle w:val="SingleTxtG"/>
        <w:ind w:firstLine="567"/>
      </w:pPr>
      <w:r w:rsidRPr="009F7C76">
        <w:t>Le GRE est invité à examiner un document de travail soumis par les experts de l</w:t>
      </w:r>
      <w:r w:rsidR="00CC6A9F">
        <w:t>’</w:t>
      </w:r>
      <w:r w:rsidRPr="009F7C76">
        <w:t xml:space="preserve">Italie et des Pays-Bas. </w:t>
      </w:r>
    </w:p>
    <w:p w:rsidR="009F7C76" w:rsidRPr="009F7C76" w:rsidRDefault="009F7C76" w:rsidP="009F7C76">
      <w:pPr>
        <w:pStyle w:val="SingleTxtG"/>
      </w:pPr>
      <w:r w:rsidRPr="009F7C76">
        <w:rPr>
          <w:b/>
          <w:bCs/>
        </w:rPr>
        <w:t>Document(s)</w:t>
      </w:r>
      <w:r>
        <w:rPr>
          <w:b/>
          <w:bCs/>
        </w:rPr>
        <w:t> </w:t>
      </w:r>
      <w:r>
        <w:t>:</w:t>
      </w:r>
      <w:r w:rsidRPr="009F7C76">
        <w:tab/>
        <w:t>Document informel GRE-80-06</w:t>
      </w:r>
      <w:r>
        <w:t>.</w:t>
      </w:r>
    </w:p>
    <w:p w:rsidR="009F7C76" w:rsidRPr="009F7C76" w:rsidRDefault="009F7C76" w:rsidP="004C0D13">
      <w:pPr>
        <w:pStyle w:val="H1G"/>
      </w:pPr>
      <w:r>
        <w:tab/>
      </w:r>
      <w:r w:rsidRPr="009F7C76">
        <w:t>9.</w:t>
      </w:r>
      <w:r w:rsidRPr="009F7C76">
        <w:tab/>
        <w:t>Autres questions et soumissions tardives</w:t>
      </w:r>
    </w:p>
    <w:p w:rsidR="009F7C76" w:rsidRPr="009F7C76" w:rsidRDefault="009F7C76" w:rsidP="009F7C76">
      <w:pPr>
        <w:pStyle w:val="SingleTxtG"/>
        <w:ind w:firstLine="567"/>
      </w:pPr>
      <w:r w:rsidRPr="009F7C76">
        <w:t>Le GRE se penchera peut-être sur de nouvelles questions ou sur des documents qui pourraient être soumis après que l</w:t>
      </w:r>
      <w:r w:rsidR="00CC6A9F">
        <w:t>’</w:t>
      </w:r>
      <w:r w:rsidRPr="009F7C76">
        <w:t>ordre du jour provisoire annoté aura été transmis aux services de traduction.</w:t>
      </w:r>
    </w:p>
    <w:p w:rsidR="009F7C76" w:rsidRPr="009F7C76" w:rsidRDefault="009F7C76" w:rsidP="004C0D13">
      <w:pPr>
        <w:pStyle w:val="H1G"/>
      </w:pPr>
      <w:r>
        <w:tab/>
      </w:r>
      <w:r w:rsidRPr="009F7C76">
        <w:t>10.</w:t>
      </w:r>
      <w:r w:rsidRPr="009F7C76">
        <w:tab/>
        <w:t>Orientation des travaux futurs du GRE</w:t>
      </w:r>
      <w:r w:rsidRPr="009F7C76">
        <w:tab/>
      </w:r>
    </w:p>
    <w:p w:rsidR="009F7C76" w:rsidRPr="009F7C76" w:rsidRDefault="009F7C76" w:rsidP="009F7C76">
      <w:pPr>
        <w:pStyle w:val="SingleTxtG"/>
        <w:ind w:firstLine="567"/>
        <w:rPr>
          <w:bCs/>
        </w:rPr>
      </w:pPr>
      <w:r w:rsidRPr="009F7C76">
        <w:rPr>
          <w:bCs/>
        </w:rPr>
        <w:t xml:space="preserve">Le GRE sera informé des débats sur les prescriptions de signalisation pour les véhicules automatisés/autonomes qui ont eu lieu à la session du WP.29 (juin 2019). </w:t>
      </w:r>
    </w:p>
    <w:p w:rsidR="009F7C76" w:rsidRPr="009F7C76" w:rsidRDefault="009F7C76" w:rsidP="004C0D13">
      <w:pPr>
        <w:pStyle w:val="H1G"/>
      </w:pPr>
      <w:r>
        <w:tab/>
      </w:r>
      <w:r w:rsidRPr="009F7C76">
        <w:t>11.</w:t>
      </w:r>
      <w:r w:rsidRPr="009F7C76">
        <w:tab/>
        <w:t>Ordre du jour provisoire de la prochaine session</w:t>
      </w:r>
    </w:p>
    <w:p w:rsidR="009F7C76" w:rsidRPr="009F7C76" w:rsidRDefault="009F7C76" w:rsidP="009F7C76">
      <w:pPr>
        <w:pStyle w:val="SingleTxtG"/>
        <w:ind w:firstLine="567"/>
      </w:pPr>
      <w:r w:rsidRPr="009F7C76">
        <w:t>Le GRE souhaitera sans doute donner des indications sur l</w:t>
      </w:r>
      <w:r w:rsidR="00CC6A9F">
        <w:t>’</w:t>
      </w:r>
      <w:r w:rsidRPr="009F7C76">
        <w:t>ordre du jour provisoire de la prochaine session.</w:t>
      </w:r>
    </w:p>
    <w:p w:rsidR="009F7C76" w:rsidRPr="009F7C76" w:rsidRDefault="009F7C76" w:rsidP="004C0D13">
      <w:pPr>
        <w:pStyle w:val="H1G"/>
      </w:pPr>
      <w:r>
        <w:tab/>
      </w:r>
      <w:r w:rsidRPr="009F7C76">
        <w:t>12.</w:t>
      </w:r>
      <w:r w:rsidRPr="009F7C76">
        <w:tab/>
        <w:t>Élection du Bureau</w:t>
      </w:r>
    </w:p>
    <w:p w:rsidR="009F7C76" w:rsidRPr="009F7C76" w:rsidRDefault="009F7C76" w:rsidP="009F7C76">
      <w:pPr>
        <w:pStyle w:val="SingleTxtG"/>
        <w:ind w:firstLine="567"/>
      </w:pPr>
      <w:r w:rsidRPr="009F7C76">
        <w:t>Conformément à l</w:t>
      </w:r>
      <w:r w:rsidR="00CC6A9F">
        <w:t>’</w:t>
      </w:r>
      <w:r w:rsidRPr="009F7C76">
        <w:t>article</w:t>
      </w:r>
      <w:r>
        <w:t> </w:t>
      </w:r>
      <w:r w:rsidRPr="009F7C76">
        <w:t>37 du Règlement intérieur (TRANS/WP.29/690 et Amend.1 et</w:t>
      </w:r>
      <w:r>
        <w:t> </w:t>
      </w:r>
      <w:r w:rsidRPr="009F7C76">
        <w:t>2), le Groupe de travail élira son président et son vice-président pour les sessions prévues en 2020.</w:t>
      </w:r>
    </w:p>
    <w:p w:rsidR="00F9573C" w:rsidRPr="009F7C76" w:rsidRDefault="009F7C76" w:rsidP="009F7C76">
      <w:pPr>
        <w:pStyle w:val="SingleTxtG"/>
        <w:spacing w:before="240" w:after="0"/>
        <w:jc w:val="center"/>
        <w:rPr>
          <w:u w:val="single"/>
        </w:rPr>
      </w:pPr>
      <w:r>
        <w:rPr>
          <w:u w:val="single"/>
        </w:rPr>
        <w:tab/>
      </w:r>
      <w:r>
        <w:rPr>
          <w:u w:val="single"/>
        </w:rPr>
        <w:tab/>
      </w:r>
      <w:r>
        <w:rPr>
          <w:u w:val="single"/>
        </w:rPr>
        <w:tab/>
      </w:r>
    </w:p>
    <w:sectPr w:rsidR="00F9573C" w:rsidRPr="009F7C76" w:rsidSect="009F7C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5C7" w:rsidRDefault="00BA15C7" w:rsidP="00F95C08">
      <w:pPr>
        <w:spacing w:line="240" w:lineRule="auto"/>
      </w:pPr>
    </w:p>
  </w:endnote>
  <w:endnote w:type="continuationSeparator" w:id="0">
    <w:p w:rsidR="00BA15C7" w:rsidRPr="00AC3823" w:rsidRDefault="00BA15C7" w:rsidP="00AC3823">
      <w:pPr>
        <w:pStyle w:val="Pieddepage"/>
      </w:pPr>
    </w:p>
  </w:endnote>
  <w:endnote w:type="continuationNotice" w:id="1">
    <w:p w:rsidR="00BA15C7" w:rsidRDefault="00BA15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C76" w:rsidRPr="009F7C76" w:rsidRDefault="009F7C76" w:rsidP="009F7C76">
    <w:pPr>
      <w:pStyle w:val="Pieddepage"/>
      <w:tabs>
        <w:tab w:val="right" w:pos="9638"/>
      </w:tabs>
    </w:pPr>
    <w:r w:rsidRPr="009F7C76">
      <w:rPr>
        <w:b/>
        <w:sz w:val="18"/>
      </w:rPr>
      <w:fldChar w:fldCharType="begin"/>
    </w:r>
    <w:r w:rsidRPr="009F7C76">
      <w:rPr>
        <w:b/>
        <w:sz w:val="18"/>
      </w:rPr>
      <w:instrText xml:space="preserve"> PAGE  \* MERGEFORMAT </w:instrText>
    </w:r>
    <w:r w:rsidRPr="009F7C76">
      <w:rPr>
        <w:b/>
        <w:sz w:val="18"/>
      </w:rPr>
      <w:fldChar w:fldCharType="separate"/>
    </w:r>
    <w:r w:rsidRPr="009F7C76">
      <w:rPr>
        <w:b/>
        <w:noProof/>
        <w:sz w:val="18"/>
      </w:rPr>
      <w:t>2</w:t>
    </w:r>
    <w:r w:rsidRPr="009F7C76">
      <w:rPr>
        <w:b/>
        <w:sz w:val="18"/>
      </w:rPr>
      <w:fldChar w:fldCharType="end"/>
    </w:r>
    <w:r>
      <w:rPr>
        <w:b/>
        <w:sz w:val="18"/>
      </w:rPr>
      <w:tab/>
    </w:r>
    <w:r>
      <w:t>GE.19-13427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C76" w:rsidRPr="009F7C76" w:rsidRDefault="009F7C76" w:rsidP="009F7C76">
    <w:pPr>
      <w:pStyle w:val="Pieddepage"/>
      <w:tabs>
        <w:tab w:val="right" w:pos="9638"/>
      </w:tabs>
      <w:rPr>
        <w:b/>
        <w:sz w:val="18"/>
      </w:rPr>
    </w:pPr>
    <w:r>
      <w:t>GE.19-13427</w:t>
    </w:r>
    <w:r>
      <w:tab/>
    </w:r>
    <w:r w:rsidRPr="009F7C76">
      <w:rPr>
        <w:b/>
        <w:sz w:val="18"/>
      </w:rPr>
      <w:fldChar w:fldCharType="begin"/>
    </w:r>
    <w:r w:rsidRPr="009F7C76">
      <w:rPr>
        <w:b/>
        <w:sz w:val="18"/>
      </w:rPr>
      <w:instrText xml:space="preserve"> PAGE  \* MERGEFORMAT </w:instrText>
    </w:r>
    <w:r w:rsidRPr="009F7C76">
      <w:rPr>
        <w:b/>
        <w:sz w:val="18"/>
      </w:rPr>
      <w:fldChar w:fldCharType="separate"/>
    </w:r>
    <w:r w:rsidRPr="009F7C76">
      <w:rPr>
        <w:b/>
        <w:noProof/>
        <w:sz w:val="18"/>
      </w:rPr>
      <w:t>3</w:t>
    </w:r>
    <w:r w:rsidRPr="009F7C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F7C76" w:rsidRDefault="009F7C76" w:rsidP="009F7C76">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19-13427  (F)    210819    220819</w:t>
    </w:r>
    <w:r>
      <w:rPr>
        <w:sz w:val="20"/>
      </w:rPr>
      <w:br/>
    </w:r>
    <w:r w:rsidRPr="009F7C76">
      <w:rPr>
        <w:rFonts w:ascii="C39T30Lfz" w:hAnsi="C39T30Lfz"/>
        <w:sz w:val="56"/>
      </w:rPr>
      <w:t></w:t>
    </w:r>
    <w:r w:rsidRPr="009F7C76">
      <w:rPr>
        <w:rFonts w:ascii="C39T30Lfz" w:hAnsi="C39T30Lfz"/>
        <w:sz w:val="56"/>
      </w:rPr>
      <w:t></w:t>
    </w:r>
    <w:r w:rsidRPr="009F7C76">
      <w:rPr>
        <w:rFonts w:ascii="C39T30Lfz" w:hAnsi="C39T30Lfz"/>
        <w:sz w:val="56"/>
      </w:rPr>
      <w:t></w:t>
    </w:r>
    <w:r w:rsidRPr="009F7C76">
      <w:rPr>
        <w:rFonts w:ascii="C39T30Lfz" w:hAnsi="C39T30Lfz"/>
        <w:sz w:val="56"/>
      </w:rPr>
      <w:t></w:t>
    </w:r>
    <w:r w:rsidRPr="009F7C76">
      <w:rPr>
        <w:rFonts w:ascii="C39T30Lfz" w:hAnsi="C39T30Lfz"/>
        <w:sz w:val="56"/>
      </w:rPr>
      <w:t></w:t>
    </w:r>
    <w:r w:rsidRPr="009F7C76">
      <w:rPr>
        <w:rFonts w:ascii="C39T30Lfz" w:hAnsi="C39T30Lfz"/>
        <w:sz w:val="56"/>
      </w:rPr>
      <w:t></w:t>
    </w:r>
    <w:r w:rsidRPr="009F7C76">
      <w:rPr>
        <w:rFonts w:ascii="C39T30Lfz" w:hAnsi="C39T30Lfz"/>
        <w:sz w:val="56"/>
      </w:rPr>
      <w:t></w:t>
    </w:r>
    <w:r w:rsidRPr="009F7C76">
      <w:rPr>
        <w:rFonts w:ascii="C39T30Lfz" w:hAnsi="C39T30Lfz"/>
        <w:sz w:val="56"/>
      </w:rPr>
      <w:t></w:t>
    </w:r>
    <w:r w:rsidRPr="009F7C7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5C7" w:rsidRPr="00AC3823" w:rsidRDefault="00BA15C7" w:rsidP="00AC3823">
      <w:pPr>
        <w:pStyle w:val="Pieddepage"/>
        <w:tabs>
          <w:tab w:val="right" w:pos="2155"/>
        </w:tabs>
        <w:spacing w:after="80" w:line="240" w:lineRule="atLeast"/>
        <w:ind w:left="680"/>
        <w:rPr>
          <w:u w:val="single"/>
        </w:rPr>
      </w:pPr>
      <w:r>
        <w:rPr>
          <w:u w:val="single"/>
        </w:rPr>
        <w:tab/>
      </w:r>
    </w:p>
  </w:footnote>
  <w:footnote w:type="continuationSeparator" w:id="0">
    <w:p w:rsidR="00BA15C7" w:rsidRPr="00AC3823" w:rsidRDefault="00BA15C7" w:rsidP="00AC3823">
      <w:pPr>
        <w:pStyle w:val="Pieddepage"/>
        <w:tabs>
          <w:tab w:val="right" w:pos="2155"/>
        </w:tabs>
        <w:spacing w:after="80" w:line="240" w:lineRule="atLeast"/>
        <w:ind w:left="680"/>
        <w:rPr>
          <w:u w:val="single"/>
        </w:rPr>
      </w:pPr>
      <w:r>
        <w:rPr>
          <w:u w:val="single"/>
        </w:rPr>
        <w:tab/>
      </w:r>
    </w:p>
  </w:footnote>
  <w:footnote w:type="continuationNotice" w:id="1">
    <w:p w:rsidR="00BA15C7" w:rsidRPr="00AC3823" w:rsidRDefault="00BA15C7">
      <w:pPr>
        <w:spacing w:line="240" w:lineRule="auto"/>
        <w:rPr>
          <w:sz w:val="2"/>
          <w:szCs w:val="2"/>
        </w:rPr>
      </w:pPr>
    </w:p>
  </w:footnote>
  <w:footnote w:id="2">
    <w:p w:rsidR="009F7C76" w:rsidRPr="00761E93" w:rsidRDefault="009F7C76" w:rsidP="009F7C76">
      <w:pPr>
        <w:pStyle w:val="Notedebasdepage"/>
      </w:pPr>
      <w:r w:rsidRPr="00761E93">
        <w:rPr>
          <w:rStyle w:val="Appelnotedebasdep"/>
          <w:sz w:val="24"/>
          <w:szCs w:val="24"/>
        </w:rPr>
        <w:tab/>
        <w:t>*</w:t>
      </w:r>
      <w:r w:rsidRPr="00761E93">
        <w:rPr>
          <w:rStyle w:val="Appelnotedebasdep"/>
          <w:sz w:val="24"/>
          <w:szCs w:val="24"/>
        </w:rPr>
        <w:tab/>
      </w:r>
      <w:r w:rsidRPr="00761E93">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9F7C76">
          <w:rPr>
            <w:rStyle w:val="Lienhypertexte"/>
          </w:rPr>
          <w:t>www.unece.org/trans/main/wp29/wp29wgs/wp29gre/greage.html</w:t>
        </w:r>
      </w:hyperlink>
      <w:r w:rsidRPr="00761E93">
        <w:t>). À</w:t>
      </w:r>
      <w:r>
        <w:t> </w:t>
      </w:r>
      <w:r w:rsidRPr="00761E93">
        <w:t>titre exceptionnel, ils peuvent également être obtenus par courrier électronique (</w:t>
      </w:r>
      <w:hyperlink r:id="rId2" w:history="1">
        <w:r w:rsidRPr="00564D74">
          <w:rPr>
            <w:rStyle w:val="Lienhypertexte"/>
          </w:rPr>
          <w:t>gre@unece.org</w:t>
        </w:r>
      </w:hyperlink>
      <w:r w:rsidRPr="00761E93">
        <w:t>) ou par télécopie (+41</w:t>
      </w:r>
      <w:r w:rsidR="00564D74">
        <w:t> </w:t>
      </w:r>
      <w:r w:rsidRPr="00761E93">
        <w:t>22 917 00 39). Durant la session, les documents officiels peuvent être obtenus auprès de la Section de la distribution des documents de l’ONUG (bureau C.337 au 3</w:t>
      </w:r>
      <w:r w:rsidRPr="00564D74">
        <w:rPr>
          <w:vertAlign w:val="superscript"/>
        </w:rPr>
        <w:t>e</w:t>
      </w:r>
      <w:r w:rsidR="00564D74">
        <w:rPr>
          <w:vertAlign w:val="superscript"/>
        </w:rPr>
        <w:t> </w:t>
      </w:r>
      <w:r w:rsidRPr="00761E93">
        <w:t xml:space="preserve">étage du Palais des Nations). Les versions traduites de ces documents sont disponibles en accès public sur le Système de diffusion électronique des documents (SEDOC), à l’adresse </w:t>
      </w:r>
      <w:hyperlink r:id="rId3" w:history="1">
        <w:r w:rsidRPr="009F7C76">
          <w:rPr>
            <w:rStyle w:val="Lienhypertexte"/>
          </w:rPr>
          <w:t>documents.un.org/</w:t>
        </w:r>
      </w:hyperlink>
      <w:r w:rsidRPr="00761E93">
        <w:t>.</w:t>
      </w:r>
    </w:p>
  </w:footnote>
  <w:footnote w:id="3">
    <w:p w:rsidR="009F7C76" w:rsidRPr="00761E93" w:rsidRDefault="009F7C76" w:rsidP="009F7C76">
      <w:pPr>
        <w:pStyle w:val="Notedebasdepage"/>
      </w:pPr>
      <w:r w:rsidRPr="00761E93">
        <w:tab/>
      </w:r>
      <w:r w:rsidRPr="00761E93">
        <w:rPr>
          <w:rStyle w:val="Appelnotedebasdep"/>
          <w:szCs w:val="24"/>
        </w:rPr>
        <w:t>**</w:t>
      </w:r>
      <w:r w:rsidRPr="00761E93">
        <w:tab/>
        <w:t>Les représentants sont priés de remplir le formulaire d’inscription disponible sur le site Web de la</w:t>
      </w:r>
      <w:r w:rsidR="00CC6A9F">
        <w:t> </w:t>
      </w:r>
      <w:r w:rsidRPr="00761E93">
        <w:t>CEE</w:t>
      </w:r>
      <w:r>
        <w:t xml:space="preserve"> </w:t>
      </w:r>
      <w:r w:rsidRPr="00761E93">
        <w:t>(</w:t>
      </w:r>
      <w:hyperlink r:id="rId4" w:history="1">
        <w:r w:rsidRPr="009F7C76">
          <w:rPr>
            <w:rStyle w:val="Lienhypertexte"/>
          </w:rPr>
          <w:t>https://uncdb.unece.org/app/ext/meeting-registration?id=2lzPim</w:t>
        </w:r>
      </w:hyperlink>
      <w:r w:rsidRPr="00761E93">
        <w:t>). À̀ leur arrivée au Palais des</w:t>
      </w:r>
      <w:r w:rsidR="00CC6A9F">
        <w:t> </w:t>
      </w:r>
      <w:r w:rsidRPr="00761E93">
        <w:t>Nations, ils doivent retirer un badge à la Section de la sécurité́ et de la sûreté́, située au Portail de Pregny (14, avenue de la Paix).</w:t>
      </w:r>
      <w:r>
        <w:t xml:space="preserve"> </w:t>
      </w:r>
      <w:r w:rsidRPr="00761E93">
        <w:t>En cas de difficulté, ils sont invités à contacter le secrétariat par téléphone (poste</w:t>
      </w:r>
      <w:r w:rsidR="00564D74">
        <w:t> </w:t>
      </w:r>
      <w:r w:rsidRPr="00761E93">
        <w:t xml:space="preserve">74323). Un plan du Palais des Nations et d’autres renseignements utiles sont disponibles à l’adresse </w:t>
      </w:r>
      <w:hyperlink r:id="rId5" w:history="1">
        <w:r w:rsidRPr="009F7C76">
          <w:rPr>
            <w:rStyle w:val="Lienhypertexte"/>
          </w:rPr>
          <w:t>http://www.unece.org/fr/info/events/informations-pratiques-pour-les-delegues.html</w:t>
        </w:r>
      </w:hyperlink>
      <w:r w:rsidRPr="00761E9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C76" w:rsidRPr="009F7C76" w:rsidRDefault="009F7C76">
    <w:pPr>
      <w:pStyle w:val="En-tte"/>
    </w:pPr>
    <w:fldSimple w:instr=" TITLE  \* MERGEFORMAT ">
      <w:r w:rsidR="00C62B97">
        <w:t>ECE/TRANS/WP.29/GRE/2019/13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C76" w:rsidRPr="009F7C76" w:rsidRDefault="009F7C76" w:rsidP="009F7C76">
    <w:pPr>
      <w:pStyle w:val="En-tte"/>
      <w:jc w:val="right"/>
    </w:pPr>
    <w:fldSimple w:instr=" TITLE  \* MERGEFORMAT ">
      <w:r w:rsidR="00C62B97">
        <w:t>ECE/TRANS/WP.29/GRE/2019/13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15C7"/>
    <w:rsid w:val="00017F94"/>
    <w:rsid w:val="00023842"/>
    <w:rsid w:val="000334F9"/>
    <w:rsid w:val="00045FEB"/>
    <w:rsid w:val="000762D0"/>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C0D13"/>
    <w:rsid w:val="004E2EED"/>
    <w:rsid w:val="004E468C"/>
    <w:rsid w:val="005505B7"/>
    <w:rsid w:val="00564D74"/>
    <w:rsid w:val="00573BE5"/>
    <w:rsid w:val="00586ED3"/>
    <w:rsid w:val="00596AA9"/>
    <w:rsid w:val="00711441"/>
    <w:rsid w:val="0071601D"/>
    <w:rsid w:val="007A62E6"/>
    <w:rsid w:val="007F20FA"/>
    <w:rsid w:val="0080684C"/>
    <w:rsid w:val="00871C75"/>
    <w:rsid w:val="008776DC"/>
    <w:rsid w:val="009446C0"/>
    <w:rsid w:val="009705C8"/>
    <w:rsid w:val="009C1CF4"/>
    <w:rsid w:val="009F6B74"/>
    <w:rsid w:val="009F7C76"/>
    <w:rsid w:val="00A3029F"/>
    <w:rsid w:val="00A30353"/>
    <w:rsid w:val="00AC3823"/>
    <w:rsid w:val="00AE323C"/>
    <w:rsid w:val="00AF0CB5"/>
    <w:rsid w:val="00AF440D"/>
    <w:rsid w:val="00B00181"/>
    <w:rsid w:val="00B00B0D"/>
    <w:rsid w:val="00B45F2E"/>
    <w:rsid w:val="00B765F7"/>
    <w:rsid w:val="00BA0CA9"/>
    <w:rsid w:val="00BA15C7"/>
    <w:rsid w:val="00C02897"/>
    <w:rsid w:val="00C421F5"/>
    <w:rsid w:val="00C62B97"/>
    <w:rsid w:val="00C97039"/>
    <w:rsid w:val="00CC6A9F"/>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3A0E91"/>
  <w15:docId w15:val="{14711959-B0FE-4584-AD01-F216CD27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9F7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FRA\COMMON\MSWDocs\_3Final\documents.un.org\" TargetMode="External"/><Relationship Id="rId2" Type="http://schemas.openxmlformats.org/officeDocument/2006/relationships/hyperlink" Target="mailto:gre@unece.org" TargetMode="External"/><Relationship Id="rId1" Type="http://schemas.openxmlformats.org/officeDocument/2006/relationships/hyperlink" Target="http://www.unece.org/trans/main/wp29/wp29wgs/wp29gre/greage.html" TargetMode="External"/><Relationship Id="rId5" Type="http://schemas.openxmlformats.org/officeDocument/2006/relationships/hyperlink" Target="http://www.unece.org/fr/info/events/informations-pratiques-pour-les-delegues.html" TargetMode="External"/><Relationship Id="rId4" Type="http://schemas.openxmlformats.org/officeDocument/2006/relationships/hyperlink" Target="https://uncdb.unece.org/app/ext/meeting-registration?id=2lzPi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1692</Words>
  <Characters>11844</Characters>
  <Application>Microsoft Office Word</Application>
  <DocSecurity>0</DocSecurity>
  <Lines>987</Lines>
  <Paragraphs>541</Paragraphs>
  <ScaleCrop>false</ScaleCrop>
  <HeadingPairs>
    <vt:vector size="2" baseType="variant">
      <vt:variant>
        <vt:lpstr>Titre</vt:lpstr>
      </vt:variant>
      <vt:variant>
        <vt:i4>1</vt:i4>
      </vt:variant>
    </vt:vector>
  </HeadingPairs>
  <TitlesOfParts>
    <vt:vector size="1" baseType="lpstr">
      <vt:lpstr>ECE/TRANS/WP.29/GRE/2019/13</vt:lpstr>
    </vt:vector>
  </TitlesOfParts>
  <Company>DCM</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ECE/TRANS/WP.29/GRE/2019/13</dc:title>
  <dc:subject/>
  <dc:creator>Edith BOURION</dc:creator>
  <cp:keywords/>
  <cp:lastModifiedBy>Edith Bourion</cp:lastModifiedBy>
  <cp:revision>2</cp:revision>
  <cp:lastPrinted>2019-08-22T07:35:00Z</cp:lastPrinted>
  <dcterms:created xsi:type="dcterms:W3CDTF">2019-08-22T08:42:00Z</dcterms:created>
  <dcterms:modified xsi:type="dcterms:W3CDTF">2019-08-22T08:42:00Z</dcterms:modified>
</cp:coreProperties>
</file>