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10C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10C53" w:rsidP="00B10C53">
            <w:pPr>
              <w:jc w:val="right"/>
            </w:pPr>
            <w:r w:rsidRPr="00B10C53">
              <w:rPr>
                <w:sz w:val="40"/>
              </w:rPr>
              <w:t>ECE</w:t>
            </w:r>
            <w:r>
              <w:t>/TRANS/WP.29/GRE/2019/12</w:t>
            </w:r>
          </w:p>
        </w:tc>
      </w:tr>
      <w:tr w:rsidR="002D5AAC" w:rsidRPr="0002102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10C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10C53" w:rsidRDefault="00B10C53" w:rsidP="00B10C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2019</w:t>
            </w:r>
          </w:p>
          <w:p w:rsidR="00B10C53" w:rsidRDefault="00B10C53" w:rsidP="00B10C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10C53" w:rsidRPr="008D53B6" w:rsidRDefault="00B10C53" w:rsidP="00B10C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10C5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22DB4" w:rsidRPr="009A5DF5" w:rsidRDefault="00D22DB4" w:rsidP="00D22DB4">
      <w:pPr>
        <w:spacing w:before="120"/>
        <w:rPr>
          <w:sz w:val="28"/>
          <w:szCs w:val="28"/>
        </w:rPr>
      </w:pPr>
      <w:r w:rsidRPr="009A5DF5">
        <w:rPr>
          <w:sz w:val="28"/>
          <w:szCs w:val="28"/>
        </w:rPr>
        <w:t>Комитет по внутреннему транспорту</w:t>
      </w:r>
    </w:p>
    <w:p w:rsidR="00D22DB4" w:rsidRPr="009A5DF5" w:rsidRDefault="00D22DB4" w:rsidP="00D22DB4">
      <w:pPr>
        <w:spacing w:before="120"/>
        <w:rPr>
          <w:b/>
          <w:sz w:val="24"/>
          <w:szCs w:val="24"/>
        </w:rPr>
      </w:pPr>
      <w:r w:rsidRPr="009A5DF5">
        <w:rPr>
          <w:b/>
          <w:bCs/>
          <w:sz w:val="24"/>
          <w:szCs w:val="24"/>
        </w:rPr>
        <w:t>Всемирный форум для согласования правил</w:t>
      </w:r>
      <w:r w:rsidRPr="009A5DF5">
        <w:rPr>
          <w:b/>
          <w:bCs/>
          <w:sz w:val="24"/>
          <w:szCs w:val="24"/>
        </w:rPr>
        <w:br/>
        <w:t>в области транспортных средств</w:t>
      </w:r>
    </w:p>
    <w:p w:rsidR="00D22DB4" w:rsidRPr="009A5DF5" w:rsidRDefault="00D22DB4" w:rsidP="00D22DB4">
      <w:pPr>
        <w:spacing w:before="120"/>
        <w:rPr>
          <w:b/>
          <w:bCs/>
        </w:rPr>
      </w:pPr>
      <w:r w:rsidRPr="009A5DF5">
        <w:rPr>
          <w:b/>
          <w:bCs/>
        </w:rPr>
        <w:t>Рабочая группа по вопросам освещения</w:t>
      </w:r>
      <w:r w:rsidRPr="009A5DF5">
        <w:rPr>
          <w:b/>
          <w:bCs/>
        </w:rPr>
        <w:br/>
        <w:t>и световой сигнализации</w:t>
      </w:r>
    </w:p>
    <w:p w:rsidR="00D22DB4" w:rsidRPr="009A5DF5" w:rsidRDefault="00D22DB4" w:rsidP="00D22DB4">
      <w:pPr>
        <w:spacing w:before="120"/>
        <w:rPr>
          <w:b/>
          <w:bCs/>
        </w:rPr>
      </w:pPr>
      <w:r w:rsidRPr="009A5DF5">
        <w:rPr>
          <w:b/>
          <w:bCs/>
        </w:rPr>
        <w:t>Восемьдесят первая сессия</w:t>
      </w:r>
    </w:p>
    <w:p w:rsidR="00D22DB4" w:rsidRPr="009A5DF5" w:rsidRDefault="00D22DB4" w:rsidP="00D22DB4">
      <w:r w:rsidRPr="009A5DF5">
        <w:t>Женева, 15–18 апреля 2019 года</w:t>
      </w:r>
    </w:p>
    <w:p w:rsidR="00D22DB4" w:rsidRPr="009A5DF5" w:rsidRDefault="00D22DB4" w:rsidP="00D22DB4">
      <w:pPr>
        <w:ind w:right="1134"/>
        <w:rPr>
          <w:b/>
          <w:bCs/>
        </w:rPr>
      </w:pPr>
      <w:r w:rsidRPr="009A5DF5">
        <w:t xml:space="preserve">Пункт </w:t>
      </w:r>
      <w:r w:rsidRPr="009A5DF5">
        <w:rPr>
          <w:bCs/>
        </w:rPr>
        <w:t xml:space="preserve">7 a) </w:t>
      </w:r>
      <w:r w:rsidRPr="009A5DF5">
        <w:t>предварительной повестки дня</w:t>
      </w:r>
      <w:r w:rsidRPr="009A5DF5">
        <w:rPr>
          <w:bCs/>
        </w:rPr>
        <w:br/>
      </w:r>
      <w:r w:rsidRPr="009A5DF5">
        <w:rPr>
          <w:b/>
          <w:bCs/>
        </w:rPr>
        <w:t>Другие правила ООН:</w:t>
      </w:r>
    </w:p>
    <w:p w:rsidR="00E12C5F" w:rsidRDefault="00D22DB4" w:rsidP="00D22DB4">
      <w:r w:rsidRPr="009A5DF5">
        <w:rPr>
          <w:b/>
          <w:bCs/>
        </w:rPr>
        <w:t>Правила № 53 ООН (установка устройств освещения и световой</w:t>
      </w:r>
      <w:r w:rsidRPr="009A5DF5">
        <w:rPr>
          <w:b/>
          <w:bCs/>
        </w:rPr>
        <w:br/>
        <w:t>сигнализации на транспортных средствах категории L</w:t>
      </w:r>
      <w:r w:rsidRPr="009A5DF5">
        <w:rPr>
          <w:b/>
          <w:bCs/>
          <w:vertAlign w:val="subscript"/>
        </w:rPr>
        <w:t>3</w:t>
      </w:r>
      <w:r w:rsidRPr="009A5DF5">
        <w:rPr>
          <w:b/>
          <w:bCs/>
        </w:rPr>
        <w:t>)</w:t>
      </w:r>
    </w:p>
    <w:p w:rsidR="00D22DB4" w:rsidRPr="009A5DF5" w:rsidRDefault="00D22DB4" w:rsidP="00D22DB4">
      <w:pPr>
        <w:pStyle w:val="HChG"/>
      </w:pPr>
      <w:r>
        <w:rPr>
          <w:szCs w:val="28"/>
        </w:rPr>
        <w:tab/>
      </w:r>
      <w:r>
        <w:rPr>
          <w:szCs w:val="28"/>
        </w:rPr>
        <w:tab/>
      </w:r>
      <w:r w:rsidRPr="009A5DF5">
        <w:rPr>
          <w:szCs w:val="28"/>
        </w:rPr>
        <w:t xml:space="preserve">Предложение по поправке к проекту </w:t>
      </w:r>
      <w:r>
        <w:t>поправок серии 03 к </w:t>
      </w:r>
      <w:r w:rsidRPr="009A5DF5">
        <w:t>Правилам № 53 ООН</w:t>
      </w:r>
    </w:p>
    <w:p w:rsidR="00D22DB4" w:rsidRPr="009A5DF5" w:rsidRDefault="00D22DB4" w:rsidP="00D22DB4">
      <w:pPr>
        <w:pStyle w:val="H1G"/>
        <w:ind w:firstLine="0"/>
      </w:pPr>
      <w:r w:rsidRPr="009A5DF5">
        <w:t>Представлено экспертом от Международной ассоциации заводов-изготовителей мотоциклов (МАЗМ)</w:t>
      </w:r>
      <w:r w:rsidRPr="003C4327">
        <w:rPr>
          <w:b w:val="0"/>
          <w:sz w:val="20"/>
        </w:rPr>
        <w:footnoteReference w:customMarkFollows="1" w:id="1"/>
        <w:t>*</w:t>
      </w:r>
    </w:p>
    <w:p w:rsidR="00D22DB4" w:rsidRPr="009A5DF5" w:rsidRDefault="00D22DB4" w:rsidP="00D22DB4">
      <w:pPr>
        <w:pStyle w:val="SingleTxtG"/>
        <w:rPr>
          <w:rFonts w:eastAsia="Calibri"/>
        </w:rPr>
      </w:pPr>
      <w:r>
        <w:tab/>
      </w:r>
      <w:r>
        <w:tab/>
      </w:r>
      <w:r w:rsidRPr="009A5DF5">
        <w:t xml:space="preserve">Воспроизведенный ниже текст был подготовлен экспертом от МАЗМ в порядке восстановления первоначального требования об автоматическом включении фар (АВФ) в случае транспортных средств, не оснащенных дневными ходовыми огнями (ДХО). Изменения к проекту поправок серии 03 к Правилам № 53 ООН </w:t>
      </w:r>
      <w:r w:rsidRPr="009A5DF5">
        <w:rPr>
          <w:rFonts w:eastAsia="Calibri"/>
        </w:rPr>
        <w:t xml:space="preserve">(ECE/TRANS/ WP.29/GRE/2018/50) </w:t>
      </w:r>
      <w:r w:rsidRPr="009A5DF5">
        <w:t>выделены жирным шрифтом в случае новых положений или зачеркиванием в случае исключенных элементов.</w:t>
      </w:r>
    </w:p>
    <w:p w:rsidR="00D22DB4" w:rsidRPr="009A5DF5" w:rsidRDefault="00D22DB4" w:rsidP="00D22DB4">
      <w:pPr>
        <w:pStyle w:val="HChG"/>
      </w:pPr>
      <w:r w:rsidRPr="009A5DF5">
        <w:br w:type="page"/>
      </w:r>
      <w:r w:rsidRPr="009A5DF5">
        <w:lastRenderedPageBreak/>
        <w:t xml:space="preserve"> </w:t>
      </w:r>
      <w:r w:rsidRPr="009A5DF5">
        <w:tab/>
      </w:r>
      <w:r w:rsidRPr="009A5DF5">
        <w:rPr>
          <w:lang w:val="en-US"/>
        </w:rPr>
        <w:t>I</w:t>
      </w:r>
      <w:r w:rsidRPr="009A5DF5">
        <w:t>.</w:t>
      </w:r>
      <w:r w:rsidRPr="009A5DF5">
        <w:tab/>
        <w:t>Предложение</w:t>
      </w:r>
    </w:p>
    <w:p w:rsidR="00D22DB4" w:rsidRPr="009A5DF5" w:rsidRDefault="00D22DB4" w:rsidP="00D22DB4">
      <w:pPr>
        <w:pStyle w:val="SingleTxtG"/>
        <w:ind w:left="2268" w:hanging="1134"/>
      </w:pPr>
      <w:r w:rsidRPr="009A5DF5">
        <w:rPr>
          <w:i/>
        </w:rPr>
        <w:t xml:space="preserve">Пункт </w:t>
      </w:r>
      <w:r w:rsidRPr="009A5DF5">
        <w:rPr>
          <w:rFonts w:hint="eastAsia"/>
          <w:i/>
        </w:rPr>
        <w:t>5</w:t>
      </w:r>
      <w:r w:rsidRPr="009A5DF5">
        <w:rPr>
          <w:i/>
        </w:rPr>
        <w:t>.</w:t>
      </w:r>
      <w:r w:rsidRPr="009A5DF5">
        <w:rPr>
          <w:rFonts w:hint="eastAsia"/>
          <w:i/>
          <w:lang w:eastAsia="ja-JP"/>
        </w:rPr>
        <w:t>11.2</w:t>
      </w:r>
      <w:r w:rsidRPr="009A5DF5">
        <w:t xml:space="preserve"> изменить следующим образом:</w:t>
      </w:r>
    </w:p>
    <w:p w:rsidR="00D22DB4" w:rsidRPr="009A5DF5" w:rsidRDefault="003C4327" w:rsidP="00D22DB4">
      <w:pPr>
        <w:pStyle w:val="SingleTxtG"/>
        <w:ind w:left="2268" w:hanging="1134"/>
        <w:rPr>
          <w:bCs/>
        </w:rPr>
      </w:pPr>
      <w:r>
        <w:rPr>
          <w:bCs/>
          <w:iCs/>
        </w:rPr>
        <w:t>«</w:t>
      </w:r>
      <w:r w:rsidR="00D22DB4" w:rsidRPr="009A5DF5">
        <w:rPr>
          <w:bCs/>
        </w:rPr>
        <w:t>5.11.2</w:t>
      </w:r>
      <w:r w:rsidR="00D22DB4" w:rsidRPr="009A5DF5">
        <w:rPr>
          <w:bCs/>
        </w:rPr>
        <w:tab/>
      </w:r>
      <w:r w:rsidR="00D22DB4" w:rsidRPr="009A5DF5">
        <w:t xml:space="preserve">Если дневной ходовой огонь не установлен, то с включением двигателя автоматически включается фара </w:t>
      </w:r>
      <w:r w:rsidR="00D22DB4" w:rsidRPr="009A5DF5">
        <w:rPr>
          <w:strike/>
        </w:rPr>
        <w:t>[(ближнего света)]</w:t>
      </w:r>
      <w:r>
        <w:rPr>
          <w:bCs/>
        </w:rPr>
        <w:t>»</w:t>
      </w:r>
      <w:r w:rsidR="00D22DB4" w:rsidRPr="009A5DF5">
        <w:rPr>
          <w:bCs/>
        </w:rPr>
        <w:t>.</w:t>
      </w:r>
    </w:p>
    <w:p w:rsidR="00D22DB4" w:rsidRPr="009A5DF5" w:rsidRDefault="00D22DB4" w:rsidP="00D22DB4">
      <w:pPr>
        <w:pStyle w:val="HChG"/>
      </w:pPr>
      <w:r w:rsidRPr="009A5DF5">
        <w:tab/>
      </w:r>
      <w:r w:rsidRPr="009A5DF5">
        <w:rPr>
          <w:lang w:val="en-US"/>
        </w:rPr>
        <w:t>II</w:t>
      </w:r>
      <w:r w:rsidRPr="009A5DF5">
        <w:t>.</w:t>
      </w:r>
      <w:r w:rsidRPr="009A5DF5">
        <w:tab/>
        <w:t>Обоснование</w:t>
      </w:r>
    </w:p>
    <w:p w:rsidR="00D22DB4" w:rsidRPr="009A5DF5" w:rsidRDefault="00D22DB4" w:rsidP="00D22DB4">
      <w:pPr>
        <w:pStyle w:val="SingleTxtG"/>
      </w:pPr>
      <w:r w:rsidRPr="009A5DF5">
        <w:rPr>
          <w:lang w:eastAsia="ja-JP"/>
        </w:rPr>
        <w:t>1.</w:t>
      </w:r>
      <w:r w:rsidRPr="009A5DF5">
        <w:rPr>
          <w:lang w:eastAsia="ja-JP"/>
        </w:rPr>
        <w:tab/>
        <w:t xml:space="preserve">На восьмидесятой сессии </w:t>
      </w:r>
      <w:r w:rsidRPr="009A5DF5">
        <w:t>GRE в качестве поп</w:t>
      </w:r>
      <w:r w:rsidR="003C4327">
        <w:t>равок новой серии 03 к Правилам </w:t>
      </w:r>
      <w:r w:rsidRPr="009A5DF5">
        <w:t>№ 53 ООН был принят документ ECE/TRANS/GRE/2018/50. Уместно отметить, что эта поправка не только затрагивает мотоциклы с ДХО, но также налагает ограничение на использование огня ближнего света при АВФ (автоматическом включении фар) после запуска двигателя. МАЗМ желала бы вернуться к обсуждению вопроса о применимости этого нового требования в случае АВФ.</w:t>
      </w:r>
    </w:p>
    <w:p w:rsidR="00D22DB4" w:rsidRPr="009A5DF5" w:rsidRDefault="00D22DB4" w:rsidP="00D22DB4">
      <w:pPr>
        <w:pStyle w:val="SingleTxtG"/>
      </w:pPr>
      <w:r w:rsidRPr="009A5DF5">
        <w:t>2.</w:t>
      </w:r>
      <w:r w:rsidRPr="009A5DF5">
        <w:tab/>
        <w:t>МАЗМ готова согласиться с предложением относительно такого ограничения в</w:t>
      </w:r>
      <w:r w:rsidR="00021029">
        <w:rPr>
          <w:lang w:val="en-US"/>
        </w:rPr>
        <w:t> </w:t>
      </w:r>
      <w:r w:rsidRPr="009A5DF5">
        <w:t>случае мотоциклов, оснащенных ДХО, поскольку автоматическое переключение режима ДХО на режим фар дальнего света в процессе движения может приводить к</w:t>
      </w:r>
      <w:r w:rsidR="00021029">
        <w:rPr>
          <w:lang w:val="en-US"/>
        </w:rPr>
        <w:t> </w:t>
      </w:r>
      <w:r w:rsidRPr="009A5DF5">
        <w:t>ослеплению водителей встречных транспортных средств. Однако в случае транспортных средств, не оснащенных ДХО, едва ли следует ожидать возникновения каких-либо подобных проблем, связанных с ослепляющим светом. Это обусловлено тем, что функция АВФ фар(ы) включается сразу же после запуска двигателя. При этом</w:t>
      </w:r>
      <w:r w:rsidR="00021029">
        <w:rPr>
          <w:lang w:val="en-US"/>
        </w:rPr>
        <w:t> </w:t>
      </w:r>
      <w:r w:rsidRPr="009A5DF5">
        <w:t>– даже если выбран режим фары дальнего света – транспортное средство остается неподвижным и предписанный контрольный сигнал уведомит водителя о включении фары дальнего света, что позволит ему немедленно переключить фару на ближний свет. Конкретное разъяснение и обоснование подобной ситуации приводится в документе ECE/TRANS/WP.29/</w:t>
      </w:r>
      <w:r w:rsidRPr="009A5DF5">
        <w:rPr>
          <w:rFonts w:hint="eastAsia"/>
        </w:rPr>
        <w:t>GRE/2003/12/Rev.1</w:t>
      </w:r>
      <w:r w:rsidRPr="009A5DF5">
        <w:t>, предусматривающем внесение в Правила № 53 ООН требования об обязательном АВФ.</w:t>
      </w:r>
    </w:p>
    <w:p w:rsidR="00D22DB4" w:rsidRPr="009A5DF5" w:rsidRDefault="00D22DB4" w:rsidP="00D22DB4">
      <w:pPr>
        <w:pStyle w:val="SingleTxtG"/>
      </w:pPr>
      <w:r w:rsidRPr="009A5DF5">
        <w:rPr>
          <w:lang w:eastAsia="ja-JP"/>
        </w:rPr>
        <w:t>3.</w:t>
      </w:r>
      <w:r w:rsidRPr="009A5DF5">
        <w:rPr>
          <w:lang w:eastAsia="ja-JP"/>
        </w:rPr>
        <w:tab/>
      </w:r>
      <w:r w:rsidRPr="009A5DF5">
        <w:t xml:space="preserve">Требование об обязательном АВФ было внесено в Правила № 53 ООН на пятьдесят второй сессии </w:t>
      </w:r>
      <w:r w:rsidRPr="009A5DF5">
        <w:rPr>
          <w:lang w:val="en-US" w:eastAsia="ja-JP"/>
        </w:rPr>
        <w:t>GRE</w:t>
      </w:r>
      <w:r w:rsidRPr="009A5DF5">
        <w:rPr>
          <w:lang w:eastAsia="ja-JP"/>
        </w:rPr>
        <w:t xml:space="preserve"> в 2004 году. Учитывая же</w:t>
      </w:r>
      <w:r w:rsidRPr="009A5DF5">
        <w:t xml:space="preserve"> неизменную приверженность мотоциклетной промышленности повышению безопасности на дорогах, функция АВФ на протяжении многих лет уже внедряется в добровольном порядке на некоторых рынках (в Японии – с 1991 года, причем с 1997 года ее применение является обязательным; в Соединенных Штатах Америки – постепенный переход на ее применение в период с конца 1970-х по 1990-е годы; в Европейском союзе – с июня 2003 года). И за весь этот столь длительный период </w:t>
      </w:r>
      <w:r w:rsidR="003C4327">
        <w:t>ни разу не сообщалось о каких</w:t>
      </w:r>
      <w:r w:rsidR="003C4327">
        <w:noBreakHyphen/>
      </w:r>
      <w:r w:rsidRPr="009A5DF5">
        <w:t>либо связанных с безопасностью проблемах, обусловленных ослепляющим воздействием света.</w:t>
      </w:r>
    </w:p>
    <w:p w:rsidR="00D22DB4" w:rsidRDefault="00D22DB4" w:rsidP="00D22DB4">
      <w:pPr>
        <w:pStyle w:val="SingleTxtG"/>
      </w:pPr>
      <w:r w:rsidRPr="009A5DF5">
        <w:rPr>
          <w:lang w:eastAsia="ja-JP"/>
        </w:rPr>
        <w:t>4.</w:t>
      </w:r>
      <w:r w:rsidRPr="009A5DF5">
        <w:rPr>
          <w:lang w:eastAsia="ja-JP"/>
        </w:rPr>
        <w:tab/>
        <w:t xml:space="preserve">Кроме того, растущую заинтересованность в применении </w:t>
      </w:r>
      <w:r w:rsidRPr="009A5DF5">
        <w:t xml:space="preserve">Правил № 53 ООН </w:t>
      </w:r>
      <w:r w:rsidRPr="009A5DF5">
        <w:rPr>
          <w:lang w:eastAsia="ja-JP"/>
        </w:rPr>
        <w:t xml:space="preserve">проявляют даже страны, не являющиеся Договаривающимися сторонами Соглашения 1958 года. Тем не менее, несмотря на Пересмотр 3 Соглашения 1958 года, имеется опасение, что внесение в положения </w:t>
      </w:r>
      <w:r w:rsidRPr="009A5DF5">
        <w:t>Правил № 53 ООН, касающиеся АВФ</w:t>
      </w:r>
      <w:r w:rsidRPr="009A5DF5">
        <w:rPr>
          <w:lang w:eastAsia="ja-JP"/>
        </w:rPr>
        <w:t>, такого существенного изменения по существу может стать фактором, удерживающим эти страны от применения Правил. Причина же в том, что соответствующий аспект до сих пор не подвергался обстоятельной оценке, а вопрос о потенциальной эффективности указанного положения не рассматривался достаточно тщательным образом.</w:t>
      </w:r>
    </w:p>
    <w:p w:rsidR="00D22DB4" w:rsidRPr="00D22DB4" w:rsidRDefault="00D22DB4" w:rsidP="00D22D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2DB4" w:rsidRPr="00D22DB4" w:rsidSect="00B10C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85" w:rsidRPr="00A312BC" w:rsidRDefault="009F0385" w:rsidP="00A312BC"/>
  </w:endnote>
  <w:endnote w:type="continuationSeparator" w:id="0">
    <w:p w:rsidR="009F0385" w:rsidRPr="00A312BC" w:rsidRDefault="009F03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53" w:rsidRPr="00B10C53" w:rsidRDefault="00B10C53">
    <w:pPr>
      <w:pStyle w:val="Footer"/>
    </w:pPr>
    <w:r w:rsidRPr="00B10C53">
      <w:rPr>
        <w:b/>
        <w:sz w:val="18"/>
      </w:rPr>
      <w:fldChar w:fldCharType="begin"/>
    </w:r>
    <w:r w:rsidRPr="00B10C53">
      <w:rPr>
        <w:b/>
        <w:sz w:val="18"/>
      </w:rPr>
      <w:instrText xml:space="preserve"> PAGE  \* MERGEFORMAT </w:instrText>
    </w:r>
    <w:r w:rsidRPr="00B10C53">
      <w:rPr>
        <w:b/>
        <w:sz w:val="18"/>
      </w:rPr>
      <w:fldChar w:fldCharType="separate"/>
    </w:r>
    <w:r w:rsidR="0001114A">
      <w:rPr>
        <w:b/>
        <w:noProof/>
        <w:sz w:val="18"/>
      </w:rPr>
      <w:t>2</w:t>
    </w:r>
    <w:r w:rsidRPr="00B10C53">
      <w:rPr>
        <w:b/>
        <w:sz w:val="18"/>
      </w:rPr>
      <w:fldChar w:fldCharType="end"/>
    </w:r>
    <w:r>
      <w:rPr>
        <w:b/>
        <w:sz w:val="18"/>
      </w:rPr>
      <w:tab/>
    </w:r>
    <w:r>
      <w:t>GE.19-01403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53" w:rsidRPr="00B10C53" w:rsidRDefault="00B10C53" w:rsidP="00B10C5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GE.19-01403</w:t>
    </w:r>
    <w:r>
      <w:tab/>
    </w:r>
    <w:r w:rsidRPr="00B10C53">
      <w:rPr>
        <w:b/>
        <w:sz w:val="18"/>
      </w:rPr>
      <w:fldChar w:fldCharType="begin"/>
    </w:r>
    <w:r w:rsidRPr="00B10C53">
      <w:rPr>
        <w:b/>
        <w:sz w:val="18"/>
      </w:rPr>
      <w:instrText xml:space="preserve"> PAGE  \* MERGEFORMAT </w:instrText>
    </w:r>
    <w:r w:rsidRPr="00B10C5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10C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10C53" w:rsidRDefault="00B10C53" w:rsidP="00B10C53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19-01403  (R)</w:t>
    </w:r>
    <w:r w:rsidR="00D22DB4">
      <w:rPr>
        <w:lang w:val="en-US"/>
      </w:rPr>
      <w:t xml:space="preserve">  120219  130219</w:t>
    </w:r>
    <w:r>
      <w:br/>
    </w:r>
    <w:r w:rsidRPr="00B10C53">
      <w:rPr>
        <w:rFonts w:ascii="C39T30Lfz" w:hAnsi="C39T30Lfz"/>
        <w:kern w:val="14"/>
        <w:sz w:val="56"/>
      </w:rPr>
      <w:t></w:t>
    </w:r>
    <w:r w:rsidRPr="00B10C53">
      <w:rPr>
        <w:rFonts w:ascii="C39T30Lfz" w:hAnsi="C39T30Lfz"/>
        <w:kern w:val="14"/>
        <w:sz w:val="56"/>
      </w:rPr>
      <w:t></w:t>
    </w:r>
    <w:r w:rsidRPr="00B10C53">
      <w:rPr>
        <w:rFonts w:ascii="C39T30Lfz" w:hAnsi="C39T30Lfz"/>
        <w:kern w:val="14"/>
        <w:sz w:val="56"/>
      </w:rPr>
      <w:t></w:t>
    </w:r>
    <w:r w:rsidRPr="00B10C53">
      <w:rPr>
        <w:rFonts w:ascii="C39T30Lfz" w:hAnsi="C39T30Lfz"/>
        <w:kern w:val="14"/>
        <w:sz w:val="56"/>
      </w:rPr>
      <w:t></w:t>
    </w:r>
    <w:r w:rsidRPr="00B10C53">
      <w:rPr>
        <w:rFonts w:ascii="C39T30Lfz" w:hAnsi="C39T30Lfz"/>
        <w:kern w:val="14"/>
        <w:sz w:val="56"/>
      </w:rPr>
      <w:t></w:t>
    </w:r>
    <w:r w:rsidRPr="00B10C53">
      <w:rPr>
        <w:rFonts w:ascii="C39T30Lfz" w:hAnsi="C39T30Lfz"/>
        <w:kern w:val="14"/>
        <w:sz w:val="56"/>
      </w:rPr>
      <w:t></w:t>
    </w:r>
    <w:r w:rsidRPr="00B10C53">
      <w:rPr>
        <w:rFonts w:ascii="C39T30Lfz" w:hAnsi="C39T30Lfz"/>
        <w:kern w:val="14"/>
        <w:sz w:val="56"/>
      </w:rPr>
      <w:t></w:t>
    </w:r>
    <w:r w:rsidRPr="00B10C53">
      <w:rPr>
        <w:rFonts w:ascii="C39T30Lfz" w:hAnsi="C39T30Lfz"/>
        <w:kern w:val="14"/>
        <w:sz w:val="56"/>
      </w:rPr>
      <w:t></w:t>
    </w:r>
    <w:r w:rsidRPr="00B10C53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85" w:rsidRPr="001075E9" w:rsidRDefault="009F03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0385" w:rsidRDefault="009F03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22DB4" w:rsidRPr="00706101" w:rsidRDefault="00D22DB4" w:rsidP="00D22DB4">
      <w:pPr>
        <w:pStyle w:val="FootnoteText"/>
      </w:pPr>
      <w:r w:rsidRPr="00A90EA8">
        <w:tab/>
      </w:r>
      <w:r w:rsidRPr="00D22DB4">
        <w:rPr>
          <w:rStyle w:val="FootnoteReference"/>
          <w:sz w:val="20"/>
          <w:vertAlign w:val="baseline"/>
        </w:rPr>
        <w:t>*</w:t>
      </w:r>
      <w:r w:rsidRPr="00ED60F2">
        <w:rPr>
          <w:sz w:val="20"/>
        </w:rPr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53" w:rsidRPr="00B10C53" w:rsidRDefault="0001114A">
    <w:pPr>
      <w:pStyle w:val="Header"/>
    </w:pPr>
    <w:fldSimple w:instr=" TITLE  \* MERGEFORMAT ">
      <w:r>
        <w:t>ECE/TRANS/WP.29/GRE/2019/12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53" w:rsidRPr="00B10C53" w:rsidRDefault="0001114A" w:rsidP="00B10C53">
    <w:pPr>
      <w:pStyle w:val="Header"/>
      <w:jc w:val="right"/>
    </w:pPr>
    <w:fldSimple w:instr=" TITLE  \* MERGEFORMAT ">
      <w:r>
        <w:t>ECE/TRANS/WP.29/GRE/2019/12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85"/>
    <w:rsid w:val="0001114A"/>
    <w:rsid w:val="0002102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327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76B"/>
    <w:rsid w:val="00680D03"/>
    <w:rsid w:val="00681A10"/>
    <w:rsid w:val="006A1ED8"/>
    <w:rsid w:val="006A47DD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0385"/>
    <w:rsid w:val="00A14DA8"/>
    <w:rsid w:val="00A312BC"/>
    <w:rsid w:val="00A84021"/>
    <w:rsid w:val="00A84D35"/>
    <w:rsid w:val="00A917B3"/>
    <w:rsid w:val="00AB4B51"/>
    <w:rsid w:val="00B10C5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DB4"/>
    <w:rsid w:val="00D33D63"/>
    <w:rsid w:val="00D51296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147214-DF85-425F-A052-71C2D5C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D22DB4"/>
    <w:pPr>
      <w:ind w:left="1440" w:right="1440"/>
    </w:pPr>
    <w:rPr>
      <w:rFonts w:eastAsia="MS Mincho" w:cs="Times New Roman"/>
      <w:szCs w:val="20"/>
      <w:lang w:val="en-GB"/>
    </w:rPr>
  </w:style>
  <w:style w:type="character" w:customStyle="1" w:styleId="HChGChar">
    <w:name w:val="_ H _Ch_G Char"/>
    <w:link w:val="HChG"/>
    <w:rsid w:val="00D22DB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22DB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ECE/TRANS/WP.29/GRE/2019/12</vt:lpstr>
      <vt:lpstr>ECE/TRANS/WP.29/GRE/2019/12</vt:lpstr>
      <vt:lpstr>A/</vt:lpstr>
    </vt:vector>
  </TitlesOfParts>
  <Company>DCM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ECE/TRANS/WP.29/GRE/2019/12</dc:title>
  <dc:subject/>
  <dc:creator>Marina KOROTKOVA</dc:creator>
  <cp:keywords/>
  <cp:lastModifiedBy>Benedicte Boudol</cp:lastModifiedBy>
  <cp:revision>2</cp:revision>
  <cp:lastPrinted>2019-02-13T07:59:00Z</cp:lastPrinted>
  <dcterms:created xsi:type="dcterms:W3CDTF">2019-03-04T09:07:00Z</dcterms:created>
  <dcterms:modified xsi:type="dcterms:W3CDTF">2019-03-04T09:07:00Z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