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90A20" w:rsidTr="00C97039">
        <w:trPr>
          <w:trHeight w:hRule="exact" w:val="851"/>
        </w:trPr>
        <w:tc>
          <w:tcPr>
            <w:tcW w:w="1276" w:type="dxa"/>
            <w:tcBorders>
              <w:bottom w:val="single" w:sz="4" w:space="0" w:color="auto"/>
            </w:tcBorders>
          </w:tcPr>
          <w:p w:rsidR="00F35BAF" w:rsidRPr="00790A20" w:rsidRDefault="00F35BAF" w:rsidP="00790A20">
            <w:bookmarkStart w:id="0" w:name="_GoBack"/>
            <w:bookmarkEnd w:id="0"/>
          </w:p>
        </w:tc>
        <w:tc>
          <w:tcPr>
            <w:tcW w:w="2268" w:type="dxa"/>
            <w:tcBorders>
              <w:bottom w:val="single" w:sz="4" w:space="0" w:color="auto"/>
            </w:tcBorders>
            <w:vAlign w:val="bottom"/>
          </w:tcPr>
          <w:p w:rsidR="00F35BAF" w:rsidRPr="00790A20" w:rsidRDefault="00F35BAF" w:rsidP="00C97039">
            <w:pPr>
              <w:spacing w:after="80" w:line="300" w:lineRule="exact"/>
              <w:rPr>
                <w:sz w:val="28"/>
              </w:rPr>
            </w:pPr>
            <w:r w:rsidRPr="00790A20">
              <w:rPr>
                <w:sz w:val="28"/>
              </w:rPr>
              <w:t>Nations Unies</w:t>
            </w:r>
          </w:p>
        </w:tc>
        <w:tc>
          <w:tcPr>
            <w:tcW w:w="6095" w:type="dxa"/>
            <w:gridSpan w:val="2"/>
            <w:tcBorders>
              <w:bottom w:val="single" w:sz="4" w:space="0" w:color="auto"/>
            </w:tcBorders>
            <w:vAlign w:val="bottom"/>
          </w:tcPr>
          <w:p w:rsidR="00F35BAF" w:rsidRPr="00790A20" w:rsidRDefault="00790A20" w:rsidP="00790A20">
            <w:pPr>
              <w:jc w:val="right"/>
            </w:pPr>
            <w:r w:rsidRPr="00790A20">
              <w:rPr>
                <w:sz w:val="40"/>
              </w:rPr>
              <w:t>ECE</w:t>
            </w:r>
            <w:r w:rsidRPr="00790A20">
              <w:t>/TRANS/WP.29/GRB/2019/6</w:t>
            </w:r>
          </w:p>
        </w:tc>
      </w:tr>
      <w:tr w:rsidR="00F35BAF" w:rsidRPr="00790A20" w:rsidTr="00C97039">
        <w:trPr>
          <w:trHeight w:hRule="exact" w:val="2835"/>
        </w:trPr>
        <w:tc>
          <w:tcPr>
            <w:tcW w:w="1276" w:type="dxa"/>
            <w:tcBorders>
              <w:top w:val="single" w:sz="4" w:space="0" w:color="auto"/>
              <w:bottom w:val="single" w:sz="12" w:space="0" w:color="auto"/>
            </w:tcBorders>
          </w:tcPr>
          <w:p w:rsidR="00F35BAF" w:rsidRPr="00790A20" w:rsidRDefault="00F35BAF" w:rsidP="00C97039">
            <w:pPr>
              <w:spacing w:before="120"/>
              <w:jc w:val="center"/>
            </w:pPr>
            <w:r w:rsidRPr="00790A20">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90A20" w:rsidRDefault="00F35BAF" w:rsidP="00C97039">
            <w:pPr>
              <w:spacing w:before="120" w:line="420" w:lineRule="exact"/>
              <w:rPr>
                <w:b/>
                <w:sz w:val="40"/>
                <w:szCs w:val="40"/>
              </w:rPr>
            </w:pPr>
            <w:r w:rsidRPr="00790A20">
              <w:rPr>
                <w:b/>
                <w:sz w:val="40"/>
                <w:szCs w:val="40"/>
              </w:rPr>
              <w:t>Conseil économique et social</w:t>
            </w:r>
          </w:p>
        </w:tc>
        <w:tc>
          <w:tcPr>
            <w:tcW w:w="2835" w:type="dxa"/>
            <w:tcBorders>
              <w:top w:val="single" w:sz="4" w:space="0" w:color="auto"/>
              <w:bottom w:val="single" w:sz="12" w:space="0" w:color="auto"/>
            </w:tcBorders>
          </w:tcPr>
          <w:p w:rsidR="00F35BAF" w:rsidRPr="00790A20" w:rsidRDefault="00790A20" w:rsidP="00C97039">
            <w:pPr>
              <w:spacing w:before="240"/>
            </w:pPr>
            <w:r w:rsidRPr="00790A20">
              <w:t>Distr. générale</w:t>
            </w:r>
          </w:p>
          <w:p w:rsidR="00790A20" w:rsidRPr="00790A20" w:rsidRDefault="00790A20" w:rsidP="00790A20">
            <w:pPr>
              <w:spacing w:line="240" w:lineRule="exact"/>
            </w:pPr>
            <w:r w:rsidRPr="00790A20">
              <w:t>8 novembre 2018</w:t>
            </w:r>
          </w:p>
          <w:p w:rsidR="00790A20" w:rsidRPr="00790A20" w:rsidRDefault="00790A20" w:rsidP="00790A20">
            <w:pPr>
              <w:spacing w:line="240" w:lineRule="exact"/>
            </w:pPr>
            <w:r w:rsidRPr="00790A20">
              <w:t>Français</w:t>
            </w:r>
          </w:p>
          <w:p w:rsidR="00790A20" w:rsidRPr="00790A20" w:rsidRDefault="00790A20" w:rsidP="00790A20">
            <w:pPr>
              <w:spacing w:line="240" w:lineRule="exact"/>
            </w:pPr>
            <w:r w:rsidRPr="00790A20">
              <w:t>Original : anglais</w:t>
            </w:r>
          </w:p>
        </w:tc>
      </w:tr>
    </w:tbl>
    <w:p w:rsidR="007F20FA" w:rsidRPr="00790A20" w:rsidRDefault="007F20FA" w:rsidP="007F20FA">
      <w:pPr>
        <w:spacing w:before="120"/>
        <w:rPr>
          <w:b/>
          <w:sz w:val="28"/>
          <w:szCs w:val="28"/>
        </w:rPr>
      </w:pPr>
      <w:r w:rsidRPr="00790A20">
        <w:rPr>
          <w:b/>
          <w:sz w:val="28"/>
          <w:szCs w:val="28"/>
        </w:rPr>
        <w:t>Commission économique pour l</w:t>
      </w:r>
      <w:r w:rsidR="00790A20">
        <w:rPr>
          <w:b/>
          <w:sz w:val="28"/>
          <w:szCs w:val="28"/>
        </w:rPr>
        <w:t>’</w:t>
      </w:r>
      <w:r w:rsidRPr="00790A20">
        <w:rPr>
          <w:b/>
          <w:sz w:val="28"/>
          <w:szCs w:val="28"/>
        </w:rPr>
        <w:t>Europe</w:t>
      </w:r>
    </w:p>
    <w:p w:rsidR="007F20FA" w:rsidRPr="00790A20" w:rsidRDefault="007F20FA" w:rsidP="007F20FA">
      <w:pPr>
        <w:spacing w:before="120"/>
        <w:rPr>
          <w:sz w:val="28"/>
          <w:szCs w:val="28"/>
        </w:rPr>
      </w:pPr>
      <w:r w:rsidRPr="00790A20">
        <w:rPr>
          <w:sz w:val="28"/>
          <w:szCs w:val="28"/>
        </w:rPr>
        <w:t>Comité des transports intérieurs</w:t>
      </w:r>
    </w:p>
    <w:p w:rsidR="00790A20" w:rsidRPr="00790A20" w:rsidRDefault="00790A20" w:rsidP="00AF0CB5">
      <w:pPr>
        <w:spacing w:before="120"/>
        <w:rPr>
          <w:b/>
          <w:sz w:val="24"/>
          <w:szCs w:val="24"/>
        </w:rPr>
      </w:pPr>
      <w:r w:rsidRPr="00790A20">
        <w:rPr>
          <w:b/>
          <w:sz w:val="24"/>
          <w:szCs w:val="24"/>
        </w:rPr>
        <w:t>Forum mondial de l</w:t>
      </w:r>
      <w:r>
        <w:rPr>
          <w:b/>
          <w:sz w:val="24"/>
          <w:szCs w:val="24"/>
        </w:rPr>
        <w:t>’</w:t>
      </w:r>
      <w:r w:rsidRPr="00790A20">
        <w:rPr>
          <w:b/>
          <w:sz w:val="24"/>
          <w:szCs w:val="24"/>
        </w:rPr>
        <w:t>harmonisation</w:t>
      </w:r>
      <w:r w:rsidRPr="00790A20">
        <w:rPr>
          <w:b/>
          <w:sz w:val="24"/>
          <w:szCs w:val="24"/>
        </w:rPr>
        <w:br/>
        <w:t>des Règlements concernant les véhicules</w:t>
      </w:r>
    </w:p>
    <w:p w:rsidR="00790A20" w:rsidRPr="00790A20" w:rsidRDefault="00790A20" w:rsidP="00257168">
      <w:pPr>
        <w:spacing w:before="120" w:after="120" w:line="240" w:lineRule="exact"/>
        <w:rPr>
          <w:b/>
        </w:rPr>
      </w:pPr>
      <w:bookmarkStart w:id="1" w:name="_Hlk518466992"/>
      <w:r w:rsidRPr="00790A20">
        <w:rPr>
          <w:b/>
          <w:bCs/>
        </w:rPr>
        <w:t>Groupe de travail du bruit</w:t>
      </w:r>
      <w:bookmarkEnd w:id="1"/>
    </w:p>
    <w:p w:rsidR="00790A20" w:rsidRPr="00790A20" w:rsidRDefault="00790A20" w:rsidP="00257168">
      <w:pPr>
        <w:spacing w:before="120" w:line="240" w:lineRule="exact"/>
        <w:rPr>
          <w:b/>
        </w:rPr>
      </w:pPr>
      <w:r w:rsidRPr="00790A20">
        <w:rPr>
          <w:b/>
          <w:bCs/>
        </w:rPr>
        <w:t>Soixante-neuvième</w:t>
      </w:r>
      <w:r w:rsidRPr="00790A20">
        <w:rPr>
          <w:b/>
        </w:rPr>
        <w:t xml:space="preserve"> session</w:t>
      </w:r>
    </w:p>
    <w:p w:rsidR="00790A20" w:rsidRPr="00790A20" w:rsidRDefault="00790A20" w:rsidP="00257168">
      <w:pPr>
        <w:spacing w:line="240" w:lineRule="exact"/>
      </w:pPr>
      <w:r w:rsidRPr="00790A20">
        <w:t>Genève, 22-25 janvier 2019</w:t>
      </w:r>
    </w:p>
    <w:p w:rsidR="00790A20" w:rsidRPr="00790A20" w:rsidRDefault="00790A20" w:rsidP="00257168">
      <w:pPr>
        <w:spacing w:line="240" w:lineRule="exact"/>
      </w:pPr>
      <w:r w:rsidRPr="00790A20">
        <w:t>Point 7 c) de l</w:t>
      </w:r>
      <w:r>
        <w:t>’</w:t>
      </w:r>
      <w:r w:rsidRPr="00790A20">
        <w:t>ordre du jour provisoire</w:t>
      </w:r>
    </w:p>
    <w:p w:rsidR="00F9573C" w:rsidRPr="00790A20" w:rsidRDefault="00790A20" w:rsidP="00AF0CB5">
      <w:pPr>
        <w:rPr>
          <w:b/>
          <w:bCs/>
        </w:rPr>
      </w:pPr>
      <w:r w:rsidRPr="00790A20">
        <w:rPr>
          <w:b/>
          <w:bCs/>
        </w:rPr>
        <w:t xml:space="preserve">Pneumatiques : Règlement ONU </w:t>
      </w:r>
      <w:r w:rsidRPr="00790A20">
        <w:rPr>
          <w:rFonts w:eastAsia="MS Mincho"/>
          <w:b/>
          <w:bCs/>
          <w:szCs w:val="22"/>
        </w:rPr>
        <w:t>n</w:t>
      </w:r>
      <w:r w:rsidRPr="00790A20">
        <w:rPr>
          <w:rFonts w:eastAsia="MS Mincho"/>
          <w:b/>
          <w:bCs/>
          <w:szCs w:val="22"/>
          <w:vertAlign w:val="superscript"/>
        </w:rPr>
        <w:t>o</w:t>
      </w:r>
      <w:r w:rsidRPr="00790A20">
        <w:rPr>
          <w:b/>
          <w:bCs/>
        </w:rPr>
        <w:t xml:space="preserve"> 117 (Pneumatiques − Résistance </w:t>
      </w:r>
      <w:r w:rsidRPr="00790A20">
        <w:rPr>
          <w:b/>
          <w:bCs/>
        </w:rPr>
        <w:br/>
        <w:t>au roulement, bruit de roulement et adhérence sur sol mouillé)</w:t>
      </w:r>
    </w:p>
    <w:p w:rsidR="00790A20" w:rsidRPr="00790A20" w:rsidRDefault="00790A20" w:rsidP="00790A20">
      <w:pPr>
        <w:pStyle w:val="HChG"/>
      </w:pPr>
      <w:r w:rsidRPr="00790A20">
        <w:tab/>
      </w:r>
      <w:r w:rsidRPr="00790A20">
        <w:tab/>
        <w:t xml:space="preserve">Proposition de complément au Règlement ONU </w:t>
      </w:r>
      <w:r w:rsidRPr="00790A20">
        <w:rPr>
          <w:rFonts w:eastAsia="MS Mincho"/>
          <w:szCs w:val="22"/>
        </w:rPr>
        <w:t>n</w:t>
      </w:r>
      <w:r w:rsidRPr="00790A20">
        <w:rPr>
          <w:rFonts w:eastAsia="MS Mincho"/>
          <w:szCs w:val="22"/>
          <w:vertAlign w:val="superscript"/>
        </w:rPr>
        <w:t>o</w:t>
      </w:r>
      <w:r w:rsidRPr="00790A20">
        <w:t xml:space="preserve"> 117 </w:t>
      </w:r>
    </w:p>
    <w:p w:rsidR="00790A20" w:rsidRPr="00790A20" w:rsidRDefault="00790A20" w:rsidP="00790A20">
      <w:pPr>
        <w:pStyle w:val="H1G"/>
      </w:pPr>
      <w:r w:rsidRPr="00790A20">
        <w:tab/>
      </w:r>
      <w:r w:rsidRPr="00790A20">
        <w:tab/>
        <w:t>Communication des experts de la France</w:t>
      </w:r>
      <w:r w:rsidRPr="00790A20">
        <w:rPr>
          <w:b w:val="0"/>
          <w:sz w:val="20"/>
        </w:rPr>
        <w:footnoteReference w:customMarkFollows="1" w:id="2"/>
        <w:t>*</w:t>
      </w:r>
    </w:p>
    <w:p w:rsidR="00790A20" w:rsidRPr="00790A20" w:rsidRDefault="00790A20" w:rsidP="00790A20">
      <w:pPr>
        <w:pStyle w:val="SingleTxtG"/>
        <w:ind w:firstLine="567"/>
      </w:pPr>
      <w:r w:rsidRPr="00790A20">
        <w:t>Le texte ci-après, établi par les experts de la France, a pour objet d</w:t>
      </w:r>
      <w:r>
        <w:t>’</w:t>
      </w:r>
      <w:r w:rsidRPr="00790A20">
        <w:t xml:space="preserve">apporter des modifications au Règlement ONU </w:t>
      </w:r>
      <w:r w:rsidRPr="00790A20">
        <w:rPr>
          <w:rFonts w:eastAsia="MS Mincho"/>
          <w:szCs w:val="22"/>
        </w:rPr>
        <w:t>n</w:t>
      </w:r>
      <w:r w:rsidRPr="00790A20">
        <w:rPr>
          <w:rFonts w:eastAsia="MS Mincho"/>
          <w:szCs w:val="22"/>
          <w:vertAlign w:val="superscript"/>
        </w:rPr>
        <w:t>o</w:t>
      </w:r>
      <w:r w:rsidRPr="00790A20">
        <w:t> 117. Les modifications qu</w:t>
      </w:r>
      <w:r>
        <w:t>’</w:t>
      </w:r>
      <w:r w:rsidRPr="00790A20">
        <w:t>il est proposé d</w:t>
      </w:r>
      <w:r>
        <w:t>’</w:t>
      </w:r>
      <w:r w:rsidRPr="00790A20">
        <w:t>apporter au texte actuel du Règlement figurent en caractères gras pour les ajouts et biffés pour les suppressions.</w:t>
      </w:r>
    </w:p>
    <w:p w:rsidR="00790A20" w:rsidRPr="00790A20" w:rsidRDefault="00790A20" w:rsidP="00790A20">
      <w:pPr>
        <w:pStyle w:val="HChG"/>
      </w:pPr>
      <w:r w:rsidRPr="00790A20">
        <w:br w:type="page"/>
      </w:r>
      <w:r w:rsidRPr="00790A20">
        <w:lastRenderedPageBreak/>
        <w:tab/>
        <w:t>I.</w:t>
      </w:r>
      <w:r w:rsidRPr="00790A20">
        <w:tab/>
        <w:t>Proposition</w:t>
      </w:r>
    </w:p>
    <w:p w:rsidR="00790A20" w:rsidRPr="00790A20" w:rsidRDefault="00790A20" w:rsidP="00790A20">
      <w:pPr>
        <w:pStyle w:val="SingleTxtG"/>
        <w:keepNext/>
        <w:keepLines/>
        <w:rPr>
          <w:i/>
          <w:iCs/>
        </w:rPr>
      </w:pPr>
      <w:r w:rsidRPr="00790A20">
        <w:rPr>
          <w:i/>
          <w:iCs/>
        </w:rPr>
        <w:t>Ajouter le nouveau paragraphe 2.19.2</w:t>
      </w:r>
      <w:r w:rsidRPr="00790A20">
        <w:t>, libellé comme suit :</w:t>
      </w:r>
    </w:p>
    <w:p w:rsidR="00790A20" w:rsidRPr="00790A20" w:rsidRDefault="00790A20" w:rsidP="00790A20">
      <w:pPr>
        <w:pStyle w:val="SingleTxtG"/>
        <w:ind w:left="2268" w:hanging="1134"/>
      </w:pPr>
      <w:r w:rsidRPr="00790A20">
        <w:rPr>
          <w:bCs/>
        </w:rPr>
        <w:t>« </w:t>
      </w:r>
      <w:r w:rsidRPr="00790A20">
        <w:rPr>
          <w:b/>
          <w:bCs/>
        </w:rPr>
        <w:t>2.19.2</w:t>
      </w:r>
      <w:r w:rsidRPr="00790A20">
        <w:tab/>
      </w:r>
      <w:r>
        <w:rPr>
          <w:b/>
          <w:bCs/>
          <w:i/>
          <w:iCs/>
          <w:lang w:val="en-US"/>
        </w:rPr>
        <w:t>“</w:t>
      </w:r>
      <w:r w:rsidRPr="00790A20">
        <w:rPr>
          <w:b/>
          <w:bCs/>
          <w:i/>
          <w:iCs/>
        </w:rPr>
        <w:t>Pneumatique usé</w:t>
      </w:r>
      <w:r>
        <w:rPr>
          <w:b/>
          <w:bCs/>
          <w:i/>
          <w:iCs/>
          <w:lang w:val="en-US"/>
        </w:rPr>
        <w:t>”</w:t>
      </w:r>
      <w:r w:rsidRPr="00790A20">
        <w:rPr>
          <w:b/>
          <w:bCs/>
        </w:rPr>
        <w:t>, un pneumatique (pneumatique d</w:t>
      </w:r>
      <w:r>
        <w:rPr>
          <w:b/>
          <w:bCs/>
        </w:rPr>
        <w:t>’</w:t>
      </w:r>
      <w:r w:rsidRPr="00790A20">
        <w:rPr>
          <w:b/>
          <w:bCs/>
        </w:rPr>
        <w:t>essai de référence normalisé, pneumatique à contrôler, pneumatique témoin, etc.</w:t>
      </w:r>
      <w:r>
        <w:rPr>
          <w:b/>
          <w:bCs/>
        </w:rPr>
        <w:t>) conçu conformément</w:t>
      </w:r>
      <w:r w:rsidRPr="00790A20">
        <w:rPr>
          <w:b/>
          <w:bCs/>
        </w:rPr>
        <w:t xml:space="preserve"> à la norme</w:t>
      </w:r>
      <w:r>
        <w:rPr>
          <w:b/>
          <w:bCs/>
        </w:rPr>
        <w:t xml:space="preserve"> F </w:t>
      </w:r>
      <w:r w:rsidRPr="00790A20">
        <w:rPr>
          <w:b/>
          <w:bCs/>
        </w:rPr>
        <w:t>1046-01 (réapprouvée en 2008) de l</w:t>
      </w:r>
      <w:r>
        <w:rPr>
          <w:b/>
          <w:bCs/>
        </w:rPr>
        <w:t>’</w:t>
      </w:r>
      <w:r w:rsidRPr="00790A20">
        <w:rPr>
          <w:b/>
          <w:bCs/>
        </w:rPr>
        <w:t>American Society for Testing and Materials.</w:t>
      </w:r>
      <w:bookmarkStart w:id="2" w:name="_Hlk518915560"/>
      <w:bookmarkEnd w:id="2"/>
      <w:r>
        <w:rPr>
          <w:bCs/>
        </w:rPr>
        <w:t> »</w:t>
      </w:r>
    </w:p>
    <w:p w:rsidR="00790A20" w:rsidRPr="00790A20" w:rsidRDefault="00790A20" w:rsidP="00790A20">
      <w:pPr>
        <w:pStyle w:val="SingleTxtG"/>
        <w:rPr>
          <w:bCs/>
        </w:rPr>
      </w:pPr>
      <w:r w:rsidRPr="00790A20">
        <w:rPr>
          <w:i/>
          <w:iCs/>
        </w:rPr>
        <w:t>Les paragraphes 2.19.2 (actuel) à 2.19.8</w:t>
      </w:r>
      <w:r w:rsidRPr="00790A20">
        <w:t xml:space="preserve"> deviennent les paragraphes</w:t>
      </w:r>
      <w:r>
        <w:t xml:space="preserve"> 2.19.3 à 2.19.9.</w:t>
      </w:r>
    </w:p>
    <w:p w:rsidR="00790A20" w:rsidRPr="00790A20" w:rsidRDefault="00790A20" w:rsidP="00790A20">
      <w:pPr>
        <w:pStyle w:val="SingleTxtG"/>
        <w:keepNext/>
        <w:keepLines/>
        <w:rPr>
          <w:i/>
          <w:iCs/>
        </w:rPr>
      </w:pPr>
      <w:r>
        <w:rPr>
          <w:i/>
          <w:iCs/>
        </w:rPr>
        <w:t>Paragraphe </w:t>
      </w:r>
      <w:r w:rsidRPr="00790A20">
        <w:rPr>
          <w:i/>
          <w:iCs/>
        </w:rPr>
        <w:t>3.1.1</w:t>
      </w:r>
      <w:r>
        <w:t>, lire :</w:t>
      </w:r>
    </w:p>
    <w:p w:rsidR="00790A20" w:rsidRPr="00790A20" w:rsidRDefault="00790A20" w:rsidP="00790A20">
      <w:pPr>
        <w:pStyle w:val="SingleTxtG"/>
        <w:ind w:left="2268" w:hanging="1134"/>
      </w:pPr>
      <w:r>
        <w:t>« </w:t>
      </w:r>
      <w:r w:rsidRPr="00790A20">
        <w:t>3.1.1</w:t>
      </w:r>
      <w:r w:rsidRPr="00790A20">
        <w:tab/>
      </w:r>
      <w:r>
        <w:tab/>
      </w:r>
      <w:r w:rsidRPr="00790A20">
        <w:t>Les caractéristiques de performances à évaluer pour le type de pneumatique</w:t>
      </w:r>
      <w:r>
        <w:t> </w:t>
      </w:r>
      <w:r w:rsidRPr="00790A20">
        <w:t xml:space="preserve">: </w:t>
      </w:r>
      <w:r w:rsidRPr="00790A20">
        <w:rPr>
          <w:bCs/>
          <w:iCs/>
          <w:lang w:val="en-US"/>
        </w:rPr>
        <w:t>“</w:t>
      </w:r>
      <w:r w:rsidRPr="00790A20">
        <w:t>niveau d</w:t>
      </w:r>
      <w:r>
        <w:t>’</w:t>
      </w:r>
      <w:r w:rsidRPr="00790A20">
        <w:t>émissions de bruit de roulement</w:t>
      </w:r>
      <w:r>
        <w:rPr>
          <w:lang w:val="en-US"/>
        </w:rPr>
        <w:t>”</w:t>
      </w:r>
      <w:r>
        <w:t xml:space="preserve"> </w:t>
      </w:r>
      <w:r w:rsidRPr="00790A20">
        <w:rPr>
          <w:b/>
          <w:bCs/>
        </w:rPr>
        <w:t>pour les pneumatiques neufs</w:t>
      </w:r>
      <w:r w:rsidRPr="00790A20">
        <w:t xml:space="preserve"> et/ou </w:t>
      </w:r>
      <w:r w:rsidRPr="00790A20">
        <w:rPr>
          <w:bCs/>
          <w:iCs/>
          <w:lang w:val="en-US"/>
        </w:rPr>
        <w:t>“</w:t>
      </w:r>
      <w:r w:rsidRPr="00790A20">
        <w:t>niveau d</w:t>
      </w:r>
      <w:r>
        <w:t>’</w:t>
      </w:r>
      <w:r w:rsidRPr="00790A20">
        <w:t xml:space="preserve">adhérence sur sol mouillé </w:t>
      </w:r>
      <w:r w:rsidRPr="00790A20">
        <w:rPr>
          <w:b/>
          <w:bCs/>
        </w:rPr>
        <w:t>pour les pneumatiques neufs ou usés</w:t>
      </w:r>
      <w:r>
        <w:rPr>
          <w:lang w:val="en-US"/>
        </w:rPr>
        <w:t>”</w:t>
      </w:r>
      <w:r w:rsidRPr="00790A20">
        <w:t xml:space="preserve"> et/ou </w:t>
      </w:r>
      <w:r w:rsidRPr="00790A20">
        <w:rPr>
          <w:bCs/>
          <w:iCs/>
          <w:lang w:val="en-US"/>
        </w:rPr>
        <w:t>“</w:t>
      </w:r>
      <w:r w:rsidRPr="00790A20">
        <w:t>niveau de résistance au roulement</w:t>
      </w:r>
      <w:r>
        <w:rPr>
          <w:lang w:val="en-US"/>
        </w:rPr>
        <w:t>”</w:t>
      </w:r>
      <w:r w:rsidRPr="00790A20">
        <w:t xml:space="preserve"> </w:t>
      </w:r>
      <w:r w:rsidRPr="00790A20">
        <w:rPr>
          <w:b/>
          <w:bCs/>
        </w:rPr>
        <w:t>pour les pneumatiques neufs</w:t>
      </w:r>
      <w:r w:rsidR="003A0537">
        <w:rPr>
          <w:b/>
          <w:bCs/>
        </w:rPr>
        <w:t> </w:t>
      </w:r>
      <w:r w:rsidR="003A0537">
        <w:t>;</w:t>
      </w:r>
      <w:r w:rsidRPr="00790A20">
        <w:t xml:space="preserve"> et </w:t>
      </w:r>
      <w:r w:rsidRPr="00790A20">
        <w:rPr>
          <w:bCs/>
          <w:iCs/>
          <w:lang w:val="en-US"/>
        </w:rPr>
        <w:t>“</w:t>
      </w:r>
      <w:r w:rsidRPr="00790A20">
        <w:t>niveau de performances sur la neige</w:t>
      </w:r>
      <w:r>
        <w:rPr>
          <w:lang w:val="en-US"/>
        </w:rPr>
        <w:t>”</w:t>
      </w:r>
      <w:r w:rsidRPr="00790A20">
        <w:t xml:space="preserve"> dans le cas des </w:t>
      </w:r>
      <w:r w:rsidR="003A0537" w:rsidRPr="00790A20">
        <w:rPr>
          <w:bCs/>
          <w:iCs/>
          <w:lang w:val="en-US"/>
        </w:rPr>
        <w:t>“</w:t>
      </w:r>
      <w:r w:rsidRPr="00790A20">
        <w:t>pneumatiques pour conditions de neige extrêmes</w:t>
      </w:r>
      <w:r w:rsidR="003A0537">
        <w:rPr>
          <w:lang w:val="en-US"/>
        </w:rPr>
        <w:t>” </w:t>
      </w:r>
      <w:r w:rsidRPr="00790A20">
        <w:t>;</w:t>
      </w:r>
      <w:r>
        <w:t> »</w:t>
      </w:r>
    </w:p>
    <w:p w:rsidR="00790A20" w:rsidRPr="00790A20" w:rsidRDefault="00790A20" w:rsidP="00790A20">
      <w:pPr>
        <w:pStyle w:val="SingleTxtG"/>
        <w:keepNext/>
        <w:keepLines/>
        <w:rPr>
          <w:i/>
          <w:iCs/>
        </w:rPr>
      </w:pPr>
      <w:r w:rsidRPr="00790A20">
        <w:rPr>
          <w:i/>
          <w:iCs/>
        </w:rPr>
        <w:t>Paragraphe 5.3.2</w:t>
      </w:r>
      <w:r w:rsidRPr="003A0537">
        <w:t xml:space="preserve">, </w:t>
      </w:r>
      <w:r>
        <w:t>lire :</w:t>
      </w:r>
    </w:p>
    <w:p w:rsidR="00790A20" w:rsidRPr="00790A20" w:rsidRDefault="00790A20" w:rsidP="00790A20">
      <w:pPr>
        <w:pStyle w:val="SingleTxtG"/>
        <w:ind w:left="2268" w:hanging="1134"/>
      </w:pPr>
      <w:r>
        <w:t>« </w:t>
      </w:r>
      <w:r w:rsidRPr="00790A20">
        <w:t xml:space="preserve">5.3.2 </w:t>
      </w:r>
      <w:r w:rsidRPr="00790A20">
        <w:tab/>
        <w:t>Les suffixes ci-après ont d</w:t>
      </w:r>
      <w:r>
        <w:t>’</w:t>
      </w:r>
      <w:r w:rsidRPr="00790A20">
        <w:t>ores et déjà été réservés pour identifier des règlements particuliers concernant les p</w:t>
      </w:r>
      <w:r>
        <w:t>erformances du pneumatique :</w:t>
      </w:r>
    </w:p>
    <w:p w:rsidR="00790A20" w:rsidRPr="00790A20" w:rsidRDefault="00790A20" w:rsidP="00790A20">
      <w:pPr>
        <w:pStyle w:val="SingleTxtG"/>
        <w:ind w:left="2835" w:hanging="567"/>
      </w:pPr>
      <w:r w:rsidRPr="00790A20">
        <w:t xml:space="preserve">S </w:t>
      </w:r>
      <w:r w:rsidRPr="00790A20">
        <w:tab/>
        <w:t xml:space="preserve">pour indiquer la conformité additionnelle aux prescriptions concernant les </w:t>
      </w:r>
      <w:r>
        <w:t>émissions de bruit de roulement ;</w:t>
      </w:r>
    </w:p>
    <w:p w:rsidR="00790A20" w:rsidRPr="00790A20" w:rsidRDefault="00790A20" w:rsidP="00790A20">
      <w:pPr>
        <w:pStyle w:val="SingleTxtG"/>
        <w:ind w:left="2835" w:hanging="567"/>
      </w:pPr>
      <w:r w:rsidRPr="00790A20">
        <w:t xml:space="preserve">W </w:t>
      </w:r>
      <w:r w:rsidRPr="00790A20">
        <w:tab/>
        <w:t>pour indiquer la conformité additionnelle aux prescriptions concernant l</w:t>
      </w:r>
      <w:r>
        <w:t>’adhérence sur sol mouillé ;</w:t>
      </w:r>
    </w:p>
    <w:p w:rsidR="00790A20" w:rsidRPr="00790A20" w:rsidRDefault="00790A20" w:rsidP="00790A20">
      <w:pPr>
        <w:pStyle w:val="SingleTxtG"/>
        <w:ind w:left="2835" w:hanging="567"/>
        <w:rPr>
          <w:b/>
        </w:rPr>
      </w:pPr>
      <w:r w:rsidRPr="00790A20">
        <w:rPr>
          <w:b/>
          <w:bCs/>
        </w:rPr>
        <w:t>[B]</w:t>
      </w:r>
      <w:r w:rsidRPr="00790A20">
        <w:t xml:space="preserve"> </w:t>
      </w:r>
      <w:r w:rsidRPr="00790A20">
        <w:tab/>
      </w:r>
      <w:r w:rsidRPr="00790A20">
        <w:rPr>
          <w:b/>
          <w:bCs/>
        </w:rPr>
        <w:t>pour indiquer la conformité additionnelle aux prescriptions concernant l</w:t>
      </w:r>
      <w:r>
        <w:rPr>
          <w:b/>
          <w:bCs/>
        </w:rPr>
        <w:t>’</w:t>
      </w:r>
      <w:r w:rsidRPr="00790A20">
        <w:rPr>
          <w:b/>
          <w:bCs/>
        </w:rPr>
        <w:t>adhérence sur so</w:t>
      </w:r>
      <w:r>
        <w:rPr>
          <w:b/>
          <w:bCs/>
        </w:rPr>
        <w:t>l mouillé des pneumatiques usés ;</w:t>
      </w:r>
    </w:p>
    <w:p w:rsidR="00790A20" w:rsidRPr="00790A20" w:rsidRDefault="00790A20" w:rsidP="00790A20">
      <w:pPr>
        <w:pStyle w:val="SingleTxtG"/>
        <w:ind w:left="2835" w:hanging="567"/>
      </w:pPr>
      <w:r w:rsidRPr="00790A20">
        <w:t xml:space="preserve">R </w:t>
      </w:r>
      <w:r w:rsidRPr="00790A20">
        <w:tab/>
        <w:t>pour indiquer la conformité additionnelle aux prescriptions concernant</w:t>
      </w:r>
      <w:r w:rsidR="000C17FF">
        <w:t xml:space="preserve"> </w:t>
      </w:r>
      <w:r w:rsidRPr="00790A20">
        <w:t>la résistance au roulement.</w:t>
      </w:r>
    </w:p>
    <w:p w:rsidR="00790A20" w:rsidRPr="00790A20" w:rsidRDefault="00790A20" w:rsidP="003A0537">
      <w:pPr>
        <w:pStyle w:val="SingleTxtG"/>
        <w:ind w:left="2268"/>
      </w:pPr>
      <w:r w:rsidRPr="00790A20">
        <w:t>Compte tenu du fait que deux niveaux sont définis pour les prescriptions concernant les émissions de bruit de roulement et la résistance au roulement aux paragraphes</w:t>
      </w:r>
      <w:r w:rsidR="00663832">
        <w:t> </w:t>
      </w:r>
      <w:r w:rsidRPr="00790A20">
        <w:t>6.1 et 6.3 ci</w:t>
      </w:r>
      <w:r w:rsidR="00894FD4">
        <w:noBreakHyphen/>
      </w:r>
      <w:r w:rsidRPr="00790A20">
        <w:t xml:space="preserve">après, les suffixes S et </w:t>
      </w:r>
      <w:r w:rsidR="00663832">
        <w:t>R seront suivis soit du suffixe </w:t>
      </w:r>
      <w:r w:rsidRPr="00790A20">
        <w:t>1 pour la conformité a</w:t>
      </w:r>
      <w:r w:rsidR="00663832">
        <w:t>u niveau 1, soit du suffixe </w:t>
      </w:r>
      <w:r w:rsidRPr="00790A20">
        <w:t>2 pour la conformité au niveau 2.</w:t>
      </w:r>
      <w:r w:rsidR="00663832">
        <w:t> »</w:t>
      </w:r>
    </w:p>
    <w:p w:rsidR="00790A20" w:rsidRPr="00790A20" w:rsidRDefault="00790A20" w:rsidP="00790A20">
      <w:pPr>
        <w:pStyle w:val="SingleTxtG"/>
        <w:keepNext/>
        <w:keepLines/>
      </w:pPr>
      <w:r w:rsidRPr="00790A20">
        <w:rPr>
          <w:i/>
          <w:iCs/>
        </w:rPr>
        <w:t>Paragraphe 5.4.3</w:t>
      </w:r>
      <w:r w:rsidR="00663832">
        <w:t>, lire :</w:t>
      </w:r>
    </w:p>
    <w:p w:rsidR="00790A20" w:rsidRPr="00790A20" w:rsidRDefault="00663832" w:rsidP="00663832">
      <w:pPr>
        <w:pStyle w:val="SingleTxtG"/>
        <w:ind w:left="2268" w:hanging="1134"/>
      </w:pPr>
      <w:r>
        <w:t>« </w:t>
      </w:r>
      <w:r w:rsidR="00790A20" w:rsidRPr="00790A20">
        <w:t xml:space="preserve">5.4.3 </w:t>
      </w:r>
      <w:r w:rsidR="00790A20" w:rsidRPr="00790A20">
        <w:tab/>
        <w:t>Le ou les suffixes, ainsi que les numéros de toute série d</w:t>
      </w:r>
      <w:r w:rsidR="00790A20">
        <w:t>’</w:t>
      </w:r>
      <w:r w:rsidR="00790A20" w:rsidRPr="00790A20">
        <w:t>amendements pertinente, comme indiqué dans la fiche de communication. Il peut être utilisé l</w:t>
      </w:r>
      <w:r w:rsidR="00790A20">
        <w:t>’</w:t>
      </w:r>
      <w:r w:rsidR="00790A20" w:rsidRPr="00790A20">
        <w:t>un des suffixes ci-après, ou toute combinaison de ces derniers.</w:t>
      </w:r>
    </w:p>
    <w:tbl>
      <w:tblPr>
        <w:tblStyle w:val="TableGrid"/>
        <w:tblW w:w="6237" w:type="dxa"/>
        <w:tblInd w:w="2259" w:type="dxa"/>
        <w:tblLayout w:type="fixed"/>
        <w:tblLook w:val="04A0" w:firstRow="1" w:lastRow="0" w:firstColumn="1" w:lastColumn="0" w:noHBand="0" w:noVBand="1"/>
      </w:tblPr>
      <w:tblGrid>
        <w:gridCol w:w="1288"/>
        <w:gridCol w:w="4949"/>
      </w:tblGrid>
      <w:tr w:rsidR="00790A20" w:rsidRPr="00790A20" w:rsidTr="00BF1785">
        <w:tc>
          <w:tcPr>
            <w:tcW w:w="1288" w:type="dxa"/>
          </w:tcPr>
          <w:p w:rsidR="00790A20" w:rsidRPr="00790A20" w:rsidRDefault="00790A20" w:rsidP="00663832">
            <w:pPr>
              <w:pStyle w:val="SingleTxtG"/>
              <w:spacing w:before="60" w:after="60"/>
              <w:ind w:left="57" w:right="57"/>
            </w:pPr>
            <w:r w:rsidRPr="00790A20">
              <w:t>S1</w:t>
            </w:r>
          </w:p>
        </w:tc>
        <w:tc>
          <w:tcPr>
            <w:tcW w:w="4949" w:type="dxa"/>
          </w:tcPr>
          <w:p w:rsidR="00790A20" w:rsidRPr="00790A20" w:rsidRDefault="00663832" w:rsidP="00663832">
            <w:pPr>
              <w:pStyle w:val="SingleTxtG"/>
              <w:spacing w:before="60" w:after="60"/>
              <w:ind w:left="57" w:right="57"/>
            </w:pPr>
            <w:r>
              <w:t>Émissions sonores − </w:t>
            </w:r>
            <w:r w:rsidR="00790A20" w:rsidRPr="00790A20">
              <w:t>niveau 1</w:t>
            </w:r>
          </w:p>
        </w:tc>
      </w:tr>
      <w:tr w:rsidR="00790A20" w:rsidRPr="00790A20" w:rsidTr="00BF1785">
        <w:tc>
          <w:tcPr>
            <w:tcW w:w="1288" w:type="dxa"/>
          </w:tcPr>
          <w:p w:rsidR="00790A20" w:rsidRPr="00790A20" w:rsidRDefault="00790A20" w:rsidP="00663832">
            <w:pPr>
              <w:pStyle w:val="SingleTxtG"/>
              <w:spacing w:before="60" w:after="60"/>
              <w:ind w:left="57" w:right="57"/>
            </w:pPr>
            <w:r w:rsidRPr="00790A20">
              <w:t>S2</w:t>
            </w:r>
          </w:p>
        </w:tc>
        <w:tc>
          <w:tcPr>
            <w:tcW w:w="4949" w:type="dxa"/>
          </w:tcPr>
          <w:p w:rsidR="00790A20" w:rsidRPr="00790A20" w:rsidRDefault="00663832" w:rsidP="00663832">
            <w:pPr>
              <w:pStyle w:val="SingleTxtG"/>
              <w:spacing w:before="60" w:after="60"/>
              <w:ind w:left="57" w:right="57"/>
            </w:pPr>
            <w:r>
              <w:t>Émissions sonores − </w:t>
            </w:r>
            <w:r w:rsidR="00790A20" w:rsidRPr="00790A20">
              <w:t>niveau 2</w:t>
            </w:r>
          </w:p>
        </w:tc>
      </w:tr>
      <w:tr w:rsidR="00790A20" w:rsidRPr="00790A20" w:rsidTr="00BF1785">
        <w:tc>
          <w:tcPr>
            <w:tcW w:w="1288" w:type="dxa"/>
          </w:tcPr>
          <w:p w:rsidR="00790A20" w:rsidRPr="00790A20" w:rsidRDefault="00790A20" w:rsidP="00663832">
            <w:pPr>
              <w:pStyle w:val="SingleTxtG"/>
              <w:spacing w:before="60" w:after="60"/>
              <w:ind w:left="57" w:right="57"/>
            </w:pPr>
            <w:r w:rsidRPr="00790A20">
              <w:t>W</w:t>
            </w:r>
          </w:p>
        </w:tc>
        <w:tc>
          <w:tcPr>
            <w:tcW w:w="4949" w:type="dxa"/>
          </w:tcPr>
          <w:p w:rsidR="00790A20" w:rsidRPr="00790A20" w:rsidRDefault="00790A20" w:rsidP="00663832">
            <w:pPr>
              <w:pStyle w:val="SingleTxtG"/>
              <w:spacing w:before="60" w:after="60"/>
              <w:ind w:left="57" w:right="57"/>
            </w:pPr>
            <w:r w:rsidRPr="00790A20">
              <w:t>Niveau d</w:t>
            </w:r>
            <w:r>
              <w:t>’</w:t>
            </w:r>
            <w:r w:rsidRPr="00790A20">
              <w:t>adhérence sur sol mouillé</w:t>
            </w:r>
          </w:p>
        </w:tc>
      </w:tr>
      <w:tr w:rsidR="00790A20" w:rsidRPr="00790A20" w:rsidTr="00BF1785">
        <w:tc>
          <w:tcPr>
            <w:tcW w:w="1288" w:type="dxa"/>
          </w:tcPr>
          <w:p w:rsidR="00790A20" w:rsidRPr="00790A20" w:rsidRDefault="00790A20" w:rsidP="00663832">
            <w:pPr>
              <w:pStyle w:val="SingleTxtG"/>
              <w:spacing w:before="60" w:after="60"/>
              <w:ind w:left="57" w:right="57"/>
              <w:rPr>
                <w:b/>
              </w:rPr>
            </w:pPr>
            <w:r w:rsidRPr="00790A20">
              <w:rPr>
                <w:b/>
                <w:bCs/>
              </w:rPr>
              <w:t>[B]</w:t>
            </w:r>
          </w:p>
        </w:tc>
        <w:tc>
          <w:tcPr>
            <w:tcW w:w="4949" w:type="dxa"/>
          </w:tcPr>
          <w:p w:rsidR="00790A20" w:rsidRPr="00790A20" w:rsidRDefault="00790A20" w:rsidP="00663832">
            <w:pPr>
              <w:pStyle w:val="SingleTxtG"/>
              <w:spacing w:before="60" w:after="60"/>
              <w:ind w:left="57" w:right="57"/>
              <w:rPr>
                <w:b/>
              </w:rPr>
            </w:pPr>
            <w:r w:rsidRPr="00790A20">
              <w:rPr>
                <w:b/>
                <w:bCs/>
              </w:rPr>
              <w:t>Niveau d</w:t>
            </w:r>
            <w:r>
              <w:rPr>
                <w:b/>
                <w:bCs/>
              </w:rPr>
              <w:t>’</w:t>
            </w:r>
            <w:r w:rsidRPr="00790A20">
              <w:rPr>
                <w:b/>
                <w:bCs/>
              </w:rPr>
              <w:t>adhérence sur sol mouillé (à l</w:t>
            </w:r>
            <w:r>
              <w:rPr>
                <w:b/>
                <w:bCs/>
              </w:rPr>
              <w:t>’</w:t>
            </w:r>
            <w:r w:rsidRPr="00790A20">
              <w:rPr>
                <w:b/>
                <w:bCs/>
              </w:rPr>
              <w:t>état usé)</w:t>
            </w:r>
          </w:p>
        </w:tc>
      </w:tr>
      <w:tr w:rsidR="00790A20" w:rsidRPr="00790A20" w:rsidTr="00BF1785">
        <w:tc>
          <w:tcPr>
            <w:tcW w:w="1288" w:type="dxa"/>
          </w:tcPr>
          <w:p w:rsidR="00790A20" w:rsidRPr="00790A20" w:rsidRDefault="00790A20" w:rsidP="00663832">
            <w:pPr>
              <w:pStyle w:val="SingleTxtG"/>
              <w:spacing w:before="60" w:after="60"/>
              <w:ind w:left="57" w:right="57"/>
            </w:pPr>
            <w:r w:rsidRPr="00790A20">
              <w:t>R1</w:t>
            </w:r>
          </w:p>
        </w:tc>
        <w:tc>
          <w:tcPr>
            <w:tcW w:w="4949" w:type="dxa"/>
          </w:tcPr>
          <w:p w:rsidR="00790A20" w:rsidRPr="00790A20" w:rsidRDefault="00790A20" w:rsidP="00663832">
            <w:pPr>
              <w:pStyle w:val="SingleTxtG"/>
              <w:spacing w:before="60" w:after="60"/>
              <w:ind w:left="57" w:right="57"/>
            </w:pPr>
            <w:r w:rsidRPr="00790A20">
              <w:t xml:space="preserve">Résistance au </w:t>
            </w:r>
            <w:r w:rsidR="00663832">
              <w:t>roulement − </w:t>
            </w:r>
            <w:r w:rsidRPr="00790A20">
              <w:t>niveau 1</w:t>
            </w:r>
          </w:p>
        </w:tc>
      </w:tr>
      <w:tr w:rsidR="00790A20" w:rsidRPr="00790A20" w:rsidTr="00BF1785">
        <w:tc>
          <w:tcPr>
            <w:tcW w:w="1288" w:type="dxa"/>
          </w:tcPr>
          <w:p w:rsidR="00790A20" w:rsidRPr="00790A20" w:rsidRDefault="00790A20" w:rsidP="00663832">
            <w:pPr>
              <w:pStyle w:val="SingleTxtG"/>
              <w:spacing w:before="60" w:after="60"/>
              <w:ind w:left="57" w:right="57"/>
            </w:pPr>
            <w:r w:rsidRPr="00790A20">
              <w:t>R2</w:t>
            </w:r>
          </w:p>
        </w:tc>
        <w:tc>
          <w:tcPr>
            <w:tcW w:w="4949" w:type="dxa"/>
          </w:tcPr>
          <w:p w:rsidR="00790A20" w:rsidRPr="00790A20" w:rsidRDefault="00BF1785" w:rsidP="00663832">
            <w:pPr>
              <w:pStyle w:val="SingleTxtG"/>
              <w:spacing w:before="60" w:after="60"/>
              <w:ind w:left="57" w:right="57"/>
            </w:pPr>
            <w:r>
              <w:t>Résistance au roulement −</w:t>
            </w:r>
            <w:r w:rsidR="00663832">
              <w:t> </w:t>
            </w:r>
            <w:r w:rsidR="00790A20" w:rsidRPr="00790A20">
              <w:t>niveau 2</w:t>
            </w:r>
          </w:p>
        </w:tc>
      </w:tr>
    </w:tbl>
    <w:p w:rsidR="00790A20" w:rsidRPr="00790A20" w:rsidRDefault="00790A20" w:rsidP="00663832">
      <w:pPr>
        <w:pStyle w:val="SingleTxtG"/>
        <w:spacing w:before="240"/>
        <w:ind w:left="2268"/>
      </w:pPr>
      <w:r w:rsidRPr="00790A20">
        <w:t>Les suffixes doivent être placés à droite ou en dessous du numéro d</w:t>
      </w:r>
      <w:r>
        <w:t>’</w:t>
      </w:r>
      <w:r w:rsidRPr="00790A20">
        <w:t>homologation, s</w:t>
      </w:r>
      <w:r>
        <w:t>’</w:t>
      </w:r>
      <w:r w:rsidRPr="00790A20">
        <w:t>ils font partie de l</w:t>
      </w:r>
      <w:r>
        <w:t>’</w:t>
      </w:r>
      <w:r w:rsidRPr="00790A20">
        <w:t>homologation d</w:t>
      </w:r>
      <w:r>
        <w:t>’</w:t>
      </w:r>
      <w:r w:rsidRPr="00790A20">
        <w:t>origine.</w:t>
      </w:r>
    </w:p>
    <w:p w:rsidR="00790A20" w:rsidRPr="00790A20" w:rsidRDefault="00790A20" w:rsidP="00663832">
      <w:pPr>
        <w:pStyle w:val="SingleTxtG"/>
        <w:ind w:left="2268"/>
      </w:pPr>
      <w:r w:rsidRPr="00790A20">
        <w:t>En cas d</w:t>
      </w:r>
      <w:r>
        <w:t>’</w:t>
      </w:r>
      <w:r w:rsidRPr="00790A20">
        <w:t>extension de l</w:t>
      </w:r>
      <w:r>
        <w:t>’</w:t>
      </w:r>
      <w:r w:rsidRPr="00790A20">
        <w:t>homologation ultérieurement à l</w:t>
      </w:r>
      <w:r>
        <w:t>’</w:t>
      </w:r>
      <w:r w:rsidRPr="00790A20">
        <w:t xml:space="preserve">homologation </w:t>
      </w:r>
      <w:r w:rsidR="00827126">
        <w:t>conformément aux Règlements ONU </w:t>
      </w:r>
      <w:r w:rsidR="00663832" w:rsidRPr="002D76F4">
        <w:rPr>
          <w:rFonts w:eastAsia="MS Mincho"/>
          <w:szCs w:val="22"/>
        </w:rPr>
        <w:t>n</w:t>
      </w:r>
      <w:r w:rsidR="00663832" w:rsidRPr="002D76F4">
        <w:rPr>
          <w:rFonts w:eastAsia="MS Mincho"/>
          <w:szCs w:val="22"/>
          <w:vertAlign w:val="superscript"/>
        </w:rPr>
        <w:t>o</w:t>
      </w:r>
      <w:r w:rsidR="003A0537">
        <w:rPr>
          <w:rFonts w:eastAsia="MS Mincho"/>
          <w:szCs w:val="22"/>
          <w:vertAlign w:val="superscript"/>
        </w:rPr>
        <w:t>s</w:t>
      </w:r>
      <w:r w:rsidR="00663832">
        <w:t> </w:t>
      </w:r>
      <w:r w:rsidRPr="00790A20">
        <w:t>30 ou 54, le symbole «</w:t>
      </w:r>
      <w:r w:rsidR="00663832">
        <w:t> </w:t>
      </w:r>
      <w:r w:rsidRPr="00790A20">
        <w:t>+</w:t>
      </w:r>
      <w:r w:rsidR="00663832">
        <w:t> </w:t>
      </w:r>
      <w:r w:rsidRPr="00790A20">
        <w:t>» et le numéro de la série d</w:t>
      </w:r>
      <w:r>
        <w:t>’</w:t>
      </w:r>
      <w:r w:rsidR="00827126">
        <w:t>amendements au Règlement ONU </w:t>
      </w:r>
      <w:r w:rsidR="00663832" w:rsidRPr="002D76F4">
        <w:rPr>
          <w:rFonts w:eastAsia="MS Mincho"/>
          <w:szCs w:val="22"/>
        </w:rPr>
        <w:t>n</w:t>
      </w:r>
      <w:r w:rsidR="00663832" w:rsidRPr="002D76F4">
        <w:rPr>
          <w:rFonts w:eastAsia="MS Mincho"/>
          <w:szCs w:val="22"/>
          <w:vertAlign w:val="superscript"/>
        </w:rPr>
        <w:t>o</w:t>
      </w:r>
      <w:r w:rsidR="00663832">
        <w:t> </w:t>
      </w:r>
      <w:r w:rsidRPr="00790A20">
        <w:t xml:space="preserve">117 doivent être </w:t>
      </w:r>
      <w:r w:rsidRPr="00790A20">
        <w:lastRenderedPageBreak/>
        <w:t>insérés devant le suffixe ou toute combinaison de suffixes pour indiquer une extension d</w:t>
      </w:r>
      <w:r>
        <w:t>’</w:t>
      </w:r>
      <w:r w:rsidRPr="00790A20">
        <w:t>homologation.</w:t>
      </w:r>
    </w:p>
    <w:p w:rsidR="00790A20" w:rsidRPr="00790A20" w:rsidRDefault="00790A20" w:rsidP="00663832">
      <w:pPr>
        <w:pStyle w:val="SingleTxtG"/>
        <w:ind w:left="2268"/>
      </w:pPr>
      <w:r w:rsidRPr="00790A20">
        <w:t>En cas d</w:t>
      </w:r>
      <w:r>
        <w:t>’</w:t>
      </w:r>
      <w:r w:rsidRPr="00790A20">
        <w:t>extension de l</w:t>
      </w:r>
      <w:r>
        <w:t>’</w:t>
      </w:r>
      <w:r w:rsidRPr="00790A20">
        <w:t>homologation ultérieurement à l</w:t>
      </w:r>
      <w:r>
        <w:t>’</w:t>
      </w:r>
      <w:r w:rsidRPr="00790A20">
        <w:t>homologation d</w:t>
      </w:r>
      <w:r>
        <w:t>’</w:t>
      </w:r>
      <w:r w:rsidRPr="00790A20">
        <w:t>origin</w:t>
      </w:r>
      <w:r w:rsidR="00827126">
        <w:t>e conformément au Règlement ONU </w:t>
      </w:r>
      <w:r w:rsidR="00663832" w:rsidRPr="002D76F4">
        <w:rPr>
          <w:rFonts w:eastAsia="MS Mincho"/>
          <w:szCs w:val="22"/>
        </w:rPr>
        <w:t>n</w:t>
      </w:r>
      <w:r w:rsidR="00663832" w:rsidRPr="002D76F4">
        <w:rPr>
          <w:rFonts w:eastAsia="MS Mincho"/>
          <w:szCs w:val="22"/>
          <w:vertAlign w:val="superscript"/>
        </w:rPr>
        <w:t>o</w:t>
      </w:r>
      <w:r w:rsidR="00663832">
        <w:t> </w:t>
      </w:r>
      <w:r w:rsidR="00827126">
        <w:t>117, le symbole </w:t>
      </w:r>
      <w:r w:rsidRPr="00790A20">
        <w:t>«</w:t>
      </w:r>
      <w:r w:rsidR="00663832">
        <w:t> </w:t>
      </w:r>
      <w:r w:rsidRPr="00790A20">
        <w:t>+</w:t>
      </w:r>
      <w:r w:rsidR="00663832">
        <w:t> </w:t>
      </w:r>
      <w:r w:rsidRPr="00790A20">
        <w:t>» doit être inséré entre le suffixe ou toute combinaison de suffixes de l</w:t>
      </w:r>
      <w:r>
        <w:t>’</w:t>
      </w:r>
      <w:r w:rsidRPr="00790A20">
        <w:t>homologation d</w:t>
      </w:r>
      <w:r>
        <w:t>’</w:t>
      </w:r>
      <w:r w:rsidRPr="00790A20">
        <w:t>origine et le suffixe ou toute combinaison de suffixes ajouté(e) pour indiquer une extension d</w:t>
      </w:r>
      <w:r>
        <w:t>’</w:t>
      </w:r>
      <w:r w:rsidRPr="00790A20">
        <w:t>homologation.</w:t>
      </w:r>
      <w:r w:rsidR="00663832">
        <w:t> »</w:t>
      </w:r>
    </w:p>
    <w:p w:rsidR="00790A20" w:rsidRPr="00790A20" w:rsidRDefault="00790A20" w:rsidP="00663832">
      <w:pPr>
        <w:pStyle w:val="SingleTxtG"/>
        <w:keepNext/>
        <w:keepLines/>
        <w:rPr>
          <w:i/>
          <w:iCs/>
        </w:rPr>
      </w:pPr>
      <w:r w:rsidRPr="00790A20">
        <w:rPr>
          <w:i/>
          <w:iCs/>
        </w:rPr>
        <w:t>Paragraphe 6.2.1</w:t>
      </w:r>
      <w:r w:rsidR="00663832">
        <w:t>, lire :</w:t>
      </w:r>
    </w:p>
    <w:p w:rsidR="00790A20" w:rsidRPr="00790A20" w:rsidRDefault="00663832" w:rsidP="00663832">
      <w:pPr>
        <w:pStyle w:val="SingleTxtG"/>
        <w:ind w:left="2268" w:hanging="1134"/>
      </w:pPr>
      <w:r>
        <w:t>« </w:t>
      </w:r>
      <w:r w:rsidR="00790A20" w:rsidRPr="00790A20">
        <w:t xml:space="preserve">6.2.1 </w:t>
      </w:r>
      <w:r w:rsidR="00790A20" w:rsidRPr="00790A20">
        <w:tab/>
        <w:t xml:space="preserve">Les pneumatiques de la classe C1, </w:t>
      </w:r>
      <w:r w:rsidR="00790A20" w:rsidRPr="00790A20">
        <w:rPr>
          <w:b/>
          <w:bCs/>
        </w:rPr>
        <w:t>neufs ou usés,</w:t>
      </w:r>
      <w:r w:rsidR="00790A20" w:rsidRPr="00790A20">
        <w:t xml:space="preserve"> lors d</w:t>
      </w:r>
      <w:r w:rsidR="00790A20">
        <w:t>’</w:t>
      </w:r>
      <w:r w:rsidR="00790A20" w:rsidRPr="00790A20">
        <w:t>un essai exécuté conformément à l</w:t>
      </w:r>
      <w:r w:rsidR="00790A20">
        <w:t>’</w:t>
      </w:r>
      <w:r w:rsidR="00790A20" w:rsidRPr="00790A20">
        <w:t>une ou l</w:t>
      </w:r>
      <w:r w:rsidR="00790A20">
        <w:t>’</w:t>
      </w:r>
      <w:r w:rsidR="00790A20" w:rsidRPr="00790A20">
        <w:t xml:space="preserve">autre méthode décrite à </w:t>
      </w:r>
      <w:r>
        <w:t>la section </w:t>
      </w:r>
      <w:r w:rsidR="00790A20" w:rsidRPr="00790A20">
        <w:t>A de l</w:t>
      </w:r>
      <w:r w:rsidR="00790A20">
        <w:t>’</w:t>
      </w:r>
      <w:r>
        <w:t>annexe </w:t>
      </w:r>
      <w:r w:rsidR="00790A20" w:rsidRPr="00790A20">
        <w:t>5 du présent Règlement, doivent satisfa</w:t>
      </w:r>
      <w:r>
        <w:t>ire aux prescriptions suivantes :</w:t>
      </w:r>
    </w:p>
    <w:p w:rsidR="00790A20" w:rsidRPr="00790A20" w:rsidRDefault="00A2630E" w:rsidP="00663832">
      <w:pPr>
        <w:pStyle w:val="SingleTxtG"/>
        <w:ind w:left="2268"/>
      </w:pPr>
      <w:r>
        <w:tab/>
        <w:t>…</w:t>
      </w:r>
      <w:r w:rsidR="00663832">
        <w:t> »</w:t>
      </w:r>
    </w:p>
    <w:p w:rsidR="00790A20" w:rsidRPr="00790A20" w:rsidRDefault="00790A20" w:rsidP="00663832">
      <w:pPr>
        <w:pStyle w:val="SingleTxtG"/>
        <w:keepNext/>
        <w:keepLines/>
      </w:pPr>
      <w:r w:rsidRPr="00790A20">
        <w:rPr>
          <w:i/>
          <w:iCs/>
        </w:rPr>
        <w:t>Paragraphe 12</w:t>
      </w:r>
      <w:r w:rsidR="00663832">
        <w:t>, lire :</w:t>
      </w:r>
    </w:p>
    <w:p w:rsidR="00790A20" w:rsidRPr="00790A20" w:rsidRDefault="00790A20" w:rsidP="000C17FF">
      <w:pPr>
        <w:pStyle w:val="SingleTxtG"/>
        <w:keepNext/>
        <w:keepLines/>
        <w:ind w:left="2268" w:hanging="1134"/>
        <w:rPr>
          <w:b/>
          <w:bCs/>
        </w:rPr>
      </w:pPr>
      <w:r w:rsidRPr="00790A20">
        <w:rPr>
          <w:b/>
        </w:rPr>
        <w:t>12.</w:t>
      </w:r>
      <w:r w:rsidRPr="00790A20">
        <w:t xml:space="preserve"> </w:t>
      </w:r>
      <w:r w:rsidRPr="00790A20">
        <w:tab/>
      </w:r>
      <w:r w:rsidR="002577CA" w:rsidRPr="00790A20">
        <w:tab/>
      </w:r>
      <w:r w:rsidR="002577CA" w:rsidRPr="00790A20">
        <w:rPr>
          <w:b/>
          <w:bCs/>
        </w:rPr>
        <w:t>DISPOSITIONS TRANSITOIRES</w:t>
      </w:r>
    </w:p>
    <w:p w:rsidR="00790A20" w:rsidRPr="00790A20" w:rsidRDefault="00790A20" w:rsidP="00663832">
      <w:pPr>
        <w:pStyle w:val="SingleTxtG"/>
        <w:ind w:left="2268" w:hanging="1134"/>
        <w:rPr>
          <w:bCs/>
        </w:rPr>
      </w:pPr>
      <w:r w:rsidRPr="00790A20">
        <w:t>12.1</w:t>
      </w:r>
      <w:r w:rsidRPr="00790A20">
        <w:tab/>
        <w:t>À compter de la date d</w:t>
      </w:r>
      <w:r>
        <w:t>’</w:t>
      </w:r>
      <w:r w:rsidRPr="00790A20">
        <w:t>entrée en vigueur de la série 02 d</w:t>
      </w:r>
      <w:r>
        <w:t>’</w:t>
      </w:r>
      <w:r w:rsidRPr="00790A20">
        <w:t>amendements au présent Règlement, les Parties contractantes appliquant le Règlement ne peuvent refuser d</w:t>
      </w:r>
      <w:r>
        <w:t>’</w:t>
      </w:r>
      <w:r w:rsidRPr="00790A20">
        <w:t>accorder l</w:t>
      </w:r>
      <w:r>
        <w:t>’</w:t>
      </w:r>
      <w:r w:rsidRPr="00790A20">
        <w:t>homologation CEE à un type de pneumatique visé par le présent Règlement si ce type est conform</w:t>
      </w:r>
      <w:r w:rsidR="000C17FF">
        <w:t>e aux prescriptions de la série </w:t>
      </w:r>
      <w:r w:rsidRPr="00790A20">
        <w:t>02 d</w:t>
      </w:r>
      <w:r>
        <w:t>’</w:t>
      </w:r>
      <w:r w:rsidRPr="00790A20">
        <w:t>amendements, y compris les prescriptions relatives au</w:t>
      </w:r>
      <w:r w:rsidR="000C17FF">
        <w:t xml:space="preserve"> bruit de roulement aux niveaux </w:t>
      </w:r>
      <w:r w:rsidRPr="00790A20">
        <w:t>1</w:t>
      </w:r>
      <w:r w:rsidR="000C17FF">
        <w:t xml:space="preserve"> ou 2, énoncées aux paragraphes </w:t>
      </w:r>
      <w:r w:rsidRPr="00790A20">
        <w:t>6.1.1 à 6.1.3 du présent Règlement, les prescriptions relatives à l</w:t>
      </w:r>
      <w:r>
        <w:t>’</w:t>
      </w:r>
      <w:r w:rsidRPr="00790A20">
        <w:t xml:space="preserve">adhérence sur sol mouillé, énoncées au paragraphe 6.2.1 </w:t>
      </w:r>
      <w:r w:rsidRPr="00790A20">
        <w:rPr>
          <w:b/>
          <w:bCs/>
        </w:rPr>
        <w:t>(pour les pneumatiques neufs)</w:t>
      </w:r>
      <w:r w:rsidRPr="00790A20">
        <w:t xml:space="preserve"> du présent Règlement, et les prescriptions relatives à la rési</w:t>
      </w:r>
      <w:r w:rsidR="000C17FF">
        <w:t>stance au roulement aux niveaux </w:t>
      </w:r>
      <w:r w:rsidR="00827126">
        <w:t>1 ou </w:t>
      </w:r>
      <w:r w:rsidRPr="00790A20">
        <w:t xml:space="preserve">2, énoncées au paragraphe 6.3.1 ou 6.3.2 du présent Règlement. </w:t>
      </w:r>
    </w:p>
    <w:p w:rsidR="00790A20" w:rsidRPr="00790A20" w:rsidRDefault="00790A20" w:rsidP="00663832">
      <w:pPr>
        <w:pStyle w:val="SingleTxtG"/>
        <w:ind w:left="2268" w:hanging="1134"/>
        <w:rPr>
          <w:bCs/>
          <w:iCs/>
        </w:rPr>
      </w:pPr>
      <w:r w:rsidRPr="00790A20">
        <w:t>12.2</w:t>
      </w:r>
      <w:r w:rsidRPr="00790A20">
        <w:tab/>
        <w:t>À compter du 1</w:t>
      </w:r>
      <w:r w:rsidRPr="000C17FF">
        <w:rPr>
          <w:vertAlign w:val="superscript"/>
        </w:rPr>
        <w:t>er</w:t>
      </w:r>
      <w:r w:rsidR="000C17FF">
        <w:rPr>
          <w:vertAlign w:val="superscript"/>
        </w:rPr>
        <w:t> </w:t>
      </w:r>
      <w:r w:rsidRPr="00790A20">
        <w:t>novembre 2012, les Parties contractantes appliquant le présent Règlement doivent refuser d</w:t>
      </w:r>
      <w:r>
        <w:t>’</w:t>
      </w:r>
      <w:r w:rsidRPr="00790A20">
        <w:t>accorder l</w:t>
      </w:r>
      <w:r>
        <w:t>’</w:t>
      </w:r>
      <w:r w:rsidRPr="00790A20">
        <w:t>homologation CEE si le type de pneumatique à homologuer n</w:t>
      </w:r>
      <w:r>
        <w:t>’</w:t>
      </w:r>
      <w:r w:rsidRPr="00790A20">
        <w:t>est pas conforme aux prescriptions du présent Règlement tel</w:t>
      </w:r>
      <w:r w:rsidR="000C17FF">
        <w:t xml:space="preserve"> </w:t>
      </w:r>
      <w:r w:rsidRPr="00790A20">
        <w:t>qu</w:t>
      </w:r>
      <w:r>
        <w:t>’</w:t>
      </w:r>
      <w:r w:rsidR="000C17FF">
        <w:t>il a été modifié par la série </w:t>
      </w:r>
      <w:r w:rsidRPr="00790A20">
        <w:t>02 d</w:t>
      </w:r>
      <w:r>
        <w:t>’</w:t>
      </w:r>
      <w:r w:rsidRPr="00790A20">
        <w:t>amendements, et doivent également refuser d</w:t>
      </w:r>
      <w:r>
        <w:t>’</w:t>
      </w:r>
      <w:r w:rsidRPr="00790A20">
        <w:t>accorder l</w:t>
      </w:r>
      <w:r>
        <w:t>’</w:t>
      </w:r>
      <w:r w:rsidRPr="00790A20">
        <w:t xml:space="preserve">homologation CEE si les prescriptions relatives </w:t>
      </w:r>
      <w:r w:rsidR="000C17FF">
        <w:t>au bruit de roulement au niveau </w:t>
      </w:r>
      <w:r w:rsidRPr="00790A20">
        <w:t>2, énoncées aux paragraphes</w:t>
      </w:r>
      <w:r w:rsidR="00827126">
        <w:t> </w:t>
      </w:r>
      <w:r w:rsidRPr="00790A20">
        <w:t>6.1.1 à</w:t>
      </w:r>
      <w:r w:rsidR="000C17FF">
        <w:t> </w:t>
      </w:r>
      <w:r w:rsidRPr="00790A20">
        <w:t>6.1.3 du présent Règlement, les prescriptions relatives à l</w:t>
      </w:r>
      <w:r>
        <w:t>’</w:t>
      </w:r>
      <w:r w:rsidRPr="00790A20">
        <w:t>adhérence sur sol mouillé, énoncées au paragraphe</w:t>
      </w:r>
      <w:r w:rsidR="00827126">
        <w:t> </w:t>
      </w:r>
      <w:r w:rsidRPr="00790A20">
        <w:t xml:space="preserve">6.2.1 </w:t>
      </w:r>
      <w:r w:rsidRPr="00790A20">
        <w:rPr>
          <w:b/>
          <w:bCs/>
        </w:rPr>
        <w:t>(pour les pneumatiques neufs)</w:t>
      </w:r>
      <w:r w:rsidRPr="00790A20">
        <w:t>, et les prescriptions relatives à la résistance au roulement au niveau 1, énoncées au paragraphe 6.3.1 du présent Règlement, ne sont pas respectées.</w:t>
      </w:r>
    </w:p>
    <w:p w:rsidR="00790A20" w:rsidRPr="00790A20" w:rsidRDefault="00790A20" w:rsidP="00663832">
      <w:pPr>
        <w:pStyle w:val="SingleTxtG"/>
        <w:ind w:left="2268" w:hanging="1134"/>
        <w:rPr>
          <w:bCs/>
          <w:iCs/>
        </w:rPr>
      </w:pPr>
      <w:r w:rsidRPr="00790A20">
        <w:t>12.3</w:t>
      </w:r>
      <w:r w:rsidRPr="00790A20">
        <w:tab/>
        <w:t>À compter du 1</w:t>
      </w:r>
      <w:r w:rsidRPr="000C17FF">
        <w:rPr>
          <w:vertAlign w:val="superscript"/>
        </w:rPr>
        <w:t>er</w:t>
      </w:r>
      <w:r w:rsidR="000C17FF">
        <w:rPr>
          <w:vertAlign w:val="superscript"/>
        </w:rPr>
        <w:t> </w:t>
      </w:r>
      <w:r w:rsidRPr="00790A20">
        <w:t>novembre 2014, les Parties contractantes appliquant le présent Règlement peuvent interdire la vente ou la mise en service d</w:t>
      </w:r>
      <w:r>
        <w:t>’</w:t>
      </w:r>
      <w:r w:rsidRPr="00790A20">
        <w:t>un pneumatique qui ne satisfait pas aux prescriptions du présent Règlement tel que modifié par la série</w:t>
      </w:r>
      <w:r w:rsidR="000C17FF">
        <w:t> </w:t>
      </w:r>
      <w:r w:rsidRPr="00790A20">
        <w:t>02 d</w:t>
      </w:r>
      <w:r>
        <w:t>’</w:t>
      </w:r>
      <w:r w:rsidRPr="00790A20">
        <w:t>amendements, et qui ne satisfait pas aux prescriptions du présent Règleme</w:t>
      </w:r>
      <w:r w:rsidR="000C17FF">
        <w:t>nt tel que modifié par la série </w:t>
      </w:r>
      <w:r w:rsidRPr="00790A20">
        <w:t>02, y compris aux prescriptions relatives à l</w:t>
      </w:r>
      <w:r>
        <w:t>’</w:t>
      </w:r>
      <w:r w:rsidRPr="00790A20">
        <w:t xml:space="preserve">adhérence sur sol mouillé, énoncées au paragraphe 6.2.1 </w:t>
      </w:r>
      <w:r w:rsidRPr="00790A20">
        <w:rPr>
          <w:b/>
          <w:bCs/>
        </w:rPr>
        <w:t>(pour les pneumatiques neufs)</w:t>
      </w:r>
      <w:r w:rsidRPr="00790A20">
        <w:t xml:space="preserve"> du présent Règlement.</w:t>
      </w:r>
    </w:p>
    <w:p w:rsidR="00790A20" w:rsidRPr="00790A20" w:rsidRDefault="00790A20" w:rsidP="00663832">
      <w:pPr>
        <w:pStyle w:val="SingleTxtG"/>
        <w:ind w:left="2268" w:hanging="1134"/>
        <w:rPr>
          <w:iCs/>
        </w:rPr>
      </w:pPr>
      <w:r w:rsidRPr="00790A20">
        <w:t>12.4</w:t>
      </w:r>
      <w:r w:rsidRPr="00790A20">
        <w:tab/>
        <w:t>À compter du 1</w:t>
      </w:r>
      <w:r w:rsidRPr="000C17FF">
        <w:rPr>
          <w:vertAlign w:val="superscript"/>
        </w:rPr>
        <w:t>er</w:t>
      </w:r>
      <w:r w:rsidR="000C17FF">
        <w:rPr>
          <w:vertAlign w:val="superscript"/>
        </w:rPr>
        <w:t> </w:t>
      </w:r>
      <w:r w:rsidRPr="00790A20">
        <w:t>novembre 2016, les Parties contractantes appliquant le présent Règlement doivent refuser d</w:t>
      </w:r>
      <w:r>
        <w:t>’</w:t>
      </w:r>
      <w:r w:rsidRPr="00790A20">
        <w:t>accorder l</w:t>
      </w:r>
      <w:r>
        <w:t>’</w:t>
      </w:r>
      <w:r w:rsidRPr="00790A20">
        <w:t>homologation</w:t>
      </w:r>
      <w:r w:rsidR="000C17FF">
        <w:t xml:space="preserve"> </w:t>
      </w:r>
      <w:r w:rsidRPr="00790A20">
        <w:t>si</w:t>
      </w:r>
      <w:r w:rsidR="000C17FF">
        <w:t xml:space="preserve"> </w:t>
      </w:r>
      <w:r w:rsidRPr="00790A20">
        <w:t>le</w:t>
      </w:r>
      <w:r w:rsidR="000C17FF">
        <w:t xml:space="preserve"> </w:t>
      </w:r>
      <w:r w:rsidRPr="00790A20">
        <w:t>type</w:t>
      </w:r>
      <w:r w:rsidR="000C17FF">
        <w:t xml:space="preserve"> </w:t>
      </w:r>
      <w:r w:rsidRPr="00790A20">
        <w:t>de pneumatique</w:t>
      </w:r>
      <w:r w:rsidR="000C17FF">
        <w:t xml:space="preserve"> </w:t>
      </w:r>
      <w:r w:rsidRPr="00790A20">
        <w:t>à</w:t>
      </w:r>
      <w:r w:rsidR="000C17FF">
        <w:t xml:space="preserve"> </w:t>
      </w:r>
      <w:r w:rsidRPr="00790A20">
        <w:t>homologuer ne satisfait pas aux prescriptions du présent Règlement tel</w:t>
      </w:r>
      <w:r w:rsidR="000C17FF">
        <w:t xml:space="preserve"> </w:t>
      </w:r>
      <w:r w:rsidRPr="00790A20">
        <w:t>qu</w:t>
      </w:r>
      <w:r>
        <w:t>’</w:t>
      </w:r>
      <w:r w:rsidR="00766350">
        <w:t>il est modifié par la série </w:t>
      </w:r>
      <w:r w:rsidRPr="00790A20">
        <w:t>02 d</w:t>
      </w:r>
      <w:r>
        <w:t>’</w:t>
      </w:r>
      <w:r w:rsidRPr="00790A20">
        <w:t>amendements, y compris</w:t>
      </w:r>
      <w:r w:rsidR="000C17FF">
        <w:t xml:space="preserve"> </w:t>
      </w:r>
      <w:r w:rsidRPr="00790A20">
        <w:t>les prescriptions</w:t>
      </w:r>
      <w:r w:rsidR="000C17FF">
        <w:t xml:space="preserve"> </w:t>
      </w:r>
      <w:r w:rsidRPr="00790A20">
        <w:t>du niveau</w:t>
      </w:r>
      <w:r w:rsidR="000C17FF">
        <w:t> </w:t>
      </w:r>
      <w:r w:rsidRPr="00790A20">
        <w:t>2 concernant la résistance au roulement, énoncées au paragraphe 6.3.2 du présent Règlement, et</w:t>
      </w:r>
      <w:r w:rsidR="000C17FF">
        <w:t xml:space="preserve"> </w:t>
      </w:r>
      <w:r w:rsidRPr="00790A20">
        <w:t>les prescriptions concernant l</w:t>
      </w:r>
      <w:r>
        <w:t>’</w:t>
      </w:r>
      <w:r w:rsidRPr="00790A20">
        <w:t>adhérence sur sol mouillé, énoncées aux paragraphes 6.2.2 et 6.2.3 du présent Règlement.</w:t>
      </w:r>
    </w:p>
    <w:p w:rsidR="00790A20" w:rsidRPr="00790A20" w:rsidRDefault="00790A20" w:rsidP="00663832">
      <w:pPr>
        <w:pStyle w:val="SingleTxtG"/>
        <w:ind w:left="2268" w:hanging="1134"/>
        <w:rPr>
          <w:bCs/>
          <w:iCs/>
        </w:rPr>
      </w:pPr>
      <w:r w:rsidRPr="00790A20">
        <w:t>12.5</w:t>
      </w:r>
      <w:r w:rsidRPr="00790A20">
        <w:tab/>
        <w:t>À compter du 1</w:t>
      </w:r>
      <w:r w:rsidRPr="00766350">
        <w:rPr>
          <w:vertAlign w:val="superscript"/>
        </w:rPr>
        <w:t>er</w:t>
      </w:r>
      <w:r w:rsidR="00766350">
        <w:t> </w:t>
      </w:r>
      <w:r w:rsidRPr="00790A20">
        <w:t>novembre 2016, toute Partie contractante appliquant le présent Règlement peut refuser d</w:t>
      </w:r>
      <w:r>
        <w:t>’</w:t>
      </w:r>
      <w:r w:rsidRPr="00790A20">
        <w:t>autoriser la vente ou la mise en service d</w:t>
      </w:r>
      <w:r>
        <w:t>’</w:t>
      </w:r>
      <w:r w:rsidRPr="00790A20">
        <w:t>un pneumatique qui ne satisfait pas aux prescriptions du présent Règlement tel</w:t>
      </w:r>
      <w:r w:rsidR="000C17FF">
        <w:t xml:space="preserve"> </w:t>
      </w:r>
      <w:r w:rsidRPr="00790A20">
        <w:t>qu</w:t>
      </w:r>
      <w:r>
        <w:t>’</w:t>
      </w:r>
      <w:r w:rsidR="00827126">
        <w:t>il est modifié par la série </w:t>
      </w:r>
      <w:r w:rsidRPr="00790A20">
        <w:t>02 d</w:t>
      </w:r>
      <w:r>
        <w:t>’</w:t>
      </w:r>
      <w:r w:rsidRPr="00790A20">
        <w:t xml:space="preserve">amendements, et qui ne satisfait pas aux </w:t>
      </w:r>
      <w:r w:rsidRPr="00790A20">
        <w:lastRenderedPageBreak/>
        <w:t>prescriptions relatives aux émissions de bruit de roulement au niveau</w:t>
      </w:r>
      <w:r w:rsidR="00766350">
        <w:t> </w:t>
      </w:r>
      <w:r w:rsidRPr="00790A20">
        <w:t>2 énoncées aux paragraphes 6.1.1 à 6.1.3 du présent Règlement.</w:t>
      </w:r>
    </w:p>
    <w:p w:rsidR="00790A20" w:rsidRPr="00790A20" w:rsidRDefault="00790A20" w:rsidP="00663832">
      <w:pPr>
        <w:pStyle w:val="SingleTxtG"/>
        <w:ind w:left="2268" w:hanging="1134"/>
        <w:rPr>
          <w:bCs/>
          <w:iCs/>
        </w:rPr>
      </w:pPr>
      <w:r w:rsidRPr="00790A20">
        <w:t>12.6</w:t>
      </w:r>
      <w:r w:rsidRPr="00790A20">
        <w:tab/>
        <w:t>À compter des dates indiquées ci-dessous, toute Partie contractante appliquant le présent Règlement peut refuser d</w:t>
      </w:r>
      <w:r>
        <w:t>’</w:t>
      </w:r>
      <w:r w:rsidRPr="00790A20">
        <w:t>autoriser la vente ou la mise en service d</w:t>
      </w:r>
      <w:r>
        <w:t>’</w:t>
      </w:r>
      <w:r w:rsidRPr="00790A20">
        <w:t>un pneumatique qui ne satisfait pas aux prescriptions du présent Règlement tel</w:t>
      </w:r>
      <w:r w:rsidR="000C17FF">
        <w:t xml:space="preserve"> </w:t>
      </w:r>
      <w:r w:rsidRPr="00790A20">
        <w:t>qu</w:t>
      </w:r>
      <w:r>
        <w:t>’</w:t>
      </w:r>
      <w:r w:rsidR="00766350">
        <w:t>il est modifié par la série </w:t>
      </w:r>
      <w:r w:rsidRPr="00790A20">
        <w:t>02 d</w:t>
      </w:r>
      <w:r>
        <w:t>’</w:t>
      </w:r>
      <w:r w:rsidRPr="00790A20">
        <w:t>amendements, et qui ne satisfait pas aux prescriptions relatives à la résistance au roulement au niveau</w:t>
      </w:r>
      <w:r w:rsidR="00766350">
        <w:t> </w:t>
      </w:r>
      <w:r w:rsidRPr="00790A20">
        <w:t>1 énoncées au paragraphe 6.3.1 du présent Règlement: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4497"/>
      </w:tblGrid>
      <w:tr w:rsidR="00790A20" w:rsidRPr="00766350" w:rsidTr="00766350">
        <w:trPr>
          <w:tblHeader/>
        </w:trPr>
        <w:tc>
          <w:tcPr>
            <w:tcW w:w="1740" w:type="dxa"/>
            <w:tcBorders>
              <w:bottom w:val="single" w:sz="12" w:space="0" w:color="auto"/>
            </w:tcBorders>
            <w:shd w:val="clear" w:color="auto" w:fill="auto"/>
            <w:vAlign w:val="bottom"/>
          </w:tcPr>
          <w:p w:rsidR="00790A20" w:rsidRPr="00766350" w:rsidRDefault="00790A20" w:rsidP="00766350">
            <w:pPr>
              <w:spacing w:before="80" w:after="80" w:line="200" w:lineRule="exact"/>
              <w:ind w:left="57" w:right="57"/>
              <w:rPr>
                <w:i/>
                <w:sz w:val="16"/>
              </w:rPr>
            </w:pPr>
            <w:r w:rsidRPr="00766350">
              <w:rPr>
                <w:i/>
                <w:sz w:val="16"/>
              </w:rPr>
              <w:t>Classe de pneu</w:t>
            </w:r>
          </w:p>
        </w:tc>
        <w:tc>
          <w:tcPr>
            <w:tcW w:w="4497" w:type="dxa"/>
            <w:tcBorders>
              <w:bottom w:val="single" w:sz="12" w:space="0" w:color="auto"/>
            </w:tcBorders>
            <w:shd w:val="clear" w:color="auto" w:fill="auto"/>
            <w:vAlign w:val="bottom"/>
          </w:tcPr>
          <w:p w:rsidR="00790A20" w:rsidRPr="00766350" w:rsidRDefault="00790A20" w:rsidP="00766350">
            <w:pPr>
              <w:spacing w:before="80" w:after="80" w:line="200" w:lineRule="exact"/>
              <w:ind w:left="57" w:right="57"/>
              <w:rPr>
                <w:bCs/>
                <w:i/>
                <w:sz w:val="16"/>
              </w:rPr>
            </w:pPr>
            <w:r w:rsidRPr="00766350">
              <w:rPr>
                <w:i/>
                <w:sz w:val="16"/>
              </w:rPr>
              <w:t>Date</w:t>
            </w:r>
          </w:p>
        </w:tc>
      </w:tr>
      <w:tr w:rsidR="00790A20" w:rsidRPr="00766350" w:rsidTr="00766350">
        <w:tc>
          <w:tcPr>
            <w:tcW w:w="1740" w:type="dxa"/>
            <w:tcBorders>
              <w:top w:val="single" w:sz="12" w:space="0" w:color="auto"/>
              <w:bottom w:val="single" w:sz="4" w:space="0" w:color="auto"/>
            </w:tcBorders>
            <w:shd w:val="clear" w:color="auto" w:fill="auto"/>
          </w:tcPr>
          <w:p w:rsidR="00790A20" w:rsidRPr="00766350" w:rsidRDefault="00790A20" w:rsidP="00766350">
            <w:pPr>
              <w:spacing w:before="40" w:after="120"/>
              <w:ind w:left="57" w:right="57"/>
            </w:pPr>
            <w:r w:rsidRPr="00766350">
              <w:t>C1, C2</w:t>
            </w:r>
          </w:p>
        </w:tc>
        <w:tc>
          <w:tcPr>
            <w:tcW w:w="4497" w:type="dxa"/>
            <w:tcBorders>
              <w:top w:val="single" w:sz="12" w:space="0" w:color="auto"/>
              <w:bottom w:val="single" w:sz="4" w:space="0" w:color="auto"/>
            </w:tcBorders>
            <w:shd w:val="clear" w:color="auto" w:fill="auto"/>
          </w:tcPr>
          <w:p w:rsidR="00790A20" w:rsidRPr="00766350" w:rsidRDefault="00790A20" w:rsidP="00766350">
            <w:pPr>
              <w:spacing w:before="40" w:after="120"/>
              <w:ind w:left="57" w:right="57"/>
            </w:pPr>
            <w:r w:rsidRPr="00766350">
              <w:t>1</w:t>
            </w:r>
            <w:r w:rsidRPr="00766350">
              <w:rPr>
                <w:vertAlign w:val="superscript"/>
              </w:rPr>
              <w:t>er</w:t>
            </w:r>
            <w:r w:rsidRPr="00766350">
              <w:t xml:space="preserve"> novembre 2014</w:t>
            </w:r>
          </w:p>
        </w:tc>
      </w:tr>
      <w:tr w:rsidR="00790A20" w:rsidRPr="00766350" w:rsidTr="00766350">
        <w:tc>
          <w:tcPr>
            <w:tcW w:w="1740" w:type="dxa"/>
            <w:tcBorders>
              <w:bottom w:val="single" w:sz="12" w:space="0" w:color="auto"/>
            </w:tcBorders>
            <w:shd w:val="clear" w:color="auto" w:fill="auto"/>
          </w:tcPr>
          <w:p w:rsidR="00790A20" w:rsidRPr="00766350" w:rsidRDefault="00790A20" w:rsidP="00766350">
            <w:pPr>
              <w:spacing w:before="40" w:after="120"/>
              <w:ind w:left="57" w:right="57"/>
            </w:pPr>
            <w:r w:rsidRPr="00766350">
              <w:t>C3</w:t>
            </w:r>
          </w:p>
        </w:tc>
        <w:tc>
          <w:tcPr>
            <w:tcW w:w="4497" w:type="dxa"/>
            <w:tcBorders>
              <w:bottom w:val="single" w:sz="12" w:space="0" w:color="auto"/>
            </w:tcBorders>
            <w:shd w:val="clear" w:color="auto" w:fill="auto"/>
          </w:tcPr>
          <w:p w:rsidR="00790A20" w:rsidRPr="00766350" w:rsidRDefault="00790A20" w:rsidP="00766350">
            <w:pPr>
              <w:spacing w:before="40" w:after="120"/>
              <w:ind w:left="57" w:right="57"/>
            </w:pPr>
            <w:r w:rsidRPr="00766350">
              <w:t>1</w:t>
            </w:r>
            <w:r w:rsidRPr="00766350">
              <w:rPr>
                <w:vertAlign w:val="superscript"/>
              </w:rPr>
              <w:t>er</w:t>
            </w:r>
            <w:r w:rsidRPr="00766350">
              <w:t xml:space="preserve"> novembre 2016</w:t>
            </w:r>
          </w:p>
        </w:tc>
      </w:tr>
    </w:tbl>
    <w:p w:rsidR="00790A20" w:rsidRPr="00790A20" w:rsidRDefault="00790A20" w:rsidP="00766350">
      <w:pPr>
        <w:pStyle w:val="SingleTxtG"/>
        <w:spacing w:before="240"/>
        <w:ind w:left="2268" w:hanging="1134"/>
        <w:rPr>
          <w:bCs/>
          <w:iCs/>
        </w:rPr>
      </w:pPr>
      <w:r w:rsidRPr="00790A20">
        <w:t>12.7</w:t>
      </w:r>
      <w:r w:rsidRPr="00790A20">
        <w:tab/>
        <w:t>À compter des dates indiquées ci-dessous, toute Partie contractante appliquant le présent Règlement peut refuser d</w:t>
      </w:r>
      <w:r>
        <w:t>’</w:t>
      </w:r>
      <w:r w:rsidRPr="00790A20">
        <w:t>autoriser la vente ou la mise en service d</w:t>
      </w:r>
      <w:r>
        <w:t>’</w:t>
      </w:r>
      <w:r w:rsidRPr="00790A20">
        <w:t>un pneumatique qui ne satisfait pas aux prescriptions du présent Règlement tel qu</w:t>
      </w:r>
      <w:r>
        <w:t>’</w:t>
      </w:r>
      <w:r w:rsidR="00766350">
        <w:t>il est modifié par la série </w:t>
      </w:r>
      <w:r w:rsidRPr="00790A20">
        <w:t>02 d</w:t>
      </w:r>
      <w:r>
        <w:t>’</w:t>
      </w:r>
      <w:r w:rsidRPr="00790A20">
        <w:t>amendements, et qui ne satisfait pas aux prescriptions du niveau</w:t>
      </w:r>
      <w:r w:rsidR="00766350">
        <w:t> </w:t>
      </w:r>
      <w:r w:rsidRPr="00790A20">
        <w:t>2 concernant la résistance au roulement, énoncées au paragraphe 6.3.2 du présent Règlement, et</w:t>
      </w:r>
      <w:r w:rsidR="000C17FF">
        <w:t xml:space="preserve"> </w:t>
      </w:r>
      <w:r w:rsidRPr="00790A20">
        <w:t>aux prescriptions concernant l</w:t>
      </w:r>
      <w:r>
        <w:t>’</w:t>
      </w:r>
      <w:r w:rsidRPr="00790A20">
        <w:t>adhérence sur sol mouillé, énoncées aux paragraphes 6.2.2 et 6.2.3 du présent Règlement:</w:t>
      </w:r>
    </w:p>
    <w:tbl>
      <w:tblPr>
        <w:tblW w:w="6237"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4497"/>
      </w:tblGrid>
      <w:tr w:rsidR="00790A20" w:rsidRPr="00766350" w:rsidTr="00766350">
        <w:trPr>
          <w:tblHeader/>
        </w:trPr>
        <w:tc>
          <w:tcPr>
            <w:tcW w:w="1740" w:type="dxa"/>
            <w:shd w:val="clear" w:color="auto" w:fill="auto"/>
            <w:vAlign w:val="bottom"/>
          </w:tcPr>
          <w:p w:rsidR="00790A20" w:rsidRPr="00766350" w:rsidRDefault="00790A20" w:rsidP="00766350">
            <w:pPr>
              <w:spacing w:before="60" w:after="60" w:line="200" w:lineRule="exact"/>
              <w:ind w:left="57" w:right="57"/>
              <w:rPr>
                <w:i/>
                <w:sz w:val="16"/>
              </w:rPr>
            </w:pPr>
            <w:r w:rsidRPr="00766350">
              <w:rPr>
                <w:i/>
                <w:sz w:val="16"/>
              </w:rPr>
              <w:t>Classe de pneu</w:t>
            </w:r>
          </w:p>
        </w:tc>
        <w:tc>
          <w:tcPr>
            <w:tcW w:w="4497" w:type="dxa"/>
            <w:shd w:val="clear" w:color="auto" w:fill="auto"/>
            <w:vAlign w:val="bottom"/>
          </w:tcPr>
          <w:p w:rsidR="00790A20" w:rsidRPr="00766350" w:rsidRDefault="00790A20" w:rsidP="00766350">
            <w:pPr>
              <w:spacing w:before="60" w:after="60" w:line="200" w:lineRule="exact"/>
              <w:ind w:left="57" w:right="57"/>
              <w:rPr>
                <w:bCs/>
                <w:i/>
                <w:sz w:val="16"/>
              </w:rPr>
            </w:pPr>
            <w:r w:rsidRPr="00766350">
              <w:rPr>
                <w:i/>
                <w:sz w:val="16"/>
              </w:rPr>
              <w:t>Date</w:t>
            </w:r>
          </w:p>
        </w:tc>
      </w:tr>
      <w:tr w:rsidR="00790A20" w:rsidRPr="00766350" w:rsidTr="00766350">
        <w:tc>
          <w:tcPr>
            <w:tcW w:w="1740" w:type="dxa"/>
            <w:shd w:val="clear" w:color="auto" w:fill="auto"/>
          </w:tcPr>
          <w:p w:rsidR="00790A20" w:rsidRPr="00766350" w:rsidRDefault="00790A20" w:rsidP="00766350">
            <w:pPr>
              <w:spacing w:before="60" w:after="60"/>
              <w:ind w:left="57" w:right="57"/>
            </w:pPr>
            <w:r w:rsidRPr="00766350">
              <w:t>C1, C2</w:t>
            </w:r>
          </w:p>
        </w:tc>
        <w:tc>
          <w:tcPr>
            <w:tcW w:w="4497" w:type="dxa"/>
            <w:shd w:val="clear" w:color="auto" w:fill="auto"/>
          </w:tcPr>
          <w:p w:rsidR="00790A20" w:rsidRPr="00766350" w:rsidRDefault="00790A20" w:rsidP="00766350">
            <w:pPr>
              <w:spacing w:before="60" w:after="60"/>
              <w:ind w:left="57" w:right="57"/>
            </w:pPr>
            <w:r w:rsidRPr="00766350">
              <w:t>1</w:t>
            </w:r>
            <w:r w:rsidRPr="00766350">
              <w:rPr>
                <w:vertAlign w:val="superscript"/>
              </w:rPr>
              <w:t>er</w:t>
            </w:r>
            <w:r w:rsidRPr="00766350">
              <w:t xml:space="preserve"> novembre 2018</w:t>
            </w:r>
          </w:p>
        </w:tc>
      </w:tr>
      <w:tr w:rsidR="00790A20" w:rsidRPr="00766350" w:rsidTr="00766350">
        <w:tc>
          <w:tcPr>
            <w:tcW w:w="1740" w:type="dxa"/>
            <w:shd w:val="clear" w:color="auto" w:fill="auto"/>
          </w:tcPr>
          <w:p w:rsidR="00790A20" w:rsidRPr="00766350" w:rsidRDefault="00790A20" w:rsidP="00766350">
            <w:pPr>
              <w:spacing w:before="60" w:after="60"/>
              <w:ind w:left="57" w:right="57"/>
            </w:pPr>
            <w:r w:rsidRPr="00766350">
              <w:t>C3</w:t>
            </w:r>
          </w:p>
        </w:tc>
        <w:tc>
          <w:tcPr>
            <w:tcW w:w="4497" w:type="dxa"/>
            <w:shd w:val="clear" w:color="auto" w:fill="auto"/>
          </w:tcPr>
          <w:p w:rsidR="00790A20" w:rsidRPr="00766350" w:rsidRDefault="00790A20" w:rsidP="00766350">
            <w:pPr>
              <w:spacing w:before="60" w:after="60"/>
              <w:ind w:left="57" w:right="57"/>
            </w:pPr>
            <w:r w:rsidRPr="00766350">
              <w:t>1</w:t>
            </w:r>
            <w:r w:rsidRPr="00766350">
              <w:rPr>
                <w:vertAlign w:val="superscript"/>
              </w:rPr>
              <w:t>er</w:t>
            </w:r>
            <w:r w:rsidRPr="00766350">
              <w:t xml:space="preserve"> novembre 2020</w:t>
            </w:r>
          </w:p>
        </w:tc>
      </w:tr>
    </w:tbl>
    <w:p w:rsidR="00790A20" w:rsidRPr="00790A20" w:rsidRDefault="00790A20" w:rsidP="006A628F">
      <w:pPr>
        <w:pStyle w:val="SingleTxtG"/>
        <w:spacing w:before="240"/>
        <w:ind w:left="2268" w:hanging="1134"/>
        <w:rPr>
          <w:bCs/>
        </w:rPr>
      </w:pPr>
      <w:r w:rsidRPr="00790A20">
        <w:t>12.8</w:t>
      </w:r>
      <w:r w:rsidRPr="00790A20">
        <w:tab/>
        <w:t>Jusqu</w:t>
      </w:r>
      <w:r>
        <w:t>’</w:t>
      </w:r>
      <w:r w:rsidR="006A628F">
        <w:t>au 13 </w:t>
      </w:r>
      <w:r w:rsidRPr="00790A20">
        <w:t>février 2019 (60 mois à compter de la date d</w:t>
      </w:r>
      <w:r>
        <w:t>’</w:t>
      </w:r>
      <w:r w:rsidR="006A628F">
        <w:t>entrée en vigueur du complément </w:t>
      </w:r>
      <w:r w:rsidRPr="00790A20">
        <w:t>4 à la série 02 d</w:t>
      </w:r>
      <w:r>
        <w:t>’</w:t>
      </w:r>
      <w:r w:rsidRPr="00790A20">
        <w:t>amendements au présent Règlement), les Parties contractantes appliquant le présent Règlement peuvent continuer d</w:t>
      </w:r>
      <w:r>
        <w:t>’</w:t>
      </w:r>
      <w:r w:rsidRPr="00790A20">
        <w:t xml:space="preserve">accorder des homologations </w:t>
      </w:r>
      <w:r w:rsidR="006A628F">
        <w:t>de type conformément à la série </w:t>
      </w:r>
      <w:r w:rsidRPr="00790A20">
        <w:t>02 d</w:t>
      </w:r>
      <w:r>
        <w:t>’</w:t>
      </w:r>
      <w:r w:rsidRPr="00790A20">
        <w:t>amendements audit Règlement, en tenant compte des dispositions de l</w:t>
      </w:r>
      <w:r>
        <w:t>’</w:t>
      </w:r>
      <w:r w:rsidRPr="00790A20">
        <w:t>annexe</w:t>
      </w:r>
      <w:r w:rsidR="006A628F">
        <w:t> </w:t>
      </w:r>
      <w:r w:rsidRPr="00790A20">
        <w:t>4 du Règlement.</w:t>
      </w:r>
    </w:p>
    <w:p w:rsidR="00790A20" w:rsidRPr="00790A20" w:rsidRDefault="00790A20" w:rsidP="00663832">
      <w:pPr>
        <w:pStyle w:val="SingleTxtG"/>
        <w:ind w:left="2268" w:hanging="1134"/>
        <w:rPr>
          <w:b/>
          <w:bCs/>
        </w:rPr>
      </w:pPr>
      <w:r w:rsidRPr="00790A20">
        <w:rPr>
          <w:b/>
        </w:rPr>
        <w:t>12.9</w:t>
      </w:r>
      <w:r w:rsidRPr="00790A20">
        <w:tab/>
      </w:r>
      <w:r w:rsidRPr="00790A20">
        <w:rPr>
          <w:b/>
          <w:bCs/>
        </w:rPr>
        <w:t>À compter de la date d</w:t>
      </w:r>
      <w:r>
        <w:rPr>
          <w:b/>
          <w:bCs/>
        </w:rPr>
        <w:t>’</w:t>
      </w:r>
      <w:r w:rsidRPr="00790A20">
        <w:rPr>
          <w:b/>
          <w:bCs/>
        </w:rPr>
        <w:t>entrée en vigueur du complément [10] à la série</w:t>
      </w:r>
      <w:r w:rsidR="006A628F">
        <w:rPr>
          <w:b/>
          <w:bCs/>
        </w:rPr>
        <w:t> </w:t>
      </w:r>
      <w:r w:rsidRPr="00790A20">
        <w:rPr>
          <w:b/>
          <w:bCs/>
        </w:rPr>
        <w:t>02 d</w:t>
      </w:r>
      <w:r>
        <w:rPr>
          <w:b/>
          <w:bCs/>
        </w:rPr>
        <w:t>’</w:t>
      </w:r>
      <w:r w:rsidRPr="00790A20">
        <w:rPr>
          <w:b/>
          <w:bCs/>
        </w:rPr>
        <w:t>amendements au présent Règlement, les Parties contractantes appliquant le présent Règlement ne peuvent refuser d</w:t>
      </w:r>
      <w:r>
        <w:rPr>
          <w:b/>
          <w:bCs/>
        </w:rPr>
        <w:t>’</w:t>
      </w:r>
      <w:r w:rsidRPr="00790A20">
        <w:rPr>
          <w:b/>
          <w:bCs/>
        </w:rPr>
        <w:t>accorder une homologation au titre du présent Règlement à un type de pneumatique si ce pneumatique est conforme aux prescription</w:t>
      </w:r>
      <w:r w:rsidR="006A628F">
        <w:rPr>
          <w:b/>
          <w:bCs/>
        </w:rPr>
        <w:t>s du complément [10] à la série </w:t>
      </w:r>
      <w:r w:rsidRPr="00790A20">
        <w:rPr>
          <w:b/>
          <w:bCs/>
        </w:rPr>
        <w:t>02 d</w:t>
      </w:r>
      <w:r>
        <w:rPr>
          <w:b/>
          <w:bCs/>
        </w:rPr>
        <w:t>’</w:t>
      </w:r>
      <w:r w:rsidRPr="00790A20">
        <w:rPr>
          <w:b/>
          <w:bCs/>
        </w:rPr>
        <w:t xml:space="preserve">amendements, y compris aux prescriptions relatives aux émissions </w:t>
      </w:r>
      <w:r w:rsidR="006A628F">
        <w:rPr>
          <w:b/>
          <w:bCs/>
        </w:rPr>
        <w:t>de bruit de roulement au niveau </w:t>
      </w:r>
      <w:r w:rsidRPr="00790A20">
        <w:rPr>
          <w:b/>
          <w:bCs/>
        </w:rPr>
        <w:t>1 ou</w:t>
      </w:r>
      <w:r w:rsidR="006A628F">
        <w:rPr>
          <w:b/>
          <w:bCs/>
        </w:rPr>
        <w:t> 2, énoncées aux paragraphes </w:t>
      </w:r>
      <w:r w:rsidRPr="00790A20">
        <w:rPr>
          <w:b/>
          <w:bCs/>
        </w:rPr>
        <w:t>6.1.1 à 6.1.3 du présent Règlement, aux prescriptions relatives à l</w:t>
      </w:r>
      <w:r>
        <w:rPr>
          <w:b/>
          <w:bCs/>
        </w:rPr>
        <w:t>’</w:t>
      </w:r>
      <w:r w:rsidRPr="00790A20">
        <w:rPr>
          <w:b/>
          <w:bCs/>
        </w:rPr>
        <w:t xml:space="preserve">adhérence sur sol </w:t>
      </w:r>
      <w:r w:rsidR="006A628F">
        <w:rPr>
          <w:b/>
          <w:bCs/>
        </w:rPr>
        <w:t>mouillé, énoncées au paragraphe </w:t>
      </w:r>
      <w:r w:rsidRPr="00790A20">
        <w:rPr>
          <w:b/>
          <w:bCs/>
        </w:rPr>
        <w:t>6.2.1 (pour les pneumatiques usés) du présent Règlement, et aux prescriptions relatives à la ré</w:t>
      </w:r>
      <w:r w:rsidR="006A628F">
        <w:rPr>
          <w:b/>
          <w:bCs/>
        </w:rPr>
        <w:t>sistance au roulement au niveau </w:t>
      </w:r>
      <w:r w:rsidRPr="00790A20">
        <w:rPr>
          <w:b/>
          <w:bCs/>
        </w:rPr>
        <w:t>1 ou 2, énoncées au paragraphe 6.3.1 ou 6.3.2 du présent Règlement.</w:t>
      </w:r>
      <w:r w:rsidRPr="00790A20">
        <w:t xml:space="preserve"> </w:t>
      </w:r>
    </w:p>
    <w:p w:rsidR="00790A20" w:rsidRPr="00790A20" w:rsidRDefault="00790A20" w:rsidP="00663832">
      <w:pPr>
        <w:pStyle w:val="SingleTxtG"/>
        <w:ind w:left="2268" w:hanging="1134"/>
        <w:rPr>
          <w:b/>
          <w:bCs/>
          <w:iCs/>
        </w:rPr>
      </w:pPr>
      <w:r w:rsidRPr="00790A20">
        <w:rPr>
          <w:b/>
          <w:bCs/>
        </w:rPr>
        <w:t>[12.10</w:t>
      </w:r>
      <w:r w:rsidRPr="00790A20">
        <w:tab/>
      </w:r>
      <w:r w:rsidRPr="00790A20">
        <w:rPr>
          <w:b/>
          <w:bCs/>
        </w:rPr>
        <w:t>À</w:t>
      </w:r>
      <w:r w:rsidRPr="00790A20">
        <w:t xml:space="preserve"> </w:t>
      </w:r>
      <w:r w:rsidRPr="00790A20">
        <w:rPr>
          <w:b/>
          <w:bCs/>
        </w:rPr>
        <w:t>compter du [1</w:t>
      </w:r>
      <w:r w:rsidRPr="006A628F">
        <w:rPr>
          <w:b/>
          <w:bCs/>
          <w:vertAlign w:val="superscript"/>
        </w:rPr>
        <w:t>er</w:t>
      </w:r>
      <w:r w:rsidR="006A628F">
        <w:rPr>
          <w:b/>
          <w:bCs/>
        </w:rPr>
        <w:t> </w:t>
      </w:r>
      <w:r w:rsidRPr="00790A20">
        <w:rPr>
          <w:b/>
          <w:bCs/>
        </w:rPr>
        <w:t>septembre 2026], les Parties contractantes appliquant le présent Règlement peuvent refuser d</w:t>
      </w:r>
      <w:r>
        <w:rPr>
          <w:b/>
          <w:bCs/>
        </w:rPr>
        <w:t>’</w:t>
      </w:r>
      <w:r w:rsidRPr="00790A20">
        <w:rPr>
          <w:b/>
          <w:bCs/>
        </w:rPr>
        <w:t>accorder l</w:t>
      </w:r>
      <w:r>
        <w:rPr>
          <w:b/>
          <w:bCs/>
        </w:rPr>
        <w:t>’</w:t>
      </w:r>
      <w:r w:rsidRPr="00790A20">
        <w:rPr>
          <w:b/>
          <w:bCs/>
        </w:rPr>
        <w:t>homologation si le type de pneumatique à homologuer ne satisfait pas aux prescriptions du présent Règlement tel que modifié pa</w:t>
      </w:r>
      <w:r w:rsidR="006A628F">
        <w:rPr>
          <w:b/>
          <w:bCs/>
        </w:rPr>
        <w:t>r le complément [10] à la série </w:t>
      </w:r>
      <w:r w:rsidRPr="00790A20">
        <w:rPr>
          <w:b/>
          <w:bCs/>
        </w:rPr>
        <w:t>02 d</w:t>
      </w:r>
      <w:r>
        <w:rPr>
          <w:b/>
          <w:bCs/>
        </w:rPr>
        <w:t>’</w:t>
      </w:r>
      <w:r w:rsidRPr="00790A20">
        <w:rPr>
          <w:b/>
          <w:bCs/>
        </w:rPr>
        <w:t>amendements et peuvent, en outre, refuser l</w:t>
      </w:r>
      <w:r>
        <w:rPr>
          <w:b/>
          <w:bCs/>
        </w:rPr>
        <w:t>’</w:t>
      </w:r>
      <w:r w:rsidRPr="00790A20">
        <w:rPr>
          <w:b/>
          <w:bCs/>
        </w:rPr>
        <w:t>homologation si les prescriptions relatives aux performances sur sol</w:t>
      </w:r>
      <w:r w:rsidR="006A628F">
        <w:rPr>
          <w:b/>
          <w:bCs/>
        </w:rPr>
        <w:t xml:space="preserve"> mouillé énoncées au paragraphe </w:t>
      </w:r>
      <w:r w:rsidRPr="00790A20">
        <w:rPr>
          <w:b/>
          <w:bCs/>
        </w:rPr>
        <w:t>6.2.1 (pour les pneumatiques usés) du présent Règlement ne sont pas respectées.]</w:t>
      </w:r>
    </w:p>
    <w:p w:rsidR="00790A20" w:rsidRPr="00790A20" w:rsidRDefault="00790A20" w:rsidP="00663832">
      <w:pPr>
        <w:pStyle w:val="SingleTxtG"/>
        <w:ind w:left="2268" w:hanging="1134"/>
        <w:rPr>
          <w:b/>
          <w:bCs/>
        </w:rPr>
      </w:pPr>
      <w:r w:rsidRPr="00790A20">
        <w:rPr>
          <w:b/>
          <w:bCs/>
        </w:rPr>
        <w:t>[12.11</w:t>
      </w:r>
      <w:r w:rsidRPr="00790A20">
        <w:tab/>
      </w:r>
      <w:r w:rsidRPr="00790A20">
        <w:rPr>
          <w:b/>
          <w:bCs/>
        </w:rPr>
        <w:t>À compter du [1</w:t>
      </w:r>
      <w:r w:rsidRPr="006A628F">
        <w:rPr>
          <w:b/>
          <w:bCs/>
          <w:vertAlign w:val="superscript"/>
        </w:rPr>
        <w:t>er</w:t>
      </w:r>
      <w:r w:rsidR="006A628F">
        <w:rPr>
          <w:b/>
          <w:bCs/>
        </w:rPr>
        <w:t> </w:t>
      </w:r>
      <w:r w:rsidRPr="00790A20">
        <w:rPr>
          <w:b/>
          <w:bCs/>
        </w:rPr>
        <w:t xml:space="preserve">septembre 2029], les Parties contractantes appliquant le présent Règlement peuvent interdire la vente ou la mise en service </w:t>
      </w:r>
      <w:r w:rsidRPr="00790A20">
        <w:rPr>
          <w:b/>
          <w:bCs/>
        </w:rPr>
        <w:lastRenderedPageBreak/>
        <w:t>d</w:t>
      </w:r>
      <w:r>
        <w:rPr>
          <w:b/>
          <w:bCs/>
        </w:rPr>
        <w:t>’</w:t>
      </w:r>
      <w:r w:rsidRPr="00790A20">
        <w:rPr>
          <w:b/>
          <w:bCs/>
        </w:rPr>
        <w:t>un pneumatique qui ne satisfait pas aux prescriptions du présent Règlement tel que modifié par le complément [10] à la série</w:t>
      </w:r>
      <w:r w:rsidR="006A628F">
        <w:rPr>
          <w:b/>
          <w:bCs/>
        </w:rPr>
        <w:t> </w:t>
      </w:r>
      <w:r w:rsidRPr="00790A20">
        <w:rPr>
          <w:b/>
          <w:bCs/>
        </w:rPr>
        <w:t>02 d</w:t>
      </w:r>
      <w:r>
        <w:rPr>
          <w:b/>
          <w:bCs/>
        </w:rPr>
        <w:t>’</w:t>
      </w:r>
      <w:r w:rsidRPr="00790A20">
        <w:rPr>
          <w:b/>
          <w:bCs/>
        </w:rPr>
        <w:t>amendements, et qui ne satisfait pas aux prescriptions du présent Règlement tel que modifié par la série</w:t>
      </w:r>
      <w:r w:rsidR="006A628F">
        <w:rPr>
          <w:b/>
          <w:bCs/>
        </w:rPr>
        <w:t> </w:t>
      </w:r>
      <w:r w:rsidRPr="00790A20">
        <w:rPr>
          <w:b/>
          <w:bCs/>
        </w:rPr>
        <w:t>02 d</w:t>
      </w:r>
      <w:r>
        <w:rPr>
          <w:b/>
          <w:bCs/>
        </w:rPr>
        <w:t>’</w:t>
      </w:r>
      <w:r w:rsidRPr="00790A20">
        <w:rPr>
          <w:b/>
          <w:bCs/>
        </w:rPr>
        <w:t>amendements, y compris aux prescriptions relatives à l</w:t>
      </w:r>
      <w:r>
        <w:rPr>
          <w:b/>
          <w:bCs/>
        </w:rPr>
        <w:t>’</w:t>
      </w:r>
      <w:r w:rsidRPr="00790A20">
        <w:rPr>
          <w:b/>
          <w:bCs/>
        </w:rPr>
        <w:t>adhérence sur sol mouillé, énoncées au paragraphe 6.2.1 (pour les pneumatiques usés) du présent Règlement.]</w:t>
      </w:r>
    </w:p>
    <w:p w:rsidR="00790A20" w:rsidRPr="00790A20" w:rsidRDefault="006A628F" w:rsidP="006A628F">
      <w:pPr>
        <w:pStyle w:val="SingleTxtG"/>
        <w:keepNext/>
        <w:keepLines/>
        <w:rPr>
          <w:i/>
        </w:rPr>
      </w:pPr>
      <w:r>
        <w:rPr>
          <w:i/>
          <w:iCs/>
        </w:rPr>
        <w:t>Annexe </w:t>
      </w:r>
      <w:r w:rsidR="00790A20" w:rsidRPr="00790A20">
        <w:rPr>
          <w:i/>
          <w:iCs/>
        </w:rPr>
        <w:t>1,</w:t>
      </w:r>
      <w:r w:rsidR="00790A20" w:rsidRPr="00790A20">
        <w:t xml:space="preserve"> </w:t>
      </w:r>
    </w:p>
    <w:p w:rsidR="00790A20" w:rsidRPr="00790A20" w:rsidRDefault="006A628F" w:rsidP="006A628F">
      <w:pPr>
        <w:pStyle w:val="SingleTxtG"/>
        <w:keepNext/>
        <w:keepLines/>
      </w:pPr>
      <w:r>
        <w:rPr>
          <w:i/>
          <w:iCs/>
        </w:rPr>
        <w:t>Points </w:t>
      </w:r>
      <w:r w:rsidR="00790A20" w:rsidRPr="00790A20">
        <w:rPr>
          <w:i/>
          <w:iCs/>
        </w:rPr>
        <w:t>6.1</w:t>
      </w:r>
      <w:r w:rsidR="00790A20" w:rsidRPr="00790A20">
        <w:t xml:space="preserve"> </w:t>
      </w:r>
      <w:r w:rsidR="00790A20" w:rsidRPr="00790A20">
        <w:rPr>
          <w:i/>
          <w:iCs/>
        </w:rPr>
        <w:t>et 6.2</w:t>
      </w:r>
      <w:r>
        <w:t>, lire :</w:t>
      </w:r>
    </w:p>
    <w:p w:rsidR="00790A20" w:rsidRPr="006A628F" w:rsidRDefault="006A628F" w:rsidP="00663832">
      <w:pPr>
        <w:pStyle w:val="SingleTxtG"/>
        <w:ind w:left="2268" w:hanging="1134"/>
      </w:pPr>
      <w:r>
        <w:t>« </w:t>
      </w:r>
      <w:r w:rsidR="00790A20" w:rsidRPr="00790A20">
        <w:t xml:space="preserve">6.1 </w:t>
      </w:r>
      <w:r w:rsidR="00790A20" w:rsidRPr="00790A20">
        <w:tab/>
        <w:t>Niveau sonore d</w:t>
      </w:r>
      <w:r w:rsidR="00790A20">
        <w:t>’</w:t>
      </w:r>
      <w:r w:rsidR="00790A20" w:rsidRPr="00790A20">
        <w:t>un pneumatique de dime</w:t>
      </w:r>
      <w:r>
        <w:t>nsion représentative (voir par. </w:t>
      </w:r>
      <w:r w:rsidR="00790A20" w:rsidRPr="00790A20">
        <w:t>2</w:t>
      </w:r>
      <w:r w:rsidR="00790A20" w:rsidRPr="00790A20">
        <w:rPr>
          <w:b/>
          <w:bCs/>
        </w:rPr>
        <w:t>.</w:t>
      </w:r>
      <w:r w:rsidR="00790A20" w:rsidRPr="002577CA">
        <w:rPr>
          <w:b/>
          <w:bCs/>
          <w:strike/>
        </w:rPr>
        <w:t>5</w:t>
      </w:r>
      <w:r w:rsidR="00790A20" w:rsidRPr="00790A20">
        <w:t xml:space="preserve"> du présent Règlement), comme indiqué au point 7 du procès-verbal d</w:t>
      </w:r>
      <w:r w:rsidR="00790A20">
        <w:t>’</w:t>
      </w:r>
      <w:r w:rsidR="00790A20" w:rsidRPr="00790A20">
        <w:t>essai de l</w:t>
      </w:r>
      <w:r w:rsidR="00790A20">
        <w:t>’</w:t>
      </w:r>
      <w:r w:rsidR="00790A20" w:rsidRPr="00790A20">
        <w:t>appendice</w:t>
      </w:r>
      <w:r>
        <w:t> </w:t>
      </w:r>
      <w:r w:rsidR="00790A20" w:rsidRPr="00790A20">
        <w:t>1</w:t>
      </w:r>
      <w:r w:rsidR="000C17FF">
        <w:t xml:space="preserve"> </w:t>
      </w:r>
      <w:r w:rsidR="00790A20" w:rsidRPr="00790A20">
        <w:t>de l</w:t>
      </w:r>
      <w:r w:rsidR="00790A20">
        <w:t>’</w:t>
      </w:r>
      <w:r>
        <w:t>annexe 3 </w:t>
      </w:r>
      <w:r w:rsidR="00790A20" w:rsidRPr="00790A20">
        <w:t xml:space="preserve">: ........................................ dB(A) à une vitesse </w:t>
      </w:r>
      <w:r>
        <w:t>de référence de 70/80 </w:t>
      </w:r>
      <w:r w:rsidR="00790A20" w:rsidRPr="00790A20">
        <w:t>km/h</w:t>
      </w:r>
      <w:r w:rsidR="00790A20" w:rsidRPr="00790A20">
        <w:rPr>
          <w:vertAlign w:val="superscript"/>
        </w:rPr>
        <w:t>2</w:t>
      </w:r>
      <w:r>
        <w:t>.</w:t>
      </w:r>
    </w:p>
    <w:p w:rsidR="00790A20" w:rsidRPr="00790A20" w:rsidRDefault="00790A20" w:rsidP="00663832">
      <w:pPr>
        <w:pStyle w:val="SingleTxtG"/>
        <w:ind w:left="2268" w:hanging="1134"/>
      </w:pPr>
      <w:r w:rsidRPr="00790A20">
        <w:t xml:space="preserve">6.2 </w:t>
      </w:r>
      <w:r w:rsidRPr="00790A20">
        <w:tab/>
        <w:t>Valeur d</w:t>
      </w:r>
      <w:r>
        <w:t>’</w:t>
      </w:r>
      <w:r w:rsidRPr="00790A20">
        <w:t>adhérence sur sol mouillé d</w:t>
      </w:r>
      <w:r>
        <w:t>’</w:t>
      </w:r>
      <w:r w:rsidRPr="00790A20">
        <w:t xml:space="preserve">un pneumatique </w:t>
      </w:r>
      <w:r w:rsidRPr="00790A20">
        <w:rPr>
          <w:b/>
          <w:bCs/>
        </w:rPr>
        <w:t>neuf</w:t>
      </w:r>
      <w:r w:rsidRPr="00790A20">
        <w:t xml:space="preserve"> de dime</w:t>
      </w:r>
      <w:r w:rsidR="006A628F">
        <w:t>nsion représentative (voir par. </w:t>
      </w:r>
      <w:r w:rsidRPr="00790A20">
        <w:t>2</w:t>
      </w:r>
      <w:r w:rsidRPr="00790A20">
        <w:rPr>
          <w:b/>
          <w:bCs/>
        </w:rPr>
        <w:t>.</w:t>
      </w:r>
      <w:r w:rsidRPr="002577CA">
        <w:rPr>
          <w:b/>
          <w:bCs/>
          <w:strike/>
        </w:rPr>
        <w:t>5</w:t>
      </w:r>
      <w:r w:rsidRPr="00790A20">
        <w:t xml:space="preserve"> du présent Règlement), </w:t>
      </w:r>
      <w:r w:rsidR="006A628F" w:rsidRPr="006A628F">
        <w:rPr>
          <w:b/>
          <w:bCs/>
          <w:strike/>
        </w:rPr>
        <w:t>comme indiqué au point </w:t>
      </w:r>
      <w:r w:rsidRPr="006A628F">
        <w:rPr>
          <w:b/>
          <w:bCs/>
          <w:strike/>
        </w:rPr>
        <w:t xml:space="preserve">7 </w:t>
      </w:r>
      <w:r w:rsidRPr="002577CA">
        <w:rPr>
          <w:b/>
          <w:bCs/>
          <w:strike/>
        </w:rPr>
        <w:t>du</w:t>
      </w:r>
      <w:r w:rsidRPr="002577CA">
        <w:rPr>
          <w:strike/>
        </w:rPr>
        <w:t xml:space="preserve"> </w:t>
      </w:r>
      <w:r w:rsidRPr="00790A20">
        <w:rPr>
          <w:b/>
          <w:bCs/>
        </w:rPr>
        <w:t>selon l</w:t>
      </w:r>
      <w:r>
        <w:rPr>
          <w:b/>
          <w:bCs/>
        </w:rPr>
        <w:t>’</w:t>
      </w:r>
      <w:r w:rsidRPr="00790A20">
        <w:rPr>
          <w:b/>
          <w:bCs/>
        </w:rPr>
        <w:t>indice d</w:t>
      </w:r>
      <w:r>
        <w:rPr>
          <w:b/>
          <w:bCs/>
        </w:rPr>
        <w:t>’</w:t>
      </w:r>
      <w:r w:rsidRPr="00790A20">
        <w:rPr>
          <w:b/>
          <w:bCs/>
        </w:rPr>
        <w:t>adhérence sur sol mouillé indiqué dans le</w:t>
      </w:r>
      <w:r w:rsidRPr="00790A20">
        <w:t xml:space="preserve"> procès-verbal d</w:t>
      </w:r>
      <w:r>
        <w:t>’</w:t>
      </w:r>
      <w:r w:rsidRPr="00790A20">
        <w:t>essai de l</w:t>
      </w:r>
      <w:r>
        <w:t>’</w:t>
      </w:r>
      <w:r w:rsidRPr="00790A20">
        <w:t>appendice</w:t>
      </w:r>
      <w:r w:rsidR="000C17FF">
        <w:t xml:space="preserve"> </w:t>
      </w:r>
      <w:r w:rsidRPr="00790A20">
        <w:t>de l</w:t>
      </w:r>
      <w:r>
        <w:t>’</w:t>
      </w:r>
      <w:r w:rsidR="006A628F">
        <w:t>annexe </w:t>
      </w:r>
      <w:r w:rsidRPr="00790A20">
        <w:t>5</w:t>
      </w:r>
      <w:r w:rsidR="006A628F">
        <w:t xml:space="preserve"> : </w:t>
      </w:r>
      <w:r w:rsidRPr="00790A20">
        <w:t>…........................</w:t>
      </w:r>
      <w:r w:rsidR="006A628F">
        <w:t xml:space="preserve"> </w:t>
      </w:r>
      <w:r w:rsidRPr="00790A20">
        <w:t>.......................... (G), déterminée par la méthode du véhicule d</w:t>
      </w:r>
      <w:r>
        <w:t>’</w:t>
      </w:r>
      <w:r w:rsidRPr="00790A20">
        <w:t>essai/de la remorque d</w:t>
      </w:r>
      <w:r>
        <w:t>’</w:t>
      </w:r>
      <w:r w:rsidRPr="00790A20">
        <w:t>essai</w:t>
      </w:r>
      <w:r w:rsidRPr="00790A20">
        <w:rPr>
          <w:vertAlign w:val="superscript"/>
        </w:rPr>
        <w:t>2</w:t>
      </w:r>
      <w:r w:rsidR="006A628F">
        <w:t>. »</w:t>
      </w:r>
    </w:p>
    <w:p w:rsidR="00790A20" w:rsidRPr="00790A20" w:rsidRDefault="00790A20" w:rsidP="006A628F">
      <w:pPr>
        <w:pStyle w:val="SingleTxtG"/>
        <w:keepNext/>
        <w:keepLines/>
      </w:pPr>
      <w:r w:rsidRPr="00790A20">
        <w:rPr>
          <w:i/>
          <w:iCs/>
        </w:rPr>
        <w:t>Ajouter</w:t>
      </w:r>
      <w:r w:rsidR="000C17FF">
        <w:rPr>
          <w:i/>
          <w:iCs/>
        </w:rPr>
        <w:t xml:space="preserve"> </w:t>
      </w:r>
      <w:r w:rsidR="006A628F">
        <w:rPr>
          <w:i/>
          <w:iCs/>
        </w:rPr>
        <w:t>le nouveau point </w:t>
      </w:r>
      <w:r w:rsidRPr="00790A20">
        <w:rPr>
          <w:i/>
          <w:iCs/>
        </w:rPr>
        <w:t>6.3</w:t>
      </w:r>
      <w:r w:rsidRPr="002577CA">
        <w:t>,</w:t>
      </w:r>
      <w:r w:rsidR="006A628F">
        <w:t xml:space="preserve"> libellé comme suit :</w:t>
      </w:r>
    </w:p>
    <w:p w:rsidR="00790A20" w:rsidRPr="006A628F" w:rsidRDefault="006A628F" w:rsidP="00663832">
      <w:pPr>
        <w:pStyle w:val="SingleTxtG"/>
        <w:ind w:left="2268" w:hanging="1134"/>
      </w:pPr>
      <w:r>
        <w:rPr>
          <w:bCs/>
        </w:rPr>
        <w:t>« </w:t>
      </w:r>
      <w:r w:rsidR="00790A20" w:rsidRPr="00790A20">
        <w:rPr>
          <w:b/>
          <w:bCs/>
        </w:rPr>
        <w:t>6.3</w:t>
      </w:r>
      <w:r w:rsidR="00790A20" w:rsidRPr="00790A20">
        <w:t xml:space="preserve"> </w:t>
      </w:r>
      <w:r w:rsidR="00790A20" w:rsidRPr="00790A20">
        <w:tab/>
      </w:r>
      <w:r w:rsidR="00790A20" w:rsidRPr="00790A20">
        <w:rPr>
          <w:b/>
          <w:bCs/>
        </w:rPr>
        <w:t>Valeur d</w:t>
      </w:r>
      <w:r w:rsidR="00790A20">
        <w:rPr>
          <w:b/>
          <w:bCs/>
        </w:rPr>
        <w:t>’</w:t>
      </w:r>
      <w:r w:rsidR="00790A20" w:rsidRPr="00790A20">
        <w:rPr>
          <w:b/>
          <w:bCs/>
        </w:rPr>
        <w:t>adhérence sur sol mouillé d</w:t>
      </w:r>
      <w:r w:rsidR="00790A20">
        <w:rPr>
          <w:b/>
          <w:bCs/>
        </w:rPr>
        <w:t>’</w:t>
      </w:r>
      <w:r w:rsidR="00790A20" w:rsidRPr="00790A20">
        <w:rPr>
          <w:b/>
          <w:bCs/>
        </w:rPr>
        <w:t>un pneumatique usé de dime</w:t>
      </w:r>
      <w:r>
        <w:rPr>
          <w:b/>
          <w:bCs/>
        </w:rPr>
        <w:t>nsion représentative (voir par. </w:t>
      </w:r>
      <w:r w:rsidR="00790A20" w:rsidRPr="00790A20">
        <w:rPr>
          <w:b/>
          <w:bCs/>
        </w:rPr>
        <w:t>2 du présent Règlement), selon l</w:t>
      </w:r>
      <w:r w:rsidR="00790A20">
        <w:rPr>
          <w:b/>
          <w:bCs/>
        </w:rPr>
        <w:t>’</w:t>
      </w:r>
      <w:r w:rsidR="00790A20" w:rsidRPr="00790A20">
        <w:rPr>
          <w:b/>
          <w:bCs/>
        </w:rPr>
        <w:t>indice d</w:t>
      </w:r>
      <w:r w:rsidR="00790A20">
        <w:rPr>
          <w:b/>
          <w:bCs/>
        </w:rPr>
        <w:t>’</w:t>
      </w:r>
      <w:r w:rsidR="00790A20" w:rsidRPr="00790A20">
        <w:rPr>
          <w:b/>
          <w:bCs/>
        </w:rPr>
        <w:t>adhérence sur sol mouillé indiqué dans le procès-verbal d</w:t>
      </w:r>
      <w:r w:rsidR="00790A20">
        <w:rPr>
          <w:b/>
          <w:bCs/>
        </w:rPr>
        <w:t>’</w:t>
      </w:r>
      <w:r w:rsidR="00790A20" w:rsidRPr="00790A20">
        <w:rPr>
          <w:b/>
          <w:bCs/>
        </w:rPr>
        <w:t>essai de l</w:t>
      </w:r>
      <w:r w:rsidR="00790A20">
        <w:rPr>
          <w:b/>
          <w:bCs/>
        </w:rPr>
        <w:t>’</w:t>
      </w:r>
      <w:r w:rsidR="00790A20" w:rsidRPr="00790A20">
        <w:rPr>
          <w:b/>
          <w:bCs/>
        </w:rPr>
        <w:t>appendice</w:t>
      </w:r>
      <w:r w:rsidR="000C17FF">
        <w:rPr>
          <w:b/>
          <w:bCs/>
        </w:rPr>
        <w:t xml:space="preserve"> </w:t>
      </w:r>
      <w:r w:rsidR="00790A20" w:rsidRPr="00790A20">
        <w:rPr>
          <w:b/>
          <w:bCs/>
        </w:rPr>
        <w:t>de l</w:t>
      </w:r>
      <w:r w:rsidR="00790A20">
        <w:rPr>
          <w:b/>
          <w:bCs/>
        </w:rPr>
        <w:t>’</w:t>
      </w:r>
      <w:r>
        <w:rPr>
          <w:b/>
          <w:bCs/>
        </w:rPr>
        <w:t>annexe 5 </w:t>
      </w:r>
      <w:r w:rsidR="00790A20" w:rsidRPr="00790A20">
        <w:rPr>
          <w:b/>
          <w:bCs/>
        </w:rPr>
        <w:t>: ...................................................</w:t>
      </w:r>
      <w:r w:rsidR="00827126">
        <w:rPr>
          <w:b/>
          <w:bCs/>
        </w:rPr>
        <w:t>...................</w:t>
      </w:r>
      <w:r w:rsidR="00790A20" w:rsidRPr="00790A20">
        <w:rPr>
          <w:b/>
          <w:bCs/>
        </w:rPr>
        <w:t xml:space="preserve"> (G), déterminée par la méthode du véhicule d</w:t>
      </w:r>
      <w:r w:rsidR="00790A20">
        <w:rPr>
          <w:b/>
          <w:bCs/>
        </w:rPr>
        <w:t>’</w:t>
      </w:r>
      <w:r w:rsidR="00790A20" w:rsidRPr="00790A20">
        <w:rPr>
          <w:b/>
          <w:bCs/>
        </w:rPr>
        <w:t>essai/de la remorque d</w:t>
      </w:r>
      <w:r w:rsidR="00790A20">
        <w:rPr>
          <w:b/>
          <w:bCs/>
        </w:rPr>
        <w:t>’</w:t>
      </w:r>
      <w:r w:rsidR="00790A20" w:rsidRPr="00790A20">
        <w:rPr>
          <w:b/>
          <w:bCs/>
        </w:rPr>
        <w:t>essai</w:t>
      </w:r>
      <w:r w:rsidR="00790A20" w:rsidRPr="00790A20">
        <w:rPr>
          <w:b/>
          <w:bCs/>
          <w:vertAlign w:val="superscript"/>
        </w:rPr>
        <w:t>2</w:t>
      </w:r>
      <w:r>
        <w:t>. »</w:t>
      </w:r>
    </w:p>
    <w:p w:rsidR="00790A20" w:rsidRPr="00790A20" w:rsidRDefault="006A628F" w:rsidP="006A628F">
      <w:pPr>
        <w:pStyle w:val="SingleTxtG"/>
        <w:keepNext/>
        <w:keepLines/>
        <w:rPr>
          <w:i/>
        </w:rPr>
      </w:pPr>
      <w:r>
        <w:rPr>
          <w:i/>
          <w:iCs/>
        </w:rPr>
        <w:t>Les points </w:t>
      </w:r>
      <w:r w:rsidR="00790A20" w:rsidRPr="00790A20">
        <w:rPr>
          <w:i/>
          <w:iCs/>
        </w:rPr>
        <w:t>6.3</w:t>
      </w:r>
      <w:r w:rsidR="00790A20" w:rsidRPr="00790A20">
        <w:t xml:space="preserve"> </w:t>
      </w:r>
      <w:r w:rsidR="00790A20" w:rsidRPr="00790A20">
        <w:rPr>
          <w:i/>
        </w:rPr>
        <w:t>(actuel) et 6.4</w:t>
      </w:r>
      <w:r w:rsidR="00790A20" w:rsidRPr="00790A20">
        <w:t xml:space="preserve"> deviennent les points 6.4 et 6.5</w:t>
      </w:r>
      <w:r w:rsidR="000C17FF">
        <w:t xml:space="preserve"> </w:t>
      </w:r>
      <w:r>
        <w:t>et sont modifiés comme suit :</w:t>
      </w:r>
    </w:p>
    <w:p w:rsidR="00790A20" w:rsidRPr="00790A20" w:rsidRDefault="006A628F" w:rsidP="00663832">
      <w:pPr>
        <w:pStyle w:val="SingleTxtG"/>
        <w:ind w:left="2268" w:hanging="1134"/>
      </w:pPr>
      <w:r>
        <w:rPr>
          <w:bCs/>
        </w:rPr>
        <w:t>« </w:t>
      </w:r>
      <w:r w:rsidR="00790A20" w:rsidRPr="00790A20">
        <w:rPr>
          <w:b/>
          <w:bCs/>
        </w:rPr>
        <w:t>6.</w:t>
      </w:r>
      <w:r w:rsidR="00790A20" w:rsidRPr="002577CA">
        <w:rPr>
          <w:b/>
          <w:bCs/>
          <w:strike/>
        </w:rPr>
        <w:t>3</w:t>
      </w:r>
      <w:r w:rsidR="00790A20" w:rsidRPr="00790A20">
        <w:rPr>
          <w:b/>
          <w:bCs/>
        </w:rPr>
        <w:t>4</w:t>
      </w:r>
      <w:r w:rsidR="00790A20" w:rsidRPr="00790A20">
        <w:t xml:space="preserve"> </w:t>
      </w:r>
      <w:r w:rsidR="00790A20" w:rsidRPr="00790A20">
        <w:tab/>
        <w:t>Niveau de résistance au roulement d</w:t>
      </w:r>
      <w:r w:rsidR="00790A20">
        <w:t>’</w:t>
      </w:r>
      <w:r w:rsidR="00790A20" w:rsidRPr="00790A20">
        <w:t>un pneumatique de dime</w:t>
      </w:r>
      <w:r>
        <w:t>nsion représentative (voir par. </w:t>
      </w:r>
      <w:r w:rsidR="00790A20" w:rsidRPr="00790A20">
        <w:t>2</w:t>
      </w:r>
      <w:r w:rsidR="00790A20" w:rsidRPr="00790A20">
        <w:rPr>
          <w:bCs/>
        </w:rPr>
        <w:t>.</w:t>
      </w:r>
      <w:r w:rsidR="00790A20" w:rsidRPr="002577CA">
        <w:rPr>
          <w:b/>
          <w:bCs/>
          <w:strike/>
        </w:rPr>
        <w:t>5</w:t>
      </w:r>
      <w:r w:rsidR="00790A20" w:rsidRPr="00790A20">
        <w:t xml:space="preserve"> du présent Règlement), comme indiqué au point</w:t>
      </w:r>
      <w:r w:rsidR="002577CA">
        <w:t> </w:t>
      </w:r>
      <w:r w:rsidR="00790A20" w:rsidRPr="00790A20">
        <w:t>7 du procès-verbal d</w:t>
      </w:r>
      <w:r w:rsidR="00790A20">
        <w:t>’</w:t>
      </w:r>
      <w:r w:rsidR="00790A20" w:rsidRPr="00790A20">
        <w:t>essai de l</w:t>
      </w:r>
      <w:r w:rsidR="00790A20">
        <w:t>’</w:t>
      </w:r>
      <w:r w:rsidR="00790A20" w:rsidRPr="00790A20">
        <w:t xml:space="preserve">appendice </w:t>
      </w:r>
      <w:r w:rsidR="00790A20" w:rsidRPr="00510484">
        <w:rPr>
          <w:b/>
          <w:bCs/>
          <w:strike/>
        </w:rPr>
        <w:t>1</w:t>
      </w:r>
      <w:r w:rsidR="00790A20" w:rsidRPr="00790A20">
        <w:rPr>
          <w:b/>
          <w:bCs/>
        </w:rPr>
        <w:t xml:space="preserve"> 3</w:t>
      </w:r>
      <w:r w:rsidR="000C17FF">
        <w:t xml:space="preserve"> </w:t>
      </w:r>
      <w:r w:rsidR="00790A20" w:rsidRPr="00790A20">
        <w:t>de l</w:t>
      </w:r>
      <w:r w:rsidR="00790A20">
        <w:t>’</w:t>
      </w:r>
      <w:r>
        <w:t>annexe </w:t>
      </w:r>
      <w:r w:rsidR="00790A20" w:rsidRPr="00790A20">
        <w:t xml:space="preserve">6. </w:t>
      </w:r>
    </w:p>
    <w:p w:rsidR="00790A20" w:rsidRPr="00790A20" w:rsidRDefault="00790A20" w:rsidP="00663832">
      <w:pPr>
        <w:pStyle w:val="SingleTxtG"/>
        <w:ind w:left="2268" w:hanging="1134"/>
      </w:pPr>
      <w:r w:rsidRPr="00790A20">
        <w:rPr>
          <w:b/>
        </w:rPr>
        <w:t>6.</w:t>
      </w:r>
      <w:r w:rsidRPr="002577CA">
        <w:rPr>
          <w:b/>
          <w:strike/>
        </w:rPr>
        <w:t>4</w:t>
      </w:r>
      <w:r w:rsidRPr="00790A20">
        <w:rPr>
          <w:b/>
        </w:rPr>
        <w:t>5</w:t>
      </w:r>
      <w:r w:rsidRPr="00790A20">
        <w:t xml:space="preserve"> </w:t>
      </w:r>
      <w:r w:rsidRPr="00790A20">
        <w:tab/>
        <w:t>Indice de performances sur la neige de la dimension de pneumatique représentative, voir paragraphe 2</w:t>
      </w:r>
      <w:r w:rsidRPr="00790A20">
        <w:rPr>
          <w:b/>
          <w:bCs/>
        </w:rPr>
        <w:t>.</w:t>
      </w:r>
      <w:r w:rsidRPr="00510484">
        <w:rPr>
          <w:b/>
          <w:bCs/>
          <w:strike/>
        </w:rPr>
        <w:t>5</w:t>
      </w:r>
      <w:r w:rsidRPr="00790A20">
        <w:rPr>
          <w:b/>
          <w:bCs/>
        </w:rPr>
        <w:t xml:space="preserve"> </w:t>
      </w:r>
      <w:r w:rsidRPr="00790A20">
        <w:t xml:space="preserve">du </w:t>
      </w:r>
      <w:r w:rsidRPr="00790A20">
        <w:rPr>
          <w:b/>
          <w:bCs/>
        </w:rPr>
        <w:t>présent</w:t>
      </w:r>
      <w:r w:rsidRPr="00790A20">
        <w:t xml:space="preserve"> Règlement </w:t>
      </w:r>
      <w:r w:rsidR="00510484" w:rsidRPr="00A60142">
        <w:rPr>
          <w:rFonts w:eastAsia="MS Mincho"/>
          <w:b/>
          <w:bCs/>
          <w:strike/>
          <w:szCs w:val="22"/>
        </w:rPr>
        <w:t>n</w:t>
      </w:r>
      <w:r w:rsidR="00510484" w:rsidRPr="00A60142">
        <w:rPr>
          <w:rFonts w:eastAsia="MS Mincho"/>
          <w:b/>
          <w:bCs/>
          <w:strike/>
          <w:szCs w:val="22"/>
          <w:vertAlign w:val="superscript"/>
        </w:rPr>
        <w:t>o</w:t>
      </w:r>
      <w:r w:rsidR="00510484" w:rsidRPr="00A60142">
        <w:rPr>
          <w:rFonts w:eastAsia="MS Mincho"/>
          <w:b/>
          <w:bCs/>
          <w:strike/>
          <w:szCs w:val="22"/>
        </w:rPr>
        <w:t> </w:t>
      </w:r>
      <w:r w:rsidRPr="00A60142">
        <w:rPr>
          <w:b/>
          <w:bCs/>
          <w:strike/>
        </w:rPr>
        <w:t>117</w:t>
      </w:r>
      <w:r w:rsidR="00510484">
        <w:t>, selon le point </w:t>
      </w:r>
      <w:r w:rsidRPr="00790A20">
        <w:t>7 du procès-verbal d</w:t>
      </w:r>
      <w:r>
        <w:t>’</w:t>
      </w:r>
      <w:r w:rsidRPr="00790A20">
        <w:t>essai de l</w:t>
      </w:r>
      <w:r>
        <w:t>’</w:t>
      </w:r>
      <w:r w:rsidRPr="00790A20">
        <w:t>appendice</w:t>
      </w:r>
      <w:r w:rsidRPr="00790A20">
        <w:rPr>
          <w:vertAlign w:val="superscript"/>
        </w:rPr>
        <w:t>3</w:t>
      </w:r>
      <w:r w:rsidRPr="00790A20">
        <w:t xml:space="preserve"> de l</w:t>
      </w:r>
      <w:r>
        <w:t>’</w:t>
      </w:r>
      <w:r w:rsidR="00F047C7">
        <w:t>annexe </w:t>
      </w:r>
      <w:r w:rsidRPr="00790A20">
        <w:t>7</w:t>
      </w:r>
      <w:r w:rsidR="002577CA">
        <w:t> </w:t>
      </w:r>
      <w:r w:rsidRPr="00790A20">
        <w:t>:</w:t>
      </w:r>
      <w:r w:rsidR="002577CA">
        <w:t xml:space="preserve"> ...</w:t>
      </w:r>
      <w:r w:rsidR="000C17FF">
        <w:t xml:space="preserve"> </w:t>
      </w:r>
      <w:r w:rsidRPr="00790A20">
        <w:t>(Indice de performances sur la neige) déterminé par la méthode d</w:t>
      </w:r>
      <w:r>
        <w:t>’</w:t>
      </w:r>
      <w:r w:rsidRPr="00790A20">
        <w:t>essai de freinage sur neige</w:t>
      </w:r>
      <w:r w:rsidRPr="00790A20">
        <w:rPr>
          <w:vertAlign w:val="superscript"/>
        </w:rPr>
        <w:t>2</w:t>
      </w:r>
      <w:r w:rsidRPr="00790A20">
        <w:t>, par la méthode d</w:t>
      </w:r>
      <w:r>
        <w:t>’</w:t>
      </w:r>
      <w:r w:rsidRPr="00790A20">
        <w:t>essai de traction sur neige</w:t>
      </w:r>
      <w:r w:rsidRPr="00790A20">
        <w:rPr>
          <w:vertAlign w:val="superscript"/>
        </w:rPr>
        <w:t>2</w:t>
      </w:r>
      <w:r w:rsidRPr="00790A20">
        <w:t xml:space="preserve"> ou par la méthode d</w:t>
      </w:r>
      <w:r>
        <w:t>’</w:t>
      </w:r>
      <w:r w:rsidRPr="00790A20">
        <w:t>essai d</w:t>
      </w:r>
      <w:r>
        <w:t>’</w:t>
      </w:r>
      <w:r w:rsidRPr="00790A20">
        <w:t>accélération</w:t>
      </w:r>
      <w:r w:rsidRPr="00790A20">
        <w:rPr>
          <w:vertAlign w:val="superscript"/>
        </w:rPr>
        <w:t>2</w:t>
      </w:r>
      <w:r w:rsidR="00F047C7">
        <w:t>.</w:t>
      </w:r>
      <w:r w:rsidR="00827126">
        <w:t> </w:t>
      </w:r>
      <w:r w:rsidR="00F047C7">
        <w:t>»</w:t>
      </w:r>
    </w:p>
    <w:p w:rsidR="00790A20" w:rsidRPr="00790A20" w:rsidRDefault="00510484" w:rsidP="00510484">
      <w:pPr>
        <w:pStyle w:val="SingleTxtG"/>
        <w:keepNext/>
        <w:keepLines/>
      </w:pPr>
      <w:r>
        <w:rPr>
          <w:i/>
        </w:rPr>
        <w:t>Annexe 2, appendice </w:t>
      </w:r>
      <w:r w:rsidR="00790A20" w:rsidRPr="00790A20">
        <w:rPr>
          <w:i/>
        </w:rPr>
        <w:t>1</w:t>
      </w:r>
      <w:r w:rsidR="00790A20" w:rsidRPr="00790A20">
        <w:t>, ajouter un nouve</w:t>
      </w:r>
      <w:r>
        <w:t>l exemple 3, libellé comme suit :</w:t>
      </w:r>
    </w:p>
    <w:p w:rsidR="00790A20" w:rsidRPr="00790A20" w:rsidRDefault="00510484" w:rsidP="00790A20">
      <w:pPr>
        <w:pStyle w:val="SingleTxtG"/>
        <w:rPr>
          <w:b/>
          <w:u w:val="single"/>
        </w:rPr>
      </w:pPr>
      <w:r>
        <w:rPr>
          <w:bCs/>
        </w:rPr>
        <w:t>« </w:t>
      </w:r>
      <w:r w:rsidR="00034820">
        <w:rPr>
          <w:b/>
          <w:bCs/>
          <w:u w:val="single"/>
        </w:rPr>
        <w:t>Exemple </w:t>
      </w:r>
      <w:r w:rsidR="00790A20" w:rsidRPr="00790A20">
        <w:rPr>
          <w:b/>
          <w:bCs/>
          <w:u w:val="single"/>
        </w:rPr>
        <w:t>3</w:t>
      </w:r>
    </w:p>
    <w:p w:rsidR="00790A20" w:rsidRPr="00790A20" w:rsidRDefault="00790A20" w:rsidP="00510484">
      <w:pPr>
        <w:pStyle w:val="SingleTxtG"/>
        <w:ind w:left="2268"/>
      </w:pPr>
      <w:r w:rsidRPr="00790A20">
        <w:rPr>
          <w:noProof/>
        </w:rPr>
        <mc:AlternateContent>
          <mc:Choice Requires="wps">
            <w:drawing>
              <wp:anchor distT="0" distB="0" distL="114300" distR="114300" simplePos="0" relativeHeight="251658240" behindDoc="0" locked="0" layoutInCell="1" allowOverlap="1" wp14:anchorId="0377FF1F" wp14:editId="2D82ECC1">
                <wp:simplePos x="0" y="0"/>
                <wp:positionH relativeFrom="column">
                  <wp:posOffset>2242185</wp:posOffset>
                </wp:positionH>
                <wp:positionV relativeFrom="paragraph">
                  <wp:posOffset>1102792</wp:posOffset>
                </wp:positionV>
                <wp:extent cx="2569845" cy="3854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832" w:rsidRPr="00984FDE" w:rsidRDefault="00663832" w:rsidP="00790A20">
                            <w:pPr>
                              <w:rPr>
                                <w:sz w:val="44"/>
                                <w:szCs w:val="44"/>
                              </w:rPr>
                            </w:pPr>
                            <w:r>
                              <w:rPr>
                                <w:b/>
                                <w:bCs/>
                                <w:lang w:val="fr-FR"/>
                              </w:rPr>
                              <w:t>0212345 S1WBR1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FF1F" id="_x0000_t202" coordsize="21600,21600" o:spt="202" path="m,l,21600r21600,l21600,xe">
                <v:stroke joinstyle="miter"/>
                <v:path gradientshapeok="t" o:connecttype="rect"/>
              </v:shapetype>
              <v:shape id="Text Box 3" o:spid="_x0000_s1026" type="#_x0000_t202" style="position:absolute;left:0;text-align:left;margin-left:176.55pt;margin-top:86.85pt;width:202.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" stroked="f">
                <v:textbox>
                  <w:txbxContent>
                    <w:p w:rsidR="00663832" w:rsidRPr="00984FDE" w:rsidRDefault="00663832" w:rsidP="00790A20">
                      <w:pPr>
                        <w:rPr>
                          <w:sz w:val="44"/>
                          <w:szCs w:val="44"/>
                        </w:rPr>
                      </w:pPr>
                      <w:r>
                        <w:rPr>
                          <w:b/>
                          <w:bCs/>
                          <w:lang w:val="fr-FR"/>
                        </w:rPr>
                        <w:t>0212345 S1WBR1</w:t>
                      </w:r>
                    </w:p>
                  </w:txbxContent>
                </v:textbox>
              </v:shape>
            </w:pict>
          </mc:Fallback>
        </mc:AlternateContent>
      </w:r>
      <w:r w:rsidRPr="00790A20">
        <w:rPr>
          <w:noProof/>
        </w:rPr>
        <w:drawing>
          <wp:inline distT="0" distB="0" distL="0" distR="0" wp14:anchorId="12C16D33" wp14:editId="21870323">
            <wp:extent cx="3209290" cy="1466215"/>
            <wp:effectExtent l="0" t="0" r="0" b="635"/>
            <wp:docPr id="6" name="Image 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17 Exampl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290" cy="1466215"/>
                    </a:xfrm>
                    <a:prstGeom prst="rect">
                      <a:avLst/>
                    </a:prstGeom>
                    <a:noFill/>
                    <a:ln>
                      <a:noFill/>
                    </a:ln>
                  </pic:spPr>
                </pic:pic>
              </a:graphicData>
            </a:graphic>
          </wp:inline>
        </w:drawing>
      </w:r>
    </w:p>
    <w:p w:rsidR="00790A20" w:rsidRPr="00790A20" w:rsidRDefault="00790A20" w:rsidP="00510484">
      <w:pPr>
        <w:pStyle w:val="SingleTxtG"/>
        <w:spacing w:before="240"/>
        <w:rPr>
          <w:b/>
        </w:rPr>
      </w:pPr>
      <w:r w:rsidRPr="00790A20">
        <w:rPr>
          <w:b/>
          <w:bCs/>
        </w:rPr>
        <w:t>La marque d</w:t>
      </w:r>
      <w:r>
        <w:rPr>
          <w:b/>
          <w:bCs/>
        </w:rPr>
        <w:t>’</w:t>
      </w:r>
      <w:r w:rsidRPr="00790A20">
        <w:rPr>
          <w:b/>
          <w:bCs/>
        </w:rPr>
        <w:t xml:space="preserve">homologation ci-dessus indique que le pneumatique a été homologué aux Pays-Bas (E 4) conformément au Règlement </w:t>
      </w:r>
      <w:r w:rsidR="00510484" w:rsidRPr="00510484">
        <w:rPr>
          <w:rFonts w:eastAsia="MS Mincho"/>
          <w:b/>
          <w:bCs/>
          <w:szCs w:val="22"/>
        </w:rPr>
        <w:t>n</w:t>
      </w:r>
      <w:r w:rsidR="00510484" w:rsidRPr="00510484">
        <w:rPr>
          <w:rFonts w:eastAsia="MS Mincho"/>
          <w:b/>
          <w:bCs/>
          <w:szCs w:val="22"/>
          <w:vertAlign w:val="superscript"/>
        </w:rPr>
        <w:t>o</w:t>
      </w:r>
      <w:r w:rsidR="00510484">
        <w:rPr>
          <w:b/>
          <w:bCs/>
        </w:rPr>
        <w:t> </w:t>
      </w:r>
      <w:r w:rsidRPr="00790A20">
        <w:rPr>
          <w:b/>
          <w:bCs/>
        </w:rPr>
        <w:t xml:space="preserve">117, pour </w:t>
      </w:r>
      <w:r w:rsidR="00510484">
        <w:rPr>
          <w:b/>
          <w:bCs/>
        </w:rPr>
        <w:t>le bruit de roulement au niveau </w:t>
      </w:r>
      <w:r w:rsidRPr="00790A20">
        <w:rPr>
          <w:b/>
          <w:bCs/>
        </w:rPr>
        <w:t>1 (S1), l</w:t>
      </w:r>
      <w:r>
        <w:rPr>
          <w:b/>
          <w:bCs/>
        </w:rPr>
        <w:t>’</w:t>
      </w:r>
      <w:r w:rsidRPr="00790A20">
        <w:rPr>
          <w:b/>
          <w:bCs/>
        </w:rPr>
        <w:t>adhérence sur sol mouillé à l</w:t>
      </w:r>
      <w:r>
        <w:rPr>
          <w:b/>
          <w:bCs/>
        </w:rPr>
        <w:t>’</w:t>
      </w:r>
      <w:r w:rsidRPr="00790A20">
        <w:rPr>
          <w:b/>
          <w:bCs/>
        </w:rPr>
        <w:t>état neuf (W), l</w:t>
      </w:r>
      <w:r>
        <w:rPr>
          <w:b/>
          <w:bCs/>
        </w:rPr>
        <w:t>’</w:t>
      </w:r>
      <w:r w:rsidRPr="00790A20">
        <w:rPr>
          <w:b/>
          <w:bCs/>
        </w:rPr>
        <w:t>adhérence sur sol mouillé à l</w:t>
      </w:r>
      <w:r>
        <w:rPr>
          <w:b/>
          <w:bCs/>
        </w:rPr>
        <w:t>’</w:t>
      </w:r>
      <w:r w:rsidRPr="00790A20">
        <w:rPr>
          <w:b/>
          <w:bCs/>
        </w:rPr>
        <w:t>état usé (B) et la ré</w:t>
      </w:r>
      <w:r w:rsidR="00510484">
        <w:rPr>
          <w:b/>
          <w:bCs/>
        </w:rPr>
        <w:t>sistance au roulement au niveau </w:t>
      </w:r>
      <w:r w:rsidRPr="00790A20">
        <w:rPr>
          <w:b/>
          <w:bCs/>
        </w:rPr>
        <w:t>1 (R1) (suffixe S1WBR1), sous le numéro d</w:t>
      </w:r>
      <w:r>
        <w:rPr>
          <w:b/>
          <w:bCs/>
        </w:rPr>
        <w:t>’</w:t>
      </w:r>
      <w:r w:rsidRPr="00790A20">
        <w:rPr>
          <w:b/>
          <w:bCs/>
        </w:rPr>
        <w:t>homologation 0212345.</w:t>
      </w:r>
      <w:r w:rsidR="000C17FF">
        <w:t xml:space="preserve"> </w:t>
      </w:r>
      <w:r w:rsidRPr="00790A20">
        <w:rPr>
          <w:b/>
          <w:bCs/>
        </w:rPr>
        <w:t>Les deux pr</w:t>
      </w:r>
      <w:r w:rsidR="00332243">
        <w:rPr>
          <w:b/>
          <w:bCs/>
        </w:rPr>
        <w:t>emiers chiffres de ce numéro </w:t>
      </w:r>
      <w:r w:rsidRPr="00790A20">
        <w:rPr>
          <w:b/>
          <w:bCs/>
        </w:rPr>
        <w:t xml:space="preserve">(02) </w:t>
      </w:r>
      <w:r w:rsidRPr="00790A20">
        <w:rPr>
          <w:b/>
          <w:bCs/>
        </w:rPr>
        <w:lastRenderedPageBreak/>
        <w:t>signifient que l</w:t>
      </w:r>
      <w:r>
        <w:rPr>
          <w:b/>
          <w:bCs/>
        </w:rPr>
        <w:t>’</w:t>
      </w:r>
      <w:r w:rsidRPr="00790A20">
        <w:rPr>
          <w:b/>
          <w:bCs/>
        </w:rPr>
        <w:t>homologation a été a</w:t>
      </w:r>
      <w:r w:rsidR="00510484">
        <w:rPr>
          <w:b/>
          <w:bCs/>
        </w:rPr>
        <w:t>ccordée conformément à la série </w:t>
      </w:r>
      <w:r w:rsidRPr="00790A20">
        <w:rPr>
          <w:b/>
          <w:bCs/>
        </w:rPr>
        <w:t>02 d</w:t>
      </w:r>
      <w:r>
        <w:rPr>
          <w:b/>
          <w:bCs/>
        </w:rPr>
        <w:t>’</w:t>
      </w:r>
      <w:r w:rsidRPr="00790A20">
        <w:rPr>
          <w:b/>
          <w:bCs/>
        </w:rPr>
        <w:t>amendements au Règlement.</w:t>
      </w:r>
    </w:p>
    <w:p w:rsidR="00790A20" w:rsidRPr="00790A20" w:rsidRDefault="00510484" w:rsidP="00510484">
      <w:pPr>
        <w:pStyle w:val="SingleTxtG"/>
        <w:keepNext/>
        <w:keepLines/>
        <w:rPr>
          <w:i/>
        </w:rPr>
      </w:pPr>
      <w:r>
        <w:rPr>
          <w:i/>
          <w:iCs/>
        </w:rPr>
        <w:t>Annexe </w:t>
      </w:r>
      <w:r w:rsidR="00790A20" w:rsidRPr="00790A20">
        <w:rPr>
          <w:i/>
          <w:iCs/>
        </w:rPr>
        <w:t>5, partie</w:t>
      </w:r>
      <w:r>
        <w:rPr>
          <w:i/>
          <w:iCs/>
        </w:rPr>
        <w:t> A), paragraphe </w:t>
      </w:r>
      <w:r w:rsidR="00790A20" w:rsidRPr="00790A20">
        <w:rPr>
          <w:i/>
          <w:iCs/>
        </w:rPr>
        <w:t xml:space="preserve">1 </w:t>
      </w:r>
      <w:r>
        <w:rPr>
          <w:i/>
          <w:iCs/>
        </w:rPr>
        <w:t>− </w:t>
      </w:r>
      <w:r w:rsidR="00790A20" w:rsidRPr="00790A20">
        <w:rPr>
          <w:i/>
          <w:iCs/>
        </w:rPr>
        <w:t>Pneumatiques de la classe C1</w:t>
      </w:r>
      <w:r w:rsidR="00790A20" w:rsidRPr="00790A20">
        <w:t xml:space="preserve">, </w:t>
      </w:r>
    </w:p>
    <w:p w:rsidR="00790A20" w:rsidRPr="00790A20" w:rsidRDefault="00790A20" w:rsidP="00510484">
      <w:pPr>
        <w:pStyle w:val="SingleTxtG"/>
        <w:keepNext/>
        <w:keepLines/>
      </w:pPr>
      <w:r w:rsidRPr="00790A20">
        <w:rPr>
          <w:i/>
          <w:iCs/>
        </w:rPr>
        <w:t>Ajouter</w:t>
      </w:r>
      <w:r w:rsidR="000C17FF">
        <w:rPr>
          <w:i/>
          <w:iCs/>
        </w:rPr>
        <w:t xml:space="preserve"> </w:t>
      </w:r>
      <w:r w:rsidR="00510484">
        <w:rPr>
          <w:i/>
          <w:iCs/>
        </w:rPr>
        <w:t>le nouvel alinéa </w:t>
      </w:r>
      <w:r w:rsidRPr="00790A20">
        <w:rPr>
          <w:i/>
          <w:iCs/>
        </w:rPr>
        <w:t>1.6</w:t>
      </w:r>
      <w:r w:rsidRPr="00510484">
        <w:t>,</w:t>
      </w:r>
      <w:r w:rsidRPr="00790A20">
        <w:rPr>
          <w:i/>
          <w:iCs/>
        </w:rPr>
        <w:t xml:space="preserve"> </w:t>
      </w:r>
      <w:r w:rsidR="00510484">
        <w:t>libellé comme suit :</w:t>
      </w:r>
    </w:p>
    <w:p w:rsidR="00790A20" w:rsidRPr="00790A20" w:rsidRDefault="00510484" w:rsidP="00663832">
      <w:pPr>
        <w:pStyle w:val="SingleTxtG"/>
        <w:ind w:left="2268" w:hanging="1134"/>
        <w:rPr>
          <w:b/>
        </w:rPr>
      </w:pPr>
      <w:r>
        <w:rPr>
          <w:bCs/>
        </w:rPr>
        <w:t>« </w:t>
      </w:r>
      <w:r w:rsidR="00790A20" w:rsidRPr="00790A20">
        <w:rPr>
          <w:b/>
          <w:bCs/>
        </w:rPr>
        <w:t>1.6</w:t>
      </w:r>
      <w:r w:rsidR="00790A20" w:rsidRPr="00790A20">
        <w:t xml:space="preserve"> </w:t>
      </w:r>
      <w:r w:rsidR="00790A20" w:rsidRPr="00790A20">
        <w:tab/>
      </w:r>
      <w:r w:rsidR="00790A20" w:rsidRPr="00790A20">
        <w:rPr>
          <w:b/>
          <w:bCs/>
        </w:rPr>
        <w:t>ASTM F 1046-01 (réapprouvée en 2008) : Guide normalisé concernant la préparation de pneumatiques de véhicules particuliers et de véhicules utilitaires légers artificiellement usés pour des essais.</w:t>
      </w:r>
      <w:r>
        <w:rPr>
          <w:bCs/>
        </w:rPr>
        <w:t> »</w:t>
      </w:r>
    </w:p>
    <w:p w:rsidR="00790A20" w:rsidRPr="00790A20" w:rsidRDefault="00510484" w:rsidP="00510484">
      <w:pPr>
        <w:pStyle w:val="SingleTxtG"/>
        <w:keepNext/>
        <w:keepLines/>
        <w:rPr>
          <w:i/>
        </w:rPr>
      </w:pPr>
      <w:r>
        <w:rPr>
          <w:i/>
          <w:iCs/>
        </w:rPr>
        <w:t>Paragraphe </w:t>
      </w:r>
      <w:r w:rsidR="00790A20" w:rsidRPr="00790A20">
        <w:rPr>
          <w:i/>
          <w:iCs/>
        </w:rPr>
        <w:t>3.2.2</w:t>
      </w:r>
      <w:r>
        <w:t>, lire :</w:t>
      </w:r>
    </w:p>
    <w:p w:rsidR="00790A20" w:rsidRPr="00790A20" w:rsidRDefault="00510484" w:rsidP="00510484">
      <w:pPr>
        <w:pStyle w:val="SingleTxtG"/>
        <w:keepNext/>
        <w:keepLines/>
        <w:ind w:left="2268" w:hanging="1134"/>
        <w:rPr>
          <w:b/>
        </w:rPr>
      </w:pPr>
      <w:r>
        <w:t>« 3.2.2</w:t>
      </w:r>
      <w:r>
        <w:tab/>
        <w:t>Méthode </w:t>
      </w:r>
      <w:r w:rsidR="00790A20" w:rsidRPr="00790A20">
        <w:t>b) du pneumatique d</w:t>
      </w:r>
      <w:r w:rsidR="00790A20">
        <w:t>’</w:t>
      </w:r>
      <w:r w:rsidR="00790A20" w:rsidRPr="00790A20">
        <w:t>essa</w:t>
      </w:r>
      <w:r>
        <w:t>i de référence de la norme ASTM </w:t>
      </w:r>
      <w:r w:rsidR="00790A20" w:rsidRPr="00790A20">
        <w:t>E1136</w:t>
      </w:r>
    </w:p>
    <w:p w:rsidR="00790A20" w:rsidRPr="00790A20" w:rsidRDefault="00790A20" w:rsidP="00663832">
      <w:pPr>
        <w:pStyle w:val="SingleTxtG"/>
        <w:ind w:left="2268" w:hanging="1134"/>
      </w:pPr>
      <w:r w:rsidRPr="00790A20">
        <w:tab/>
        <w:t>Par dérogation</w:t>
      </w:r>
      <w:r w:rsidR="00510484">
        <w:t xml:space="preserve"> aux dispositions du paragraphe </w:t>
      </w:r>
      <w:r w:rsidRPr="00790A20">
        <w:t>2.4 ci</w:t>
      </w:r>
      <w:r w:rsidR="00510484">
        <w:t>-</w:t>
      </w:r>
      <w:r w:rsidRPr="00790A20">
        <w:t>dessus, cette méthode s</w:t>
      </w:r>
      <w:r>
        <w:t>’</w:t>
      </w:r>
      <w:r w:rsidRPr="00790A20">
        <w:t xml:space="preserve">applique au pneumatique de référence dont les caractéristiques sont indiquées dans la norme ASTM E1136-93 (réapprouvée en 2003) et qui est dénommé </w:t>
      </w:r>
      <w:r w:rsidR="00510484" w:rsidRPr="00510484">
        <w:t>“</w:t>
      </w:r>
      <w:r w:rsidRPr="00790A20">
        <w:t>SRTT14</w:t>
      </w:r>
      <w:r w:rsidR="00510484" w:rsidRPr="00510484">
        <w:t>”.</w:t>
      </w:r>
    </w:p>
    <w:p w:rsidR="00790A20" w:rsidRPr="00790A20" w:rsidRDefault="00790A20" w:rsidP="00663832">
      <w:pPr>
        <w:pStyle w:val="SingleTxtG"/>
        <w:ind w:left="2268" w:hanging="1134"/>
      </w:pPr>
      <w:r w:rsidRPr="00790A20">
        <w:tab/>
        <w:t>Le coefficient de force de freinage maximal moyen (µ</w:t>
      </w:r>
      <w:r w:rsidRPr="00790A20">
        <w:rPr>
          <w:vertAlign w:val="subscript"/>
        </w:rPr>
        <w:t>peak,ave</w:t>
      </w:r>
      <w:r w:rsidRPr="00790A20">
        <w:t xml:space="preserve">) du </w:t>
      </w:r>
      <w:r w:rsidR="00510484" w:rsidRPr="00510484">
        <w:t>“</w:t>
      </w:r>
      <w:r w:rsidR="00510484">
        <w:t>SRTT14</w:t>
      </w:r>
      <w:r w:rsidR="00510484" w:rsidRPr="00510484">
        <w:t>”</w:t>
      </w:r>
      <w:r w:rsidRPr="00790A20">
        <w:t xml:space="preserve"> </w:t>
      </w:r>
      <w:r w:rsidR="00510484">
        <w:t>doit être égal à 0,7 ± 0,1 à 65 </w:t>
      </w:r>
      <w:r w:rsidRPr="00790A20">
        <w:t>km/h.</w:t>
      </w:r>
    </w:p>
    <w:p w:rsidR="00790A20" w:rsidRPr="00790A20" w:rsidRDefault="00790A20" w:rsidP="00663832">
      <w:pPr>
        <w:pStyle w:val="SingleTxtG"/>
        <w:ind w:left="2268" w:hanging="1134"/>
      </w:pPr>
      <w:r w:rsidRPr="00790A20">
        <w:tab/>
        <w:t>Il doit être corrigé des effets de la température du</w:t>
      </w:r>
      <w:r w:rsidR="00510484">
        <w:t xml:space="preserve"> revêtement mouillé comme suit :</w:t>
      </w:r>
    </w:p>
    <w:p w:rsidR="00790A20" w:rsidRPr="00790A20" w:rsidRDefault="00790A20" w:rsidP="00663832">
      <w:pPr>
        <w:pStyle w:val="SingleTxtG"/>
        <w:ind w:left="2268" w:hanging="1134"/>
      </w:pPr>
      <w:r w:rsidRPr="00790A20">
        <w:tab/>
        <w:t>Coefficient de force de freinage maximal moyen (µ</w:t>
      </w:r>
      <w:r w:rsidRPr="00790A20">
        <w:rPr>
          <w:vertAlign w:val="subscript"/>
        </w:rPr>
        <w:t>peak,ave</w:t>
      </w:r>
      <w:r w:rsidRPr="00790A20">
        <w:t>) = coefficient de force de freinage maximal (mesuré) + correction des effets de la température</w:t>
      </w:r>
    </w:p>
    <w:p w:rsidR="00790A20" w:rsidRPr="00790A20" w:rsidRDefault="00790A20" w:rsidP="00663832">
      <w:pPr>
        <w:pStyle w:val="SingleTxtG"/>
        <w:ind w:left="2268" w:hanging="1134"/>
      </w:pPr>
      <w:r w:rsidRPr="00790A20">
        <w:tab/>
        <w:t>Correction des effets de la température = 0,0035 × (t - 20)</w:t>
      </w:r>
    </w:p>
    <w:p w:rsidR="00790A20" w:rsidRPr="00790A20" w:rsidRDefault="00790A20" w:rsidP="00663832">
      <w:pPr>
        <w:pStyle w:val="SingleTxtG"/>
        <w:ind w:left="2268" w:hanging="1134"/>
      </w:pPr>
      <w:r w:rsidRPr="00790A20">
        <w:tab/>
        <w:t>où t est la température du revêtement routier mouillé en degrés Celsius.</w:t>
      </w:r>
    </w:p>
    <w:p w:rsidR="00790A20" w:rsidRPr="00510484" w:rsidRDefault="00790A20" w:rsidP="00510484">
      <w:pPr>
        <w:pStyle w:val="SingleTxtG"/>
        <w:ind w:left="2268"/>
      </w:pPr>
      <w:r w:rsidRPr="00790A20">
        <w:tab/>
      </w:r>
      <w:r w:rsidRPr="00790A20">
        <w:rPr>
          <w:b/>
          <w:bCs/>
        </w:rPr>
        <w:t>Cette méthode ne doit jamais être appliquée à un pneumatique usé tel que décrit au paragraphe 2.19.2.</w:t>
      </w:r>
      <w:r w:rsidR="00510484">
        <w:t> »</w:t>
      </w:r>
    </w:p>
    <w:p w:rsidR="00790A20" w:rsidRPr="00790A20" w:rsidRDefault="00510484" w:rsidP="00510484">
      <w:pPr>
        <w:pStyle w:val="SingleTxtG"/>
        <w:keepNext/>
        <w:keepLines/>
        <w:ind w:left="2268" w:hanging="1134"/>
      </w:pPr>
      <w:r>
        <w:rPr>
          <w:i/>
          <w:iCs/>
        </w:rPr>
        <w:t>Paragraphe </w:t>
      </w:r>
      <w:r w:rsidR="00790A20" w:rsidRPr="00790A20">
        <w:rPr>
          <w:i/>
          <w:iCs/>
        </w:rPr>
        <w:t>4</w:t>
      </w:r>
      <w:r>
        <w:t>, lire :</w:t>
      </w:r>
    </w:p>
    <w:p w:rsidR="00790A20" w:rsidRPr="00790A20" w:rsidRDefault="00510484" w:rsidP="00510484">
      <w:pPr>
        <w:pStyle w:val="SingleTxtG"/>
        <w:keepNext/>
        <w:keepLines/>
        <w:rPr>
          <w:b/>
          <w:bCs/>
        </w:rPr>
      </w:pPr>
      <w:r>
        <w:rPr>
          <w:bCs/>
        </w:rPr>
        <w:t>« </w:t>
      </w:r>
      <w:r w:rsidR="00790A20" w:rsidRPr="00790A20">
        <w:rPr>
          <w:b/>
          <w:bCs/>
        </w:rPr>
        <w:t>4.</w:t>
      </w:r>
      <w:r w:rsidR="00790A20" w:rsidRPr="00790A20">
        <w:t xml:space="preserve"> </w:t>
      </w:r>
      <w:r w:rsidR="00790A20" w:rsidRPr="00790A20">
        <w:tab/>
      </w:r>
      <w:r w:rsidR="00790A20" w:rsidRPr="00790A20">
        <w:tab/>
      </w:r>
      <w:r w:rsidR="00790A20" w:rsidRPr="00790A20">
        <w:rPr>
          <w:b/>
          <w:bCs/>
        </w:rPr>
        <w:t>Méthodes d</w:t>
      </w:r>
      <w:r w:rsidR="00790A20">
        <w:rPr>
          <w:b/>
          <w:bCs/>
        </w:rPr>
        <w:t>’</w:t>
      </w:r>
      <w:r w:rsidR="00790A20" w:rsidRPr="00790A20">
        <w:rPr>
          <w:b/>
          <w:bCs/>
        </w:rPr>
        <w:t>essai appliquées pour mesurer l</w:t>
      </w:r>
      <w:r w:rsidR="00790A20">
        <w:rPr>
          <w:b/>
          <w:bCs/>
        </w:rPr>
        <w:t>’</w:t>
      </w:r>
      <w:r w:rsidR="00790A20" w:rsidRPr="00790A20">
        <w:rPr>
          <w:b/>
          <w:bCs/>
        </w:rPr>
        <w:t>adhérence sur sol mouillé</w:t>
      </w:r>
    </w:p>
    <w:p w:rsidR="00790A20" w:rsidRPr="00790A20" w:rsidRDefault="00510484" w:rsidP="00663832">
      <w:pPr>
        <w:pStyle w:val="SingleTxtG"/>
        <w:ind w:left="2268" w:hanging="1134"/>
      </w:pPr>
      <w:r>
        <w:tab/>
      </w:r>
      <w:r w:rsidR="00790A20" w:rsidRPr="00790A20">
        <w:t>Pour le calcul de l</w:t>
      </w:r>
      <w:r w:rsidR="00790A20">
        <w:t>’</w:t>
      </w:r>
      <w:r w:rsidR="00790A20" w:rsidRPr="00790A20">
        <w:t>indice d</w:t>
      </w:r>
      <w:r w:rsidR="00790A20">
        <w:t>’</w:t>
      </w:r>
      <w:r w:rsidR="00790A20" w:rsidRPr="00790A20">
        <w:t>adhérence sur sol mouillé (G) d</w:t>
      </w:r>
      <w:r w:rsidR="00790A20">
        <w:t>’</w:t>
      </w:r>
      <w:r w:rsidR="00790A20" w:rsidRPr="00790A20">
        <w:t>un pneumatique à contrôler, la performance de freinage sur sol mouillé dudit pneumatique est comparée à la performance de freinage sur sol mouillé du pneumatique de référence sur un véhicule roulant en ligne droite sur une chaussée revêtue et mouillée. Elle est mesurée en appliquant l</w:t>
      </w:r>
      <w:r w:rsidR="00790A20">
        <w:t>’</w:t>
      </w:r>
      <w:r w:rsidR="00790A20" w:rsidRPr="00790A20">
        <w:t>une des méthodes d</w:t>
      </w:r>
      <w:r w:rsidR="00790A20">
        <w:t>’</w:t>
      </w:r>
      <w:r>
        <w:t>essai suivantes :</w:t>
      </w:r>
    </w:p>
    <w:p w:rsidR="00790A20" w:rsidRPr="00790A20" w:rsidRDefault="00790A20" w:rsidP="00510484">
      <w:pPr>
        <w:pStyle w:val="SingleTxtG"/>
        <w:ind w:left="2835" w:hanging="567"/>
      </w:pPr>
      <w:r w:rsidRPr="00790A20">
        <w:t xml:space="preserve">a) </w:t>
      </w:r>
      <w:r w:rsidRPr="00790A20">
        <w:tab/>
        <w:t>Essai avec une voit</w:t>
      </w:r>
      <w:r w:rsidR="00510484">
        <w:t>ure particulière instrumentée ;</w:t>
      </w:r>
    </w:p>
    <w:p w:rsidR="00790A20" w:rsidRPr="00790A20" w:rsidRDefault="00790A20" w:rsidP="00510484">
      <w:pPr>
        <w:pStyle w:val="SingleTxtG"/>
        <w:ind w:left="2835" w:hanging="567"/>
      </w:pPr>
      <w:r w:rsidRPr="00790A20">
        <w:t xml:space="preserve">b) </w:t>
      </w:r>
      <w:r w:rsidRPr="00790A20">
        <w:tab/>
        <w:t>Essai avec une remorque tractée par un véhicule ou avec un véhicule d</w:t>
      </w:r>
      <w:r>
        <w:t>’</w:t>
      </w:r>
      <w:r w:rsidRPr="00790A20">
        <w:t>essai de pneumatiques équipé d</w:t>
      </w:r>
      <w:r>
        <w:t>’</w:t>
      </w:r>
      <w:r w:rsidRPr="00790A20">
        <w:t xml:space="preserve">un ou </w:t>
      </w:r>
      <w:r w:rsidR="00AE5480">
        <w:t xml:space="preserve">de </w:t>
      </w:r>
      <w:r w:rsidRPr="00790A20">
        <w:t>plusieurs pneumatiques d</w:t>
      </w:r>
      <w:r>
        <w:t>’</w:t>
      </w:r>
      <w:r w:rsidRPr="00790A20">
        <w:t>essai.</w:t>
      </w:r>
    </w:p>
    <w:p w:rsidR="00790A20" w:rsidRPr="00790A20" w:rsidRDefault="00790A20" w:rsidP="00510484">
      <w:pPr>
        <w:pStyle w:val="SingleTxtG"/>
        <w:ind w:left="2268"/>
      </w:pPr>
      <w:r w:rsidRPr="00790A20">
        <w:rPr>
          <w:b/>
          <w:bCs/>
        </w:rPr>
        <w:t>Lorsque le calcul de l</w:t>
      </w:r>
      <w:r>
        <w:rPr>
          <w:b/>
          <w:bCs/>
        </w:rPr>
        <w:t>’</w:t>
      </w:r>
      <w:r w:rsidRPr="00790A20">
        <w:rPr>
          <w:b/>
          <w:bCs/>
        </w:rPr>
        <w:t>indice d</w:t>
      </w:r>
      <w:r>
        <w:rPr>
          <w:b/>
          <w:bCs/>
        </w:rPr>
        <w:t>’</w:t>
      </w:r>
      <w:r w:rsidRPr="00790A20">
        <w:rPr>
          <w:b/>
          <w:bCs/>
        </w:rPr>
        <w:t>adhérence sur sol mouillé (G) porte sur un pneumatique à contrôler usé, la performance de freinage sur sol mouillé du pneumatique à contrôler usé doit être comparée à la performance de freinage sur sol mouillé du pneumatique de référence usé.</w:t>
      </w:r>
      <w:r w:rsidR="00510484">
        <w:rPr>
          <w:bCs/>
        </w:rPr>
        <w:t> »</w:t>
      </w:r>
    </w:p>
    <w:p w:rsidR="00790A20" w:rsidRPr="00790A20" w:rsidRDefault="00790A20" w:rsidP="00510484">
      <w:pPr>
        <w:pStyle w:val="SingleTxtG"/>
        <w:keepNext/>
        <w:keepLines/>
        <w:rPr>
          <w:i/>
          <w:iCs/>
        </w:rPr>
      </w:pPr>
      <w:r w:rsidRPr="00790A20">
        <w:rPr>
          <w:i/>
          <w:iCs/>
        </w:rPr>
        <w:t>Paragraphe 4.1.7.2</w:t>
      </w:r>
      <w:r w:rsidR="00510484">
        <w:t>, lire :</w:t>
      </w:r>
    </w:p>
    <w:p w:rsidR="00790A20" w:rsidRPr="00790A20" w:rsidRDefault="00510484" w:rsidP="00510484">
      <w:pPr>
        <w:pStyle w:val="SingleTxtG"/>
        <w:keepNext/>
        <w:keepLines/>
        <w:ind w:left="2268" w:hanging="1134"/>
      </w:pPr>
      <w:r>
        <w:t>« </w:t>
      </w:r>
      <w:r w:rsidR="00790A20" w:rsidRPr="00790A20">
        <w:t xml:space="preserve">4.1.7.2 </w:t>
      </w:r>
      <w:r w:rsidR="00790A20" w:rsidRPr="00790A20">
        <w:tab/>
        <w:t>Principe de l</w:t>
      </w:r>
      <w:r w:rsidR="00790A20">
        <w:t>’</w:t>
      </w:r>
      <w:r w:rsidR="00790A20" w:rsidRPr="00790A20">
        <w:t>approche</w:t>
      </w:r>
    </w:p>
    <w:p w:rsidR="00790A20" w:rsidRPr="00790A20" w:rsidRDefault="00510484" w:rsidP="00510484">
      <w:pPr>
        <w:pStyle w:val="SingleTxtG"/>
        <w:ind w:left="2268" w:hanging="1134"/>
      </w:pPr>
      <w:r>
        <w:tab/>
      </w:r>
      <w:r w:rsidR="00790A20" w:rsidRPr="00790A20">
        <w:t>Le principe consiste à utiliser un jeu de pneumatiques témoins et deux voitures particulières instrumentées différentes pour le cycle d</w:t>
      </w:r>
      <w:r w:rsidR="00790A20">
        <w:t>’</w:t>
      </w:r>
      <w:r w:rsidR="00790A20" w:rsidRPr="00790A20">
        <w:t>essai d</w:t>
      </w:r>
      <w:r w:rsidR="00790A20">
        <w:t>’</w:t>
      </w:r>
      <w:r w:rsidR="00790A20" w:rsidRPr="00790A20">
        <w:t>un jeu de pneumatiques candidats en comparaison d</w:t>
      </w:r>
      <w:r w:rsidR="00790A20">
        <w:t>’</w:t>
      </w:r>
      <w:r w:rsidR="00790A20" w:rsidRPr="00790A20">
        <w:t>un jeu de pneumatiques de référence.</w:t>
      </w:r>
    </w:p>
    <w:p w:rsidR="00790A20" w:rsidRPr="00790A20" w:rsidRDefault="00510484" w:rsidP="00510484">
      <w:pPr>
        <w:pStyle w:val="SingleTxtG"/>
        <w:ind w:left="2268" w:hanging="1134"/>
      </w:pPr>
      <w:r>
        <w:tab/>
      </w:r>
      <w:r w:rsidR="00790A20" w:rsidRPr="00790A20">
        <w:t>Une voiture particulière instrumentée est équipée du jeu de pneumatiques de référence puis du jeu de pneumatiques témoins, l</w:t>
      </w:r>
      <w:r w:rsidR="00790A20">
        <w:t>’</w:t>
      </w:r>
      <w:r w:rsidR="00790A20" w:rsidRPr="00790A20">
        <w:t>autre voiture étant équipée du jeu de pneumatiques témoins puis du jeu de pneumatiques à contrôler.</w:t>
      </w:r>
    </w:p>
    <w:p w:rsidR="00790A20" w:rsidRPr="00790A20" w:rsidRDefault="00510484" w:rsidP="00510484">
      <w:pPr>
        <w:pStyle w:val="SingleTxtG"/>
        <w:ind w:left="2268" w:hanging="1134"/>
        <w:rPr>
          <w:b/>
        </w:rPr>
      </w:pPr>
      <w:r>
        <w:rPr>
          <w:b/>
          <w:bCs/>
        </w:rPr>
        <w:lastRenderedPageBreak/>
        <w:tab/>
      </w:r>
      <w:r w:rsidR="00790A20" w:rsidRPr="00790A20">
        <w:rPr>
          <w:b/>
          <w:bCs/>
        </w:rPr>
        <w:t>Lorsque les essais portent sur des pneumatiques usés, le jeu de pneumatiques à contrôler, le jeu de pneumatiques de référence et le jeu de pneumatiques témoins doivent être composés de pneumatiques usés</w:t>
      </w:r>
      <w:r w:rsidR="000C17FF">
        <w:rPr>
          <w:b/>
          <w:bCs/>
        </w:rPr>
        <w:t xml:space="preserve"> </w:t>
      </w:r>
      <w:r w:rsidR="00671659">
        <w:rPr>
          <w:b/>
          <w:bCs/>
        </w:rPr>
        <w:t>tels que décrits au paragraphe </w:t>
      </w:r>
      <w:r w:rsidR="00790A20" w:rsidRPr="00790A20">
        <w:rPr>
          <w:b/>
          <w:bCs/>
        </w:rPr>
        <w:t>2.19.2.</w:t>
      </w:r>
      <w:r w:rsidR="00790A20" w:rsidRPr="00790A20">
        <w:t xml:space="preserve"> </w:t>
      </w:r>
    </w:p>
    <w:p w:rsidR="00790A20" w:rsidRPr="00790A20" w:rsidRDefault="00510484" w:rsidP="00510484">
      <w:pPr>
        <w:pStyle w:val="SingleTxtG"/>
        <w:ind w:left="2268" w:hanging="1134"/>
      </w:pPr>
      <w:r>
        <w:tab/>
      </w:r>
      <w:r w:rsidR="00790A20" w:rsidRPr="00790A20">
        <w:t>Les prescriptions énoncées aux paragraphes 4.1.2 à 4.1.4 s</w:t>
      </w:r>
      <w:r w:rsidR="00790A20">
        <w:t>’</w:t>
      </w:r>
      <w:r w:rsidR="00790A20" w:rsidRPr="00790A20">
        <w:t>appliquent.</w:t>
      </w:r>
    </w:p>
    <w:p w:rsidR="00790A20" w:rsidRPr="00790A20" w:rsidRDefault="00510484" w:rsidP="00790A20">
      <w:pPr>
        <w:pStyle w:val="SingleTxtG"/>
      </w:pPr>
      <w:r>
        <w:tab/>
      </w:r>
      <w:r>
        <w:tab/>
      </w:r>
      <w:r w:rsidR="00671659">
        <w:t>…</w:t>
      </w:r>
      <w:r>
        <w:t> »</w:t>
      </w:r>
    </w:p>
    <w:p w:rsidR="00790A20" w:rsidRPr="00790A20" w:rsidRDefault="00790A20" w:rsidP="00790A20">
      <w:pPr>
        <w:pStyle w:val="SingleTxtG"/>
        <w:rPr>
          <w:i/>
          <w:iCs/>
        </w:rPr>
      </w:pPr>
      <w:r w:rsidRPr="00790A20">
        <w:rPr>
          <w:i/>
          <w:iCs/>
        </w:rPr>
        <w:t>Paragraphe 4.1.7.4</w:t>
      </w:r>
      <w:r w:rsidR="00510484">
        <w:t>, lire :</w:t>
      </w:r>
    </w:p>
    <w:p w:rsidR="00790A20" w:rsidRPr="00790A20" w:rsidRDefault="00510484" w:rsidP="00663832">
      <w:pPr>
        <w:pStyle w:val="SingleTxtG"/>
        <w:ind w:left="2268" w:hanging="1134"/>
      </w:pPr>
      <w:r>
        <w:t>« </w:t>
      </w:r>
      <w:r w:rsidR="00790A20" w:rsidRPr="00790A20">
        <w:t xml:space="preserve">4.1.7.4 </w:t>
      </w:r>
      <w:r w:rsidR="00790A20" w:rsidRPr="00790A20">
        <w:tab/>
        <w:t>Remplacement des pneumatiques de référence et des pneumatiques témoins</w:t>
      </w:r>
    </w:p>
    <w:p w:rsidR="00790A20" w:rsidRPr="00790A20" w:rsidRDefault="00510484" w:rsidP="00663832">
      <w:pPr>
        <w:pStyle w:val="SingleTxtG"/>
        <w:ind w:left="2268" w:hanging="1134"/>
      </w:pPr>
      <w:r>
        <w:tab/>
      </w:r>
      <w:r w:rsidR="00790A20" w:rsidRPr="00790A20">
        <w:t xml:space="preserve">Lorsque les essais causent une usure irrégulière ou des dommages, ou </w:t>
      </w:r>
      <w:r w:rsidR="00790A20" w:rsidRPr="00790A20">
        <w:rPr>
          <w:b/>
        </w:rPr>
        <w:t>lorsqu</w:t>
      </w:r>
      <w:r w:rsidR="00790A20">
        <w:rPr>
          <w:b/>
        </w:rPr>
        <w:t>’</w:t>
      </w:r>
      <w:r w:rsidR="00790A20" w:rsidRPr="00790A20">
        <w:rPr>
          <w:b/>
        </w:rPr>
        <w:t>une usure</w:t>
      </w:r>
      <w:r w:rsidR="00790A20" w:rsidRPr="00790A20">
        <w:t xml:space="preserve"> </w:t>
      </w:r>
      <w:r w:rsidR="00790A20" w:rsidRPr="00790A20">
        <w:rPr>
          <w:b/>
          <w:bCs/>
        </w:rPr>
        <w:t>anormale</w:t>
      </w:r>
      <w:r w:rsidR="00790A20" w:rsidRPr="00790A20">
        <w:t xml:space="preserve"> a une incidence sur les résultats obtenus, le pneumatique concer</w:t>
      </w:r>
      <w:r>
        <w:t>né ne doit plus être utilisé. »</w:t>
      </w:r>
    </w:p>
    <w:p w:rsidR="00790A20" w:rsidRPr="00790A20" w:rsidRDefault="00790A20" w:rsidP="00790A20">
      <w:pPr>
        <w:pStyle w:val="SingleTxtG"/>
      </w:pPr>
      <w:r w:rsidRPr="00790A20">
        <w:rPr>
          <w:i/>
          <w:iCs/>
        </w:rPr>
        <w:t xml:space="preserve">Appendice </w:t>
      </w:r>
      <w:r w:rsidR="00510484">
        <w:rPr>
          <w:i/>
          <w:iCs/>
        </w:rPr>
        <w:t>« </w:t>
      </w:r>
      <w:r w:rsidRPr="00790A20">
        <w:rPr>
          <w:i/>
          <w:iCs/>
        </w:rPr>
        <w:t>Exemples de procès-verbaux d</w:t>
      </w:r>
      <w:r>
        <w:rPr>
          <w:i/>
          <w:iCs/>
        </w:rPr>
        <w:t>’</w:t>
      </w:r>
      <w:r w:rsidRPr="00790A20">
        <w:rPr>
          <w:i/>
          <w:iCs/>
        </w:rPr>
        <w:t>essai pour la mesure de l</w:t>
      </w:r>
      <w:r>
        <w:rPr>
          <w:i/>
          <w:iCs/>
        </w:rPr>
        <w:t>’</w:t>
      </w:r>
      <w:r w:rsidRPr="00790A20">
        <w:rPr>
          <w:i/>
          <w:iCs/>
        </w:rPr>
        <w:t>indice d</w:t>
      </w:r>
      <w:r>
        <w:rPr>
          <w:i/>
          <w:iCs/>
        </w:rPr>
        <w:t>’</w:t>
      </w:r>
      <w:r w:rsidR="00510484">
        <w:rPr>
          <w:i/>
          <w:iCs/>
        </w:rPr>
        <w:t>adhérence sur sol mouillé »,</w:t>
      </w:r>
    </w:p>
    <w:p w:rsidR="00790A20" w:rsidRPr="00790A20" w:rsidRDefault="00510484" w:rsidP="00790A20">
      <w:pPr>
        <w:pStyle w:val="SingleTxtG"/>
      </w:pPr>
      <w:r>
        <w:rPr>
          <w:i/>
          <w:iCs/>
        </w:rPr>
        <w:t>Exemple </w:t>
      </w:r>
      <w:r w:rsidR="00790A20" w:rsidRPr="00790A20">
        <w:rPr>
          <w:i/>
          <w:iCs/>
        </w:rPr>
        <w:t>1</w:t>
      </w:r>
      <w:r>
        <w:rPr>
          <w:i/>
          <w:iCs/>
        </w:rPr>
        <w:t> </w:t>
      </w:r>
      <w:r w:rsidR="00790A20" w:rsidRPr="00790A20">
        <w:rPr>
          <w:i/>
          <w:iCs/>
        </w:rPr>
        <w:t xml:space="preserve">: </w:t>
      </w:r>
      <w:r>
        <w:rPr>
          <w:i/>
          <w:iCs/>
        </w:rPr>
        <w:t>« </w:t>
      </w:r>
      <w:r w:rsidR="00790A20" w:rsidRPr="00790A20">
        <w:rPr>
          <w:i/>
          <w:iCs/>
        </w:rPr>
        <w:t>Procès-verbal d</w:t>
      </w:r>
      <w:r w:rsidR="00790A20">
        <w:rPr>
          <w:i/>
          <w:iCs/>
        </w:rPr>
        <w:t>’</w:t>
      </w:r>
      <w:r w:rsidR="00790A20" w:rsidRPr="00790A20">
        <w:rPr>
          <w:i/>
          <w:iCs/>
        </w:rPr>
        <w:t>e</w:t>
      </w:r>
      <w:r>
        <w:rPr>
          <w:i/>
          <w:iCs/>
        </w:rPr>
        <w:t>ssai effectué avec une remorque »</w:t>
      </w:r>
      <w:r w:rsidR="00790A20" w:rsidRPr="00510484">
        <w:t>,</w:t>
      </w:r>
      <w:r w:rsidR="00790A20" w:rsidRPr="00790A20">
        <w:rPr>
          <w:i/>
          <w:iCs/>
        </w:rPr>
        <w:t xml:space="preserve"> </w:t>
      </w:r>
      <w:r>
        <w:t>lire :</w:t>
      </w:r>
    </w:p>
    <w:p w:rsidR="00790A20" w:rsidRDefault="00510484" w:rsidP="00790A20">
      <w:pPr>
        <w:pStyle w:val="SingleTxtG"/>
      </w:pPr>
      <w:r>
        <w:t>« </w:t>
      </w:r>
    </w:p>
    <w:tbl>
      <w:tblPr>
        <w:tblW w:w="7371" w:type="dxa"/>
        <w:tblInd w:w="1134" w:type="dxa"/>
        <w:tblLayout w:type="fixed"/>
        <w:tblLook w:val="01E0" w:firstRow="1" w:lastRow="1" w:firstColumn="1" w:lastColumn="1" w:noHBand="0" w:noVBand="0"/>
      </w:tblPr>
      <w:tblGrid>
        <w:gridCol w:w="3369"/>
        <w:gridCol w:w="567"/>
        <w:gridCol w:w="3435"/>
      </w:tblGrid>
      <w:tr w:rsidR="00790A20" w:rsidRPr="00790A20" w:rsidTr="007F6B36">
        <w:tc>
          <w:tcPr>
            <w:tcW w:w="3369" w:type="dxa"/>
            <w:tcBorders>
              <w:top w:val="nil"/>
              <w:left w:val="nil"/>
              <w:right w:val="nil"/>
            </w:tcBorders>
          </w:tcPr>
          <w:p w:rsidR="00790A20" w:rsidRPr="007F6B36" w:rsidRDefault="00790A20" w:rsidP="007F6B36">
            <w:pPr>
              <w:pStyle w:val="SingleTxtG"/>
              <w:spacing w:before="60" w:after="60"/>
              <w:ind w:left="57" w:right="57"/>
              <w:jc w:val="left"/>
            </w:pPr>
            <w:r w:rsidRPr="00790A20">
              <w:t>Numéro du procès-verbal d</w:t>
            </w:r>
            <w:r>
              <w:t>’</w:t>
            </w:r>
            <w:r w:rsidR="00034820">
              <w:t>essai :</w:t>
            </w:r>
          </w:p>
        </w:tc>
        <w:tc>
          <w:tcPr>
            <w:tcW w:w="567" w:type="dxa"/>
            <w:tcBorders>
              <w:top w:val="nil"/>
              <w:left w:val="nil"/>
              <w:bottom w:val="nil"/>
              <w:right w:val="nil"/>
            </w:tcBorders>
          </w:tcPr>
          <w:p w:rsidR="00790A20" w:rsidRPr="00790A20" w:rsidRDefault="00790A20" w:rsidP="007F6B36">
            <w:pPr>
              <w:pStyle w:val="SingleTxtG"/>
              <w:spacing w:before="60" w:after="60"/>
              <w:ind w:left="57" w:right="57"/>
              <w:jc w:val="left"/>
            </w:pPr>
          </w:p>
        </w:tc>
        <w:tc>
          <w:tcPr>
            <w:tcW w:w="3435" w:type="dxa"/>
            <w:tcBorders>
              <w:top w:val="nil"/>
              <w:left w:val="nil"/>
              <w:right w:val="nil"/>
            </w:tcBorders>
          </w:tcPr>
          <w:p w:rsidR="00790A20" w:rsidRPr="00790A20" w:rsidRDefault="007F6B36" w:rsidP="007F6B36">
            <w:pPr>
              <w:pStyle w:val="SingleTxtG"/>
              <w:spacing w:before="60" w:after="60"/>
              <w:ind w:left="57" w:right="57"/>
              <w:jc w:val="left"/>
            </w:pPr>
            <w:r w:rsidRPr="00790A20">
              <w:t>Date de l</w:t>
            </w:r>
            <w:r>
              <w:t>’</w:t>
            </w:r>
            <w:r w:rsidRPr="00790A20">
              <w:t>essai</w:t>
            </w:r>
            <w:r w:rsidR="00034820">
              <w:t> :</w:t>
            </w:r>
          </w:p>
        </w:tc>
      </w:tr>
      <w:tr w:rsidR="007F6B36" w:rsidRPr="00790A20" w:rsidTr="007F6B36">
        <w:tc>
          <w:tcPr>
            <w:tcW w:w="3369" w:type="dxa"/>
            <w:tcBorders>
              <w:top w:val="nil"/>
              <w:left w:val="nil"/>
              <w:right w:val="nil"/>
            </w:tcBorders>
          </w:tcPr>
          <w:p w:rsidR="007F6B36" w:rsidRPr="00790A20" w:rsidRDefault="007F6B36" w:rsidP="007F6B36">
            <w:pPr>
              <w:pStyle w:val="SingleTxtG"/>
              <w:spacing w:before="60" w:after="60"/>
              <w:ind w:left="57" w:right="57"/>
              <w:jc w:val="left"/>
            </w:pPr>
            <w:r w:rsidRPr="00790A20">
              <w:rPr>
                <w:b/>
                <w:bCs/>
              </w:rPr>
              <w:t>État du pneu : neuf ou usé (*)</w:t>
            </w:r>
          </w:p>
        </w:tc>
        <w:tc>
          <w:tcPr>
            <w:tcW w:w="567" w:type="dxa"/>
            <w:tcBorders>
              <w:top w:val="nil"/>
              <w:left w:val="nil"/>
              <w:bottom w:val="nil"/>
              <w:right w:val="nil"/>
            </w:tcBorders>
          </w:tcPr>
          <w:p w:rsidR="007F6B36" w:rsidRPr="00790A20" w:rsidRDefault="007F6B36" w:rsidP="007F6B36">
            <w:pPr>
              <w:pStyle w:val="SingleTxtG"/>
              <w:spacing w:before="60" w:after="60"/>
              <w:ind w:left="57" w:right="57"/>
              <w:jc w:val="left"/>
            </w:pPr>
          </w:p>
        </w:tc>
        <w:tc>
          <w:tcPr>
            <w:tcW w:w="3435" w:type="dxa"/>
            <w:tcBorders>
              <w:top w:val="nil"/>
              <w:left w:val="nil"/>
              <w:right w:val="nil"/>
            </w:tcBorders>
          </w:tcPr>
          <w:p w:rsidR="007F6B36" w:rsidRPr="00790A20" w:rsidRDefault="007F6B36" w:rsidP="007F6B36">
            <w:pPr>
              <w:pStyle w:val="SingleTxtG"/>
              <w:spacing w:before="60" w:after="60"/>
              <w:ind w:left="57" w:right="57"/>
              <w:jc w:val="left"/>
            </w:pPr>
          </w:p>
        </w:tc>
      </w:tr>
      <w:tr w:rsidR="00790A20" w:rsidRPr="00790A20" w:rsidTr="007F6B36">
        <w:tc>
          <w:tcPr>
            <w:tcW w:w="3369" w:type="dxa"/>
            <w:tcBorders>
              <w:left w:val="nil"/>
              <w:right w:val="nil"/>
            </w:tcBorders>
          </w:tcPr>
          <w:p w:rsidR="00790A20" w:rsidRPr="00790A20" w:rsidRDefault="007F6B36" w:rsidP="007F6B36">
            <w:pPr>
              <w:pStyle w:val="SingleTxtG"/>
              <w:spacing w:before="60" w:after="60"/>
              <w:ind w:left="57" w:right="57"/>
              <w:jc w:val="left"/>
            </w:pPr>
            <w:r>
              <w:t>Type de revêtement routier :</w:t>
            </w:r>
          </w:p>
        </w:tc>
        <w:tc>
          <w:tcPr>
            <w:tcW w:w="567" w:type="dxa"/>
            <w:tcBorders>
              <w:top w:val="nil"/>
              <w:left w:val="nil"/>
              <w:bottom w:val="nil"/>
              <w:right w:val="nil"/>
            </w:tcBorders>
          </w:tcPr>
          <w:p w:rsidR="00790A20" w:rsidRPr="00790A20" w:rsidRDefault="00790A20" w:rsidP="007F6B36">
            <w:pPr>
              <w:pStyle w:val="SingleTxtG"/>
              <w:spacing w:before="60" w:after="60"/>
              <w:ind w:left="57" w:right="57"/>
              <w:jc w:val="left"/>
            </w:pPr>
          </w:p>
        </w:tc>
        <w:tc>
          <w:tcPr>
            <w:tcW w:w="3435" w:type="dxa"/>
            <w:tcBorders>
              <w:left w:val="nil"/>
              <w:right w:val="nil"/>
            </w:tcBorders>
          </w:tcPr>
          <w:p w:rsidR="00790A20" w:rsidRPr="00790A20" w:rsidRDefault="00790A20" w:rsidP="007F6B36">
            <w:pPr>
              <w:pStyle w:val="SingleTxtG"/>
              <w:spacing w:before="60" w:after="60"/>
              <w:ind w:left="57" w:right="57"/>
              <w:jc w:val="left"/>
            </w:pPr>
            <w:r w:rsidRPr="00790A20">
              <w:t>Pr</w:t>
            </w:r>
            <w:r w:rsidR="00034820">
              <w:t>ofondeur de la texture (en mm) :</w:t>
            </w:r>
          </w:p>
        </w:tc>
      </w:tr>
      <w:tr w:rsidR="00790A20" w:rsidRPr="00790A20" w:rsidTr="007F6B36">
        <w:tc>
          <w:tcPr>
            <w:tcW w:w="3369" w:type="dxa"/>
            <w:tcBorders>
              <w:left w:val="nil"/>
              <w:right w:val="nil"/>
            </w:tcBorders>
          </w:tcPr>
          <w:p w:rsidR="00790A20" w:rsidRPr="00790A20" w:rsidRDefault="00790A20" w:rsidP="007F6B36">
            <w:pPr>
              <w:pStyle w:val="SingleTxtG"/>
              <w:spacing w:before="60" w:after="60"/>
              <w:ind w:left="57" w:right="57"/>
              <w:jc w:val="left"/>
            </w:pPr>
            <w:r w:rsidRPr="00790A20">
              <w:t>µ</w:t>
            </w:r>
            <w:r w:rsidRPr="00790A20">
              <w:rPr>
                <w:vertAlign w:val="subscript"/>
              </w:rPr>
              <w:t>peak</w:t>
            </w:r>
            <w:r w:rsidRPr="00790A20">
              <w:t xml:space="preserve"> (SRTT14 E1136) :</w:t>
            </w:r>
          </w:p>
        </w:tc>
        <w:tc>
          <w:tcPr>
            <w:tcW w:w="567" w:type="dxa"/>
            <w:tcBorders>
              <w:top w:val="nil"/>
              <w:left w:val="nil"/>
              <w:bottom w:val="nil"/>
              <w:right w:val="nil"/>
            </w:tcBorders>
          </w:tcPr>
          <w:p w:rsidR="00790A20" w:rsidRPr="00790A20" w:rsidRDefault="00790A20" w:rsidP="007F6B36">
            <w:pPr>
              <w:pStyle w:val="SingleTxtG"/>
              <w:spacing w:before="60" w:after="60"/>
              <w:ind w:left="57" w:right="57"/>
              <w:jc w:val="left"/>
            </w:pPr>
          </w:p>
        </w:tc>
        <w:tc>
          <w:tcPr>
            <w:tcW w:w="3435" w:type="dxa"/>
            <w:tcBorders>
              <w:left w:val="nil"/>
              <w:right w:val="nil"/>
            </w:tcBorders>
          </w:tcPr>
          <w:p w:rsidR="00790A20" w:rsidRPr="00790A20" w:rsidRDefault="00034820" w:rsidP="007F6B36">
            <w:pPr>
              <w:pStyle w:val="SingleTxtG"/>
              <w:spacing w:before="60" w:after="60"/>
              <w:ind w:left="57" w:right="57"/>
              <w:jc w:val="left"/>
            </w:pPr>
            <w:r>
              <w:t>ou BPN :</w:t>
            </w:r>
          </w:p>
        </w:tc>
      </w:tr>
      <w:tr w:rsidR="00790A20" w:rsidRPr="00790A20" w:rsidTr="007F6B36">
        <w:tc>
          <w:tcPr>
            <w:tcW w:w="3369" w:type="dxa"/>
            <w:tcBorders>
              <w:left w:val="nil"/>
              <w:right w:val="nil"/>
            </w:tcBorders>
          </w:tcPr>
          <w:p w:rsidR="00790A20" w:rsidRPr="00790A20" w:rsidRDefault="00790A20" w:rsidP="007F6B36">
            <w:pPr>
              <w:pStyle w:val="SingleTxtG"/>
              <w:spacing w:before="60" w:after="60"/>
              <w:ind w:left="57" w:right="57"/>
              <w:jc w:val="left"/>
            </w:pPr>
            <w:r w:rsidRPr="00790A20">
              <w:t>Vitesse (km/h) :</w:t>
            </w:r>
          </w:p>
        </w:tc>
        <w:tc>
          <w:tcPr>
            <w:tcW w:w="567" w:type="dxa"/>
            <w:tcBorders>
              <w:top w:val="nil"/>
              <w:left w:val="nil"/>
              <w:bottom w:val="nil"/>
              <w:right w:val="nil"/>
            </w:tcBorders>
          </w:tcPr>
          <w:p w:rsidR="00790A20" w:rsidRPr="00790A20" w:rsidRDefault="00790A20" w:rsidP="007F6B36">
            <w:pPr>
              <w:pStyle w:val="SingleTxtG"/>
              <w:spacing w:before="60" w:after="60"/>
              <w:ind w:left="57" w:right="57"/>
              <w:jc w:val="left"/>
            </w:pPr>
          </w:p>
        </w:tc>
        <w:tc>
          <w:tcPr>
            <w:tcW w:w="3435" w:type="dxa"/>
            <w:tcBorders>
              <w:left w:val="nil"/>
              <w:right w:val="nil"/>
            </w:tcBorders>
          </w:tcPr>
          <w:p w:rsidR="00790A20" w:rsidRPr="00790A20" w:rsidRDefault="00790A20" w:rsidP="007F6B36">
            <w:pPr>
              <w:pStyle w:val="SingleTxtG"/>
              <w:spacing w:before="60" w:after="60"/>
              <w:ind w:left="57" w:right="57"/>
              <w:jc w:val="left"/>
            </w:pPr>
            <w:r w:rsidRPr="00790A20">
              <w:t>Hauteur d</w:t>
            </w:r>
            <w:r>
              <w:t>’</w:t>
            </w:r>
            <w:r w:rsidR="00034820">
              <w:t>eau (en mm) :</w:t>
            </w:r>
          </w:p>
        </w:tc>
      </w:tr>
    </w:tbl>
    <w:p w:rsidR="00790A20" w:rsidRPr="007F6B36" w:rsidRDefault="00790A20" w:rsidP="007F6B36">
      <w:pPr>
        <w:pStyle w:val="SingleTxtG"/>
        <w:spacing w:before="120" w:after="240"/>
        <w:ind w:firstLine="170"/>
        <w:rPr>
          <w:b/>
          <w:sz w:val="18"/>
          <w:szCs w:val="18"/>
        </w:rPr>
      </w:pPr>
      <w:r w:rsidRPr="007F6B36">
        <w:rPr>
          <w:b/>
          <w:bCs/>
          <w:sz w:val="18"/>
          <w:szCs w:val="18"/>
        </w:rPr>
        <w:t>(*) Biffer la mention inutile.</w:t>
      </w:r>
    </w:p>
    <w:p w:rsidR="00790A20" w:rsidRPr="00790A20" w:rsidRDefault="007F6B36" w:rsidP="00790A20">
      <w:pPr>
        <w:pStyle w:val="SingleTxtG"/>
      </w:pPr>
      <w:r>
        <w:t>… »</w:t>
      </w:r>
    </w:p>
    <w:p w:rsidR="00790A20" w:rsidRPr="00790A20" w:rsidRDefault="007F6B36" w:rsidP="00790A20">
      <w:pPr>
        <w:pStyle w:val="SingleTxtG"/>
      </w:pPr>
      <w:r>
        <w:rPr>
          <w:i/>
          <w:iCs/>
        </w:rPr>
        <w:t>Exemple 2 : « </w:t>
      </w:r>
      <w:r w:rsidR="00790A20" w:rsidRPr="00790A20">
        <w:rPr>
          <w:i/>
          <w:iCs/>
        </w:rPr>
        <w:t>Procès-verbal d</w:t>
      </w:r>
      <w:r w:rsidR="00790A20">
        <w:rPr>
          <w:i/>
          <w:iCs/>
        </w:rPr>
        <w:t>’</w:t>
      </w:r>
      <w:r w:rsidR="00790A20" w:rsidRPr="00790A20">
        <w:rPr>
          <w:i/>
          <w:iCs/>
        </w:rPr>
        <w:t>essai effectué avec une voiture particulière</w:t>
      </w:r>
      <w:r>
        <w:t> », lire :</w:t>
      </w:r>
    </w:p>
    <w:p w:rsidR="00790A20" w:rsidRPr="00790A20" w:rsidRDefault="007F6B36" w:rsidP="00790A20">
      <w:pPr>
        <w:pStyle w:val="SingleTxtG"/>
        <w:rPr>
          <w:i/>
        </w:rPr>
      </w:pPr>
      <w:r>
        <w:t>« </w:t>
      </w:r>
    </w:p>
    <w:tbl>
      <w:tblPr>
        <w:tblW w:w="0" w:type="auto"/>
        <w:tblInd w:w="1242" w:type="dxa"/>
        <w:tblLayout w:type="fixed"/>
        <w:tblLook w:val="01E0" w:firstRow="1" w:lastRow="1" w:firstColumn="1" w:lastColumn="1" w:noHBand="0" w:noVBand="0"/>
      </w:tblPr>
      <w:tblGrid>
        <w:gridCol w:w="284"/>
        <w:gridCol w:w="2278"/>
        <w:gridCol w:w="299"/>
        <w:gridCol w:w="2360"/>
        <w:gridCol w:w="269"/>
        <w:gridCol w:w="2617"/>
      </w:tblGrid>
      <w:tr w:rsidR="007E7B50" w:rsidRPr="007F6B36" w:rsidTr="00FE188F">
        <w:trPr>
          <w:trHeight w:val="194"/>
        </w:trPr>
        <w:tc>
          <w:tcPr>
            <w:tcW w:w="2562" w:type="dxa"/>
            <w:gridSpan w:val="2"/>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r w:rsidRPr="007F6B36">
              <w:rPr>
                <w:sz w:val="18"/>
                <w:szCs w:val="18"/>
              </w:rPr>
              <w:t>Conducteur</w:t>
            </w:r>
            <w:r w:rsidR="00323AB1">
              <w:rPr>
                <w:sz w:val="18"/>
                <w:szCs w:val="18"/>
              </w:rPr>
              <w:t> :</w:t>
            </w:r>
          </w:p>
        </w:tc>
        <w:tc>
          <w:tcPr>
            <w:tcW w:w="299" w:type="dxa"/>
            <w:tcBorders>
              <w:top w:val="nil"/>
              <w:left w:val="single" w:sz="4" w:space="0" w:color="auto"/>
              <w:bottom w:val="nil"/>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r w:rsidRPr="007F6B36">
              <w:rPr>
                <w:sz w:val="18"/>
                <w:szCs w:val="18"/>
              </w:rPr>
              <w:t>Date de l’</w:t>
            </w:r>
            <w:r w:rsidR="007F6B36" w:rsidRPr="007F6B36">
              <w:rPr>
                <w:sz w:val="18"/>
                <w:szCs w:val="18"/>
              </w:rPr>
              <w:t>essai :</w:t>
            </w:r>
          </w:p>
        </w:tc>
        <w:tc>
          <w:tcPr>
            <w:tcW w:w="269" w:type="dxa"/>
            <w:tcBorders>
              <w:top w:val="nil"/>
              <w:left w:val="single" w:sz="4" w:space="0" w:color="auto"/>
              <w:bottom w:val="nil"/>
              <w:right w:val="nil"/>
            </w:tcBorders>
            <w:vAlign w:val="center"/>
          </w:tcPr>
          <w:p w:rsidR="00790A20" w:rsidRPr="007F6B36" w:rsidRDefault="00790A20" w:rsidP="007F6B36">
            <w:pPr>
              <w:pStyle w:val="SingleTxtG"/>
              <w:spacing w:before="60" w:after="60"/>
              <w:ind w:left="57" w:right="57"/>
              <w:jc w:val="left"/>
              <w:rPr>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790A20" w:rsidRPr="007F6B36" w:rsidRDefault="007F6B36" w:rsidP="007F6B36">
            <w:pPr>
              <w:pStyle w:val="SingleTxtG"/>
              <w:spacing w:before="60" w:after="60"/>
              <w:ind w:left="57" w:right="57"/>
              <w:jc w:val="left"/>
              <w:rPr>
                <w:b/>
                <w:sz w:val="18"/>
                <w:szCs w:val="18"/>
              </w:rPr>
            </w:pPr>
            <w:r w:rsidRPr="007F6B36">
              <w:rPr>
                <w:b/>
                <w:bCs/>
                <w:sz w:val="18"/>
                <w:szCs w:val="18"/>
              </w:rPr>
              <w:t>État du pneu :</w:t>
            </w:r>
            <w:r w:rsidR="00790A20" w:rsidRPr="007F6B36">
              <w:rPr>
                <w:b/>
                <w:bCs/>
                <w:sz w:val="18"/>
                <w:szCs w:val="18"/>
              </w:rPr>
              <w:t xml:space="preserve"> neuf ou usé (*)</w:t>
            </w:r>
          </w:p>
        </w:tc>
      </w:tr>
      <w:tr w:rsidR="007E7B50" w:rsidRPr="007F6B36" w:rsidTr="00FE188F">
        <w:trPr>
          <w:trHeight w:val="284"/>
        </w:trPr>
        <w:tc>
          <w:tcPr>
            <w:tcW w:w="2562" w:type="dxa"/>
            <w:gridSpan w:val="2"/>
            <w:tcBorders>
              <w:top w:val="single" w:sz="4" w:space="0" w:color="auto"/>
              <w:left w:val="nil"/>
              <w:bottom w:val="single" w:sz="4" w:space="0" w:color="auto"/>
              <w:right w:val="nil"/>
            </w:tcBorders>
            <w:vAlign w:val="center"/>
          </w:tcPr>
          <w:p w:rsidR="00790A20" w:rsidRPr="007F6B36" w:rsidRDefault="00790A20" w:rsidP="007F6B36">
            <w:pPr>
              <w:pStyle w:val="SingleTxtG"/>
              <w:spacing w:before="60" w:after="60"/>
              <w:ind w:left="57" w:right="57"/>
              <w:jc w:val="left"/>
              <w:rPr>
                <w:sz w:val="18"/>
                <w:szCs w:val="18"/>
              </w:rPr>
            </w:pPr>
          </w:p>
        </w:tc>
        <w:tc>
          <w:tcPr>
            <w:tcW w:w="299" w:type="dxa"/>
            <w:tcBorders>
              <w:top w:val="nil"/>
              <w:left w:val="nil"/>
              <w:bottom w:val="nil"/>
              <w:right w:val="nil"/>
            </w:tcBorders>
            <w:vAlign w:val="center"/>
          </w:tcPr>
          <w:p w:rsidR="00790A20" w:rsidRPr="007F6B36" w:rsidRDefault="00790A20" w:rsidP="007F6B36">
            <w:pPr>
              <w:pStyle w:val="SingleTxtG"/>
              <w:spacing w:before="60" w:after="60"/>
              <w:ind w:left="57" w:right="57"/>
              <w:jc w:val="left"/>
              <w:rPr>
                <w:sz w:val="18"/>
                <w:szCs w:val="18"/>
              </w:rPr>
            </w:pPr>
          </w:p>
        </w:tc>
        <w:tc>
          <w:tcPr>
            <w:tcW w:w="2360" w:type="dxa"/>
            <w:tcBorders>
              <w:top w:val="single" w:sz="4" w:space="0" w:color="auto"/>
              <w:left w:val="nil"/>
              <w:bottom w:val="single" w:sz="4" w:space="0" w:color="auto"/>
              <w:right w:val="nil"/>
            </w:tcBorders>
            <w:vAlign w:val="center"/>
          </w:tcPr>
          <w:p w:rsidR="00790A20" w:rsidRPr="007F6B36" w:rsidRDefault="00790A20" w:rsidP="007F6B36">
            <w:pPr>
              <w:pStyle w:val="SingleTxtG"/>
              <w:spacing w:before="60" w:after="60"/>
              <w:ind w:left="57" w:right="57"/>
              <w:jc w:val="left"/>
              <w:rPr>
                <w:sz w:val="18"/>
                <w:szCs w:val="18"/>
              </w:rPr>
            </w:pPr>
          </w:p>
        </w:tc>
        <w:tc>
          <w:tcPr>
            <w:tcW w:w="269" w:type="dxa"/>
            <w:tcBorders>
              <w:top w:val="nil"/>
              <w:left w:val="nil"/>
              <w:bottom w:val="nil"/>
            </w:tcBorders>
            <w:vAlign w:val="center"/>
          </w:tcPr>
          <w:p w:rsidR="00790A20" w:rsidRPr="007F6B36" w:rsidRDefault="00790A20" w:rsidP="007F6B36">
            <w:pPr>
              <w:pStyle w:val="SingleTxtG"/>
              <w:spacing w:before="60" w:after="60"/>
              <w:ind w:left="57" w:right="57"/>
              <w:jc w:val="left"/>
              <w:rPr>
                <w:sz w:val="18"/>
                <w:szCs w:val="18"/>
              </w:rPr>
            </w:pPr>
          </w:p>
        </w:tc>
        <w:tc>
          <w:tcPr>
            <w:tcW w:w="2617" w:type="dxa"/>
            <w:tcBorders>
              <w:top w:val="single" w:sz="4" w:space="0" w:color="auto"/>
              <w:bottom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r>
      <w:tr w:rsidR="007E7B50" w:rsidRPr="007F6B36" w:rsidTr="00FE188F">
        <w:trPr>
          <w:trHeight w:val="284"/>
        </w:trPr>
        <w:tc>
          <w:tcPr>
            <w:tcW w:w="2562" w:type="dxa"/>
            <w:gridSpan w:val="2"/>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r w:rsidRPr="007F6B36">
              <w:rPr>
                <w:sz w:val="18"/>
                <w:szCs w:val="18"/>
              </w:rPr>
              <w:t>Piste</w:t>
            </w:r>
            <w:r w:rsidR="00323AB1">
              <w:rPr>
                <w:sz w:val="18"/>
                <w:szCs w:val="18"/>
              </w:rPr>
              <w:t> :</w:t>
            </w:r>
          </w:p>
        </w:tc>
        <w:tc>
          <w:tcPr>
            <w:tcW w:w="299" w:type="dxa"/>
            <w:tcBorders>
              <w:top w:val="nil"/>
              <w:left w:val="single" w:sz="4" w:space="0" w:color="auto"/>
              <w:bottom w:val="nil"/>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790A20" w:rsidRPr="007F6B36" w:rsidRDefault="007F6B36" w:rsidP="007F6B36">
            <w:pPr>
              <w:pStyle w:val="SingleTxtG"/>
              <w:spacing w:before="60" w:after="60"/>
              <w:ind w:left="57" w:right="57"/>
              <w:jc w:val="left"/>
              <w:rPr>
                <w:sz w:val="18"/>
                <w:szCs w:val="18"/>
              </w:rPr>
            </w:pPr>
            <w:r w:rsidRPr="007F6B36">
              <w:rPr>
                <w:sz w:val="18"/>
                <w:szCs w:val="18"/>
              </w:rPr>
              <w:t>Voiture particulière :</w:t>
            </w:r>
          </w:p>
        </w:tc>
        <w:tc>
          <w:tcPr>
            <w:tcW w:w="269" w:type="dxa"/>
            <w:tcBorders>
              <w:top w:val="nil"/>
              <w:left w:val="single" w:sz="4" w:space="0" w:color="auto"/>
              <w:bottom w:val="nil"/>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790A20" w:rsidRPr="007F6B36" w:rsidRDefault="007F6B36" w:rsidP="007F6B36">
            <w:pPr>
              <w:pStyle w:val="SingleTxtG"/>
              <w:spacing w:before="60" w:after="60"/>
              <w:ind w:left="57" w:right="57"/>
              <w:jc w:val="left"/>
              <w:rPr>
                <w:sz w:val="18"/>
                <w:szCs w:val="18"/>
              </w:rPr>
            </w:pPr>
            <w:r w:rsidRPr="007F6B36">
              <w:rPr>
                <w:sz w:val="18"/>
                <w:szCs w:val="18"/>
              </w:rPr>
              <w:t>Vitesse initiale (en km/h) :</w:t>
            </w:r>
          </w:p>
        </w:tc>
      </w:tr>
      <w:tr w:rsidR="007E7B50" w:rsidRPr="007F6B36" w:rsidTr="00FE188F">
        <w:trPr>
          <w:trHeight w:val="284"/>
        </w:trPr>
        <w:tc>
          <w:tcPr>
            <w:tcW w:w="284" w:type="dxa"/>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278" w:type="dxa"/>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E7B50">
            <w:pPr>
              <w:pStyle w:val="SingleTxtG"/>
              <w:spacing w:before="60" w:after="60"/>
              <w:ind w:left="57" w:right="57"/>
              <w:jc w:val="left"/>
              <w:rPr>
                <w:sz w:val="18"/>
                <w:szCs w:val="18"/>
              </w:rPr>
            </w:pPr>
            <w:r w:rsidRPr="007F6B36">
              <w:rPr>
                <w:sz w:val="18"/>
                <w:szCs w:val="18"/>
              </w:rPr>
              <w:t>Pr</w:t>
            </w:r>
            <w:r w:rsidR="007F6B36" w:rsidRPr="007F6B36">
              <w:rPr>
                <w:sz w:val="18"/>
                <w:szCs w:val="18"/>
              </w:rPr>
              <w:t>ofondeur de la texture (en</w:t>
            </w:r>
            <w:r w:rsidR="007E7B50">
              <w:rPr>
                <w:sz w:val="18"/>
                <w:szCs w:val="18"/>
              </w:rPr>
              <w:t> </w:t>
            </w:r>
            <w:r w:rsidR="007F6B36" w:rsidRPr="007F6B36">
              <w:rPr>
                <w:sz w:val="18"/>
                <w:szCs w:val="18"/>
              </w:rPr>
              <w:t>mm) :</w:t>
            </w:r>
          </w:p>
        </w:tc>
        <w:tc>
          <w:tcPr>
            <w:tcW w:w="299" w:type="dxa"/>
            <w:tcBorders>
              <w:top w:val="nil"/>
              <w:left w:val="single" w:sz="4" w:space="0" w:color="auto"/>
              <w:bottom w:val="nil"/>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790A20" w:rsidRPr="007F6B36" w:rsidRDefault="007F6B36" w:rsidP="007F6B36">
            <w:pPr>
              <w:pStyle w:val="SingleTxtG"/>
              <w:spacing w:before="60" w:after="60"/>
              <w:ind w:left="57" w:right="57"/>
              <w:jc w:val="left"/>
              <w:rPr>
                <w:sz w:val="18"/>
                <w:szCs w:val="18"/>
              </w:rPr>
            </w:pPr>
            <w:r w:rsidRPr="007F6B36">
              <w:rPr>
                <w:sz w:val="18"/>
                <w:szCs w:val="18"/>
              </w:rPr>
              <w:t>Marque :</w:t>
            </w:r>
          </w:p>
        </w:tc>
        <w:tc>
          <w:tcPr>
            <w:tcW w:w="269" w:type="dxa"/>
            <w:tcBorders>
              <w:top w:val="nil"/>
              <w:left w:val="single" w:sz="4" w:space="0" w:color="auto"/>
              <w:bottom w:val="nil"/>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790A20" w:rsidRPr="007F6B36" w:rsidRDefault="007F6B36" w:rsidP="007F6B36">
            <w:pPr>
              <w:pStyle w:val="SingleTxtG"/>
              <w:spacing w:before="60" w:after="60"/>
              <w:ind w:left="57" w:right="57"/>
              <w:jc w:val="left"/>
              <w:rPr>
                <w:sz w:val="18"/>
                <w:szCs w:val="18"/>
              </w:rPr>
            </w:pPr>
            <w:r w:rsidRPr="007F6B36">
              <w:rPr>
                <w:sz w:val="18"/>
                <w:szCs w:val="18"/>
              </w:rPr>
              <w:t>Vitesse finale (en km/h) :</w:t>
            </w:r>
          </w:p>
        </w:tc>
      </w:tr>
      <w:tr w:rsidR="007E7B50" w:rsidRPr="007F6B36" w:rsidTr="00FE188F">
        <w:trPr>
          <w:trHeight w:val="284"/>
        </w:trPr>
        <w:tc>
          <w:tcPr>
            <w:tcW w:w="284" w:type="dxa"/>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278" w:type="dxa"/>
            <w:tcBorders>
              <w:top w:val="single" w:sz="4" w:space="0" w:color="auto"/>
              <w:left w:val="single" w:sz="4" w:space="0" w:color="auto"/>
              <w:bottom w:val="single" w:sz="4" w:space="0" w:color="auto"/>
              <w:right w:val="single" w:sz="4" w:space="0" w:color="auto"/>
            </w:tcBorders>
            <w:vAlign w:val="center"/>
          </w:tcPr>
          <w:p w:rsidR="00790A20" w:rsidRPr="007F6B36" w:rsidRDefault="007F6B36" w:rsidP="007F6B36">
            <w:pPr>
              <w:pStyle w:val="SingleTxtG"/>
              <w:spacing w:before="60" w:after="60"/>
              <w:ind w:left="57" w:right="57"/>
              <w:jc w:val="left"/>
              <w:rPr>
                <w:sz w:val="18"/>
                <w:szCs w:val="18"/>
              </w:rPr>
            </w:pPr>
            <w:r w:rsidRPr="007F6B36">
              <w:rPr>
                <w:sz w:val="18"/>
                <w:szCs w:val="18"/>
              </w:rPr>
              <w:t>BPN :</w:t>
            </w:r>
          </w:p>
        </w:tc>
        <w:tc>
          <w:tcPr>
            <w:tcW w:w="299" w:type="dxa"/>
            <w:tcBorders>
              <w:top w:val="nil"/>
              <w:left w:val="single" w:sz="4" w:space="0" w:color="auto"/>
              <w:bottom w:val="nil"/>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790A20" w:rsidRPr="007F6B36" w:rsidRDefault="007F6B36" w:rsidP="007F6B36">
            <w:pPr>
              <w:pStyle w:val="SingleTxtG"/>
              <w:spacing w:before="60" w:after="60"/>
              <w:ind w:left="57" w:right="57"/>
              <w:jc w:val="left"/>
              <w:rPr>
                <w:sz w:val="18"/>
                <w:szCs w:val="18"/>
              </w:rPr>
            </w:pPr>
            <w:r w:rsidRPr="007F6B36">
              <w:rPr>
                <w:sz w:val="18"/>
                <w:szCs w:val="18"/>
              </w:rPr>
              <w:t>Modèle :</w:t>
            </w:r>
          </w:p>
        </w:tc>
        <w:tc>
          <w:tcPr>
            <w:tcW w:w="269" w:type="dxa"/>
            <w:tcBorders>
              <w:top w:val="nil"/>
              <w:left w:val="single" w:sz="4" w:space="0" w:color="auto"/>
              <w:bottom w:val="nil"/>
              <w:right w:val="nil"/>
            </w:tcBorders>
            <w:vAlign w:val="center"/>
          </w:tcPr>
          <w:p w:rsidR="00790A20" w:rsidRPr="007F6B36" w:rsidRDefault="00790A20" w:rsidP="007F6B36">
            <w:pPr>
              <w:pStyle w:val="SingleTxtG"/>
              <w:spacing w:before="60" w:after="60"/>
              <w:ind w:left="57" w:right="57"/>
              <w:jc w:val="left"/>
              <w:rPr>
                <w:sz w:val="18"/>
                <w:szCs w:val="18"/>
              </w:rPr>
            </w:pPr>
          </w:p>
        </w:tc>
        <w:tc>
          <w:tcPr>
            <w:tcW w:w="2617" w:type="dxa"/>
            <w:tcBorders>
              <w:left w:val="nil"/>
              <w:bottom w:val="nil"/>
              <w:right w:val="nil"/>
            </w:tcBorders>
            <w:vAlign w:val="center"/>
          </w:tcPr>
          <w:p w:rsidR="00790A20" w:rsidRPr="007F6B36" w:rsidRDefault="00790A20" w:rsidP="007F6B36">
            <w:pPr>
              <w:pStyle w:val="SingleTxtG"/>
              <w:spacing w:before="60" w:after="60"/>
              <w:ind w:left="57" w:right="57"/>
              <w:jc w:val="left"/>
              <w:rPr>
                <w:sz w:val="18"/>
                <w:szCs w:val="18"/>
              </w:rPr>
            </w:pPr>
          </w:p>
        </w:tc>
      </w:tr>
      <w:tr w:rsidR="007E7B50" w:rsidRPr="007F6B36" w:rsidTr="00FE188F">
        <w:trPr>
          <w:trHeight w:val="284"/>
        </w:trPr>
        <w:tc>
          <w:tcPr>
            <w:tcW w:w="284" w:type="dxa"/>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278" w:type="dxa"/>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r w:rsidRPr="007F6B36">
              <w:rPr>
                <w:sz w:val="18"/>
                <w:szCs w:val="18"/>
              </w:rPr>
              <w:t xml:space="preserve">Hauteur d’eau </w:t>
            </w:r>
            <w:r w:rsidR="007F6B36" w:rsidRPr="007F6B36">
              <w:rPr>
                <w:sz w:val="18"/>
                <w:szCs w:val="18"/>
              </w:rPr>
              <w:br/>
              <w:t>(en mm) :</w:t>
            </w:r>
          </w:p>
        </w:tc>
        <w:tc>
          <w:tcPr>
            <w:tcW w:w="299" w:type="dxa"/>
            <w:tcBorders>
              <w:top w:val="nil"/>
              <w:left w:val="single" w:sz="4" w:space="0" w:color="auto"/>
              <w:bottom w:val="nil"/>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790A20" w:rsidRPr="007F6B36" w:rsidRDefault="00790A20" w:rsidP="007F6B36">
            <w:pPr>
              <w:pStyle w:val="SingleTxtG"/>
              <w:spacing w:before="60" w:after="60"/>
              <w:ind w:left="57" w:right="57"/>
              <w:jc w:val="left"/>
              <w:rPr>
                <w:sz w:val="18"/>
                <w:szCs w:val="18"/>
              </w:rPr>
            </w:pPr>
            <w:r w:rsidRPr="007F6B36">
              <w:rPr>
                <w:sz w:val="18"/>
                <w:szCs w:val="18"/>
              </w:rPr>
              <w:t>Type :</w:t>
            </w:r>
          </w:p>
        </w:tc>
        <w:tc>
          <w:tcPr>
            <w:tcW w:w="269" w:type="dxa"/>
            <w:tcBorders>
              <w:top w:val="nil"/>
              <w:left w:val="single" w:sz="4" w:space="0" w:color="auto"/>
              <w:bottom w:val="nil"/>
              <w:right w:val="nil"/>
            </w:tcBorders>
            <w:vAlign w:val="center"/>
          </w:tcPr>
          <w:p w:rsidR="00790A20" w:rsidRPr="007F6B36" w:rsidRDefault="00790A20" w:rsidP="007F6B36">
            <w:pPr>
              <w:pStyle w:val="SingleTxtG"/>
              <w:spacing w:before="60" w:after="60"/>
              <w:ind w:left="57" w:right="57"/>
              <w:jc w:val="left"/>
              <w:rPr>
                <w:sz w:val="18"/>
                <w:szCs w:val="18"/>
              </w:rPr>
            </w:pPr>
          </w:p>
        </w:tc>
        <w:tc>
          <w:tcPr>
            <w:tcW w:w="2617" w:type="dxa"/>
            <w:tcBorders>
              <w:top w:val="nil"/>
              <w:left w:val="nil"/>
              <w:bottom w:val="nil"/>
              <w:right w:val="nil"/>
            </w:tcBorders>
            <w:vAlign w:val="center"/>
          </w:tcPr>
          <w:p w:rsidR="00790A20" w:rsidRPr="007F6B36" w:rsidRDefault="00790A20" w:rsidP="007F6B36">
            <w:pPr>
              <w:pStyle w:val="SingleTxtG"/>
              <w:spacing w:before="60" w:after="60"/>
              <w:ind w:left="57" w:right="57"/>
              <w:jc w:val="left"/>
              <w:rPr>
                <w:sz w:val="18"/>
                <w:szCs w:val="18"/>
              </w:rPr>
            </w:pPr>
          </w:p>
        </w:tc>
      </w:tr>
    </w:tbl>
    <w:p w:rsidR="00790A20" w:rsidRPr="007F6B36" w:rsidRDefault="00790A20" w:rsidP="007F6B36">
      <w:pPr>
        <w:pStyle w:val="SingleTxtG"/>
        <w:spacing w:before="120" w:after="240"/>
        <w:ind w:firstLine="170"/>
        <w:rPr>
          <w:b/>
          <w:sz w:val="18"/>
          <w:szCs w:val="18"/>
        </w:rPr>
      </w:pPr>
      <w:r w:rsidRPr="007F6B36">
        <w:rPr>
          <w:b/>
          <w:bCs/>
          <w:sz w:val="18"/>
          <w:szCs w:val="18"/>
        </w:rPr>
        <w:t>(*) Biffer la mention inutile.</w:t>
      </w:r>
    </w:p>
    <w:p w:rsidR="00332243" w:rsidRDefault="007F6B36" w:rsidP="00332243">
      <w:pPr>
        <w:pStyle w:val="SingleTxtG"/>
      </w:pPr>
      <w:r>
        <w:t>… »</w:t>
      </w:r>
    </w:p>
    <w:p w:rsidR="00790A20" w:rsidRPr="00790A20" w:rsidRDefault="00332243" w:rsidP="004D1F7C">
      <w:pPr>
        <w:pStyle w:val="HChG"/>
      </w:pPr>
      <w:r>
        <w:br w:type="page"/>
      </w:r>
      <w:r>
        <w:lastRenderedPageBreak/>
        <w:tab/>
      </w:r>
      <w:r w:rsidR="00790A20" w:rsidRPr="00790A20">
        <w:t>II.</w:t>
      </w:r>
      <w:r w:rsidR="00790A20" w:rsidRPr="00790A20">
        <w:tab/>
        <w:t>Justification</w:t>
      </w:r>
    </w:p>
    <w:p w:rsidR="00790A20" w:rsidRPr="00790A20" w:rsidRDefault="004D1F7C" w:rsidP="004D1F7C">
      <w:pPr>
        <w:pStyle w:val="H4G"/>
      </w:pPr>
      <w:r>
        <w:tab/>
      </w:r>
      <w:r>
        <w:tab/>
      </w:r>
      <w:r w:rsidR="00790A20" w:rsidRPr="00790A20">
        <w:t>Contexte</w:t>
      </w:r>
    </w:p>
    <w:p w:rsidR="00790A20" w:rsidRPr="00790A20" w:rsidRDefault="00790A20" w:rsidP="00790A20">
      <w:pPr>
        <w:pStyle w:val="SingleTxtG"/>
      </w:pPr>
      <w:r w:rsidRPr="00790A20">
        <w:t>1.</w:t>
      </w:r>
      <w:r w:rsidRPr="00790A20">
        <w:tab/>
        <w:t xml:space="preserve">Le Règlement ONU </w:t>
      </w:r>
      <w:r w:rsidR="004D1F7C" w:rsidRPr="002D76F4">
        <w:rPr>
          <w:rFonts w:eastAsia="MS Mincho"/>
          <w:szCs w:val="22"/>
        </w:rPr>
        <w:t>n</w:t>
      </w:r>
      <w:r w:rsidR="004D1F7C" w:rsidRPr="002D76F4">
        <w:rPr>
          <w:rFonts w:eastAsia="MS Mincho"/>
          <w:szCs w:val="22"/>
          <w:vertAlign w:val="superscript"/>
        </w:rPr>
        <w:t>o</w:t>
      </w:r>
      <w:r w:rsidR="004D1F7C">
        <w:t> </w:t>
      </w:r>
      <w:r w:rsidRPr="00790A20">
        <w:t>117 définit les seuils minimaux applicables aux performances environnementales (bruit et résistance au roulement) et aux performances de sécurité (adhérence sur sol mouillé) que les pneumatiques doivent atteindre pour être homologués.</w:t>
      </w:r>
    </w:p>
    <w:p w:rsidR="00790A20" w:rsidRPr="00790A20" w:rsidRDefault="00790A20" w:rsidP="00790A20">
      <w:pPr>
        <w:pStyle w:val="SingleTxtG"/>
      </w:pPr>
      <w:r w:rsidRPr="00790A20">
        <w:t>2.</w:t>
      </w:r>
      <w:r w:rsidRPr="00790A20">
        <w:tab/>
        <w:t>Aujourd</w:t>
      </w:r>
      <w:r>
        <w:t>’</w:t>
      </w:r>
      <w:r w:rsidRPr="00790A20">
        <w:t>hui, les essais de performance sont effectués sur des pneumatiques neufs, et bien qu</w:t>
      </w:r>
      <w:r>
        <w:t>’</w:t>
      </w:r>
      <w:r w:rsidRPr="00790A20">
        <w:t>il s</w:t>
      </w:r>
      <w:r>
        <w:t>’</w:t>
      </w:r>
      <w:r w:rsidRPr="00790A20">
        <w:t>agisse du cas le plus défavorable pour le bruit et la résistance au roulement, l</w:t>
      </w:r>
      <w:r>
        <w:t>’</w:t>
      </w:r>
      <w:r w:rsidRPr="00790A20">
        <w:t>adhérence sur sol mouillé diminue avec l</w:t>
      </w:r>
      <w:r>
        <w:t>’</w:t>
      </w:r>
      <w:r w:rsidRPr="00790A20">
        <w:t>usure. Cette diminution (qui a pour conséquence une augmentation de la distance de freinage) peut varier considérablement d</w:t>
      </w:r>
      <w:r>
        <w:t>’</w:t>
      </w:r>
      <w:r w:rsidRPr="00790A20">
        <w:t>un pneumatique à l</w:t>
      </w:r>
      <w:r>
        <w:t>’</w:t>
      </w:r>
      <w:r w:rsidRPr="00790A20">
        <w:t>autre et ne peut être induite par l</w:t>
      </w:r>
      <w:r>
        <w:t>’</w:t>
      </w:r>
      <w:r w:rsidRPr="00790A20">
        <w:t>adhérence sur sol mouillé à l</w:t>
      </w:r>
      <w:r>
        <w:t>’</w:t>
      </w:r>
      <w:r w:rsidRPr="00790A20">
        <w:t>état neuf.</w:t>
      </w:r>
      <w:r w:rsidR="000C17FF">
        <w:t xml:space="preserve"> </w:t>
      </w:r>
    </w:p>
    <w:p w:rsidR="00790A20" w:rsidRPr="00790A20" w:rsidRDefault="00790A20" w:rsidP="00790A20">
      <w:pPr>
        <w:pStyle w:val="SingleTxtG"/>
      </w:pPr>
      <w:r w:rsidRPr="00790A20">
        <w:t>3.</w:t>
      </w:r>
      <w:r w:rsidRPr="00790A20">
        <w:tab/>
        <w:t>L</w:t>
      </w:r>
      <w:r>
        <w:t>’</w:t>
      </w:r>
      <w:r w:rsidRPr="00790A20">
        <w:t>établissement d</w:t>
      </w:r>
      <w:r>
        <w:t>’</w:t>
      </w:r>
      <w:r w:rsidRPr="00790A20">
        <w:t>un seuil d</w:t>
      </w:r>
      <w:r>
        <w:t>’</w:t>
      </w:r>
      <w:r w:rsidRPr="00790A20">
        <w:t>adhérence sur sol mouillé à l</w:t>
      </w:r>
      <w:r>
        <w:t>’</w:t>
      </w:r>
      <w:r w:rsidRPr="00790A20">
        <w:t>état usé contribuerait à améliorer la distance de freinage et, partant, la sécurité routière, tout en permettant de tester l</w:t>
      </w:r>
      <w:r>
        <w:t>’</w:t>
      </w:r>
      <w:r w:rsidRPr="00790A20">
        <w:t>aquaplanage, qui n</w:t>
      </w:r>
      <w:r>
        <w:t>’</w:t>
      </w:r>
      <w:r w:rsidRPr="00790A20">
        <w:t>est pas évalué dans le cadre de l</w:t>
      </w:r>
      <w:r>
        <w:t>’</w:t>
      </w:r>
      <w:r w:rsidRPr="00790A20">
        <w:t>essai actuel des pneumatiques neufs. Cela éviterait également le gaspillage écologique et économique, puisque de nombreux conducteurs remplacent leurs pneumatiques avant d</w:t>
      </w:r>
      <w:r>
        <w:t>’</w:t>
      </w:r>
      <w:r w:rsidRPr="00790A20">
        <w:t>atteindre la profondeur minimale des sculptures prévue par la loi, pour essayer de limiter la perte d</w:t>
      </w:r>
      <w:r>
        <w:t>’</w:t>
      </w:r>
      <w:r w:rsidRPr="00790A20">
        <w:t xml:space="preserve">adhérence. </w:t>
      </w:r>
    </w:p>
    <w:p w:rsidR="00790A20" w:rsidRPr="00790A20" w:rsidRDefault="004D1F7C" w:rsidP="004D1F7C">
      <w:pPr>
        <w:pStyle w:val="H4G"/>
        <w:rPr>
          <w:b/>
        </w:rPr>
      </w:pPr>
      <w:r>
        <w:tab/>
      </w:r>
      <w:r>
        <w:tab/>
      </w:r>
      <w:r w:rsidR="00790A20" w:rsidRPr="00790A20">
        <w:t>Proposition</w:t>
      </w:r>
    </w:p>
    <w:p w:rsidR="00790A20" w:rsidRPr="00790A20" w:rsidRDefault="00790A20" w:rsidP="00790A20">
      <w:pPr>
        <w:pStyle w:val="SingleTxtG"/>
      </w:pPr>
      <w:r w:rsidRPr="00790A20">
        <w:t>4.</w:t>
      </w:r>
      <w:r w:rsidRPr="00790A20">
        <w:tab/>
        <w:t>Afin d</w:t>
      </w:r>
      <w:r>
        <w:t>’</w:t>
      </w:r>
      <w:r w:rsidRPr="00790A20">
        <w:t>éviter le changement précoce des pneumatiques et ses conséquences environnementales et économiques, tout en améliorant la sécurité routière, la France propose de modifier le présent Règlement en introduisant une prescription relative à l</w:t>
      </w:r>
      <w:r>
        <w:t>’</w:t>
      </w:r>
      <w:r w:rsidRPr="00790A20">
        <w:t>adhérence sur sol mouillé pour les pneuma</w:t>
      </w:r>
      <w:r w:rsidR="004D1F7C">
        <w:t>tiques de la classe </w:t>
      </w:r>
      <w:r w:rsidRPr="00790A20">
        <w:t>C1 à l</w:t>
      </w:r>
      <w:r>
        <w:t>’</w:t>
      </w:r>
      <w:r w:rsidRPr="00790A20">
        <w:t>état usé. L</w:t>
      </w:r>
      <w:r>
        <w:t>’</w:t>
      </w:r>
      <w:r w:rsidRPr="00790A20">
        <w:t>état usé est obtenu en polissant les pneumatiques selon une méthode normalisée, afin qu</w:t>
      </w:r>
      <w:r>
        <w:t>’</w:t>
      </w:r>
      <w:r w:rsidRPr="00790A20">
        <w:t>ils atteignent la limite minimale de profondeur des sculptures. Les prescriptions relatives à l</w:t>
      </w:r>
      <w:r>
        <w:t>’</w:t>
      </w:r>
      <w:r w:rsidRPr="00790A20">
        <w:t>homologation de type seraient alors aussi représentatives que possible des conditions réelles d</w:t>
      </w:r>
      <w:r>
        <w:t>’</w:t>
      </w:r>
      <w:r w:rsidR="004D1F7C">
        <w:t>utilisation.</w:t>
      </w:r>
    </w:p>
    <w:p w:rsidR="00790A20" w:rsidRPr="00790A20" w:rsidRDefault="00790A20" w:rsidP="004D1F7C">
      <w:pPr>
        <w:pStyle w:val="SingleTxtG"/>
        <w:keepNext/>
        <w:keepLines/>
      </w:pPr>
      <w:r w:rsidRPr="00790A20">
        <w:t>5.</w:t>
      </w:r>
      <w:r w:rsidRPr="00790A20">
        <w:tab/>
        <w:t>Les modifications introduites dans le texte du Rè</w:t>
      </w:r>
      <w:r w:rsidR="004D1F7C">
        <w:t>glement sont résumées ci-après :</w:t>
      </w:r>
    </w:p>
    <w:p w:rsidR="00790A20" w:rsidRPr="00790A20" w:rsidRDefault="00790A20" w:rsidP="004D1F7C">
      <w:pPr>
        <w:pStyle w:val="Bullet1G"/>
      </w:pPr>
      <w:r w:rsidRPr="00790A20">
        <w:t>Ajouter une défi</w:t>
      </w:r>
      <w:r w:rsidR="004D1F7C">
        <w:t>nition du pneumatique usé (par. </w:t>
      </w:r>
      <w:r w:rsidR="00323AB1">
        <w:t>2.19.2) ;</w:t>
      </w:r>
    </w:p>
    <w:p w:rsidR="00790A20" w:rsidRPr="00790A20" w:rsidRDefault="004D1F7C" w:rsidP="004D1F7C">
      <w:pPr>
        <w:pStyle w:val="Bullet1G"/>
      </w:pPr>
      <w:r>
        <w:t>Ajouter un symbole (par. </w:t>
      </w:r>
      <w:r w:rsidR="00790A20" w:rsidRPr="00790A20">
        <w:t>5.3.2 et</w:t>
      </w:r>
      <w:r>
        <w:t> </w:t>
      </w:r>
      <w:r w:rsidR="00790A20" w:rsidRPr="00790A20">
        <w:t>5.4.3) et un nouvel exemple de marque d</w:t>
      </w:r>
      <w:r w:rsidR="00790A20">
        <w:t>’</w:t>
      </w:r>
      <w:r>
        <w:t>homologation (annexe </w:t>
      </w:r>
      <w:r w:rsidR="00790A20" w:rsidRPr="00790A20">
        <w:t>2, exemple</w:t>
      </w:r>
      <w:r>
        <w:t> </w:t>
      </w:r>
      <w:r w:rsidR="00323AB1">
        <w:t>3) ;</w:t>
      </w:r>
    </w:p>
    <w:p w:rsidR="00790A20" w:rsidRPr="00790A20" w:rsidRDefault="00790A20" w:rsidP="004D1F7C">
      <w:pPr>
        <w:pStyle w:val="Bullet1G"/>
      </w:pPr>
      <w:r w:rsidRPr="00790A20">
        <w:t>Ajouter les disposi</w:t>
      </w:r>
      <w:r w:rsidR="004D1F7C">
        <w:t>tions transitoires ad hoc (par. </w:t>
      </w:r>
      <w:r w:rsidR="00323AB1">
        <w:t>12.9, 12.10 et 12.11) ;</w:t>
      </w:r>
    </w:p>
    <w:p w:rsidR="00790A20" w:rsidRPr="00790A20" w:rsidRDefault="00790A20" w:rsidP="004D1F7C">
      <w:pPr>
        <w:pStyle w:val="Bullet1G"/>
      </w:pPr>
      <w:r w:rsidRPr="00790A20">
        <w:t xml:space="preserve">Ajouter un point dans le modèle de fiche de communication (annexe 1, point 6.3) et apporter des corrections rédactionnelles à certains </w:t>
      </w:r>
      <w:r w:rsidR="004D1F7C">
        <w:t>autres points (annexe</w:t>
      </w:r>
      <w:r w:rsidR="00894FD4">
        <w:t> </w:t>
      </w:r>
      <w:r w:rsidR="004D1F7C">
        <w:t>1, points 6.1 et 6.2, ancien point 6.3 et point </w:t>
      </w:r>
      <w:r w:rsidR="00323AB1">
        <w:t>6.4) ;</w:t>
      </w:r>
    </w:p>
    <w:p w:rsidR="00790A20" w:rsidRPr="00790A20" w:rsidRDefault="00790A20" w:rsidP="004D1F7C">
      <w:pPr>
        <w:pStyle w:val="Bullet1G"/>
      </w:pPr>
      <w:r w:rsidRPr="00790A20">
        <w:t>Ajouter un renvoi à la norme à observer pour la préparation de pneumatiques usés artificiellement en vue</w:t>
      </w:r>
      <w:r w:rsidR="004D1F7C">
        <w:t xml:space="preserve"> de réaliser des essais (annexe 5, partie </w:t>
      </w:r>
      <w:r w:rsidRPr="00790A20">
        <w:t>A, par</w:t>
      </w:r>
      <w:r w:rsidR="004D1F7C">
        <w:t>. </w:t>
      </w:r>
      <w:r w:rsidR="00323AB1">
        <w:t>1.6) ;</w:t>
      </w:r>
    </w:p>
    <w:p w:rsidR="00790A20" w:rsidRPr="00790A20" w:rsidRDefault="00790A20" w:rsidP="004D1F7C">
      <w:pPr>
        <w:pStyle w:val="Bullet1G"/>
      </w:pPr>
      <w:r w:rsidRPr="00790A20">
        <w:t>Ajouter une exclusion relative à l</w:t>
      </w:r>
      <w:r>
        <w:t>’</w:t>
      </w:r>
      <w:r w:rsidRPr="00790A20">
        <w:t>utilisation d</w:t>
      </w:r>
      <w:r>
        <w:t>’</w:t>
      </w:r>
      <w:r w:rsidRPr="00790A20">
        <w:t>un SRTT 14 usé pour mesurer l</w:t>
      </w:r>
      <w:r>
        <w:t>’</w:t>
      </w:r>
      <w:r w:rsidRPr="00790A20">
        <w:t>adhérence de la piste (annexe</w:t>
      </w:r>
      <w:r w:rsidR="00323AB1">
        <w:t xml:space="preserve"> 5, partie A, paragraphe 3.2.2) ;</w:t>
      </w:r>
    </w:p>
    <w:p w:rsidR="00790A20" w:rsidRPr="00790A20" w:rsidRDefault="00790A20" w:rsidP="004D1F7C">
      <w:pPr>
        <w:pStyle w:val="Bullet1G"/>
      </w:pPr>
      <w:r w:rsidRPr="00790A20">
        <w:t>Ajouter une disposition concernant l</w:t>
      </w:r>
      <w:r>
        <w:t>’</w:t>
      </w:r>
      <w:r w:rsidRPr="00790A20">
        <w:t>état du pneumatique de référence et du pneumatique témoin lorsque les mesures sont effectuées avec un pneu</w:t>
      </w:r>
      <w:r w:rsidR="004D1F7C">
        <w:t>matique à contrôler usé (annexe </w:t>
      </w:r>
      <w:r w:rsidRPr="00790A20">
        <w:t>5, partie</w:t>
      </w:r>
      <w:r w:rsidR="004D1F7C">
        <w:t> </w:t>
      </w:r>
      <w:r w:rsidR="00323AB1">
        <w:t>A, par. 4.1.7.2) ;</w:t>
      </w:r>
    </w:p>
    <w:p w:rsidR="00790A20" w:rsidRPr="00790A20" w:rsidRDefault="00790A20" w:rsidP="004D1F7C">
      <w:pPr>
        <w:pStyle w:val="Bullet1G"/>
      </w:pPr>
      <w:r w:rsidRPr="00790A20">
        <w:t xml:space="preserve">Actualiser les modèles de </w:t>
      </w:r>
      <w:r w:rsidR="004D1F7C">
        <w:t>procès-verbal (annexe 5, partie </w:t>
      </w:r>
      <w:r w:rsidRPr="00790A20">
        <w:t>A, appendice).</w:t>
      </w:r>
    </w:p>
    <w:p w:rsidR="00790A20" w:rsidRPr="004D1F7C" w:rsidRDefault="004D1F7C" w:rsidP="004D1F7C">
      <w:pPr>
        <w:pStyle w:val="SingleTxtG"/>
        <w:spacing w:before="240" w:after="0"/>
        <w:jc w:val="center"/>
        <w:rPr>
          <w:u w:val="single"/>
        </w:rPr>
      </w:pPr>
      <w:r>
        <w:rPr>
          <w:u w:val="single"/>
        </w:rPr>
        <w:tab/>
      </w:r>
      <w:r>
        <w:rPr>
          <w:u w:val="single"/>
        </w:rPr>
        <w:tab/>
      </w:r>
      <w:r>
        <w:rPr>
          <w:u w:val="single"/>
        </w:rPr>
        <w:tab/>
      </w:r>
    </w:p>
    <w:sectPr w:rsidR="00790A20" w:rsidRPr="004D1F7C" w:rsidSect="00790A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832" w:rsidRDefault="00663832" w:rsidP="00F95C08">
      <w:pPr>
        <w:spacing w:line="240" w:lineRule="auto"/>
      </w:pPr>
    </w:p>
  </w:endnote>
  <w:endnote w:type="continuationSeparator" w:id="0">
    <w:p w:rsidR="00663832" w:rsidRPr="00AC3823" w:rsidRDefault="00663832" w:rsidP="00AC3823">
      <w:pPr>
        <w:pStyle w:val="Footer"/>
      </w:pPr>
    </w:p>
  </w:endnote>
  <w:endnote w:type="continuationNotice" w:id="1">
    <w:p w:rsidR="00663832" w:rsidRDefault="006638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32" w:rsidRPr="00790A20" w:rsidRDefault="00663832" w:rsidP="00790A20">
    <w:pPr>
      <w:pStyle w:val="Footer"/>
      <w:tabs>
        <w:tab w:val="right" w:pos="9638"/>
      </w:tabs>
    </w:pPr>
    <w:r w:rsidRPr="00790A20">
      <w:rPr>
        <w:b/>
        <w:sz w:val="18"/>
      </w:rPr>
      <w:fldChar w:fldCharType="begin"/>
    </w:r>
    <w:r w:rsidRPr="00790A20">
      <w:rPr>
        <w:b/>
        <w:sz w:val="18"/>
      </w:rPr>
      <w:instrText xml:space="preserve"> PAGE  \* MERGEFORMAT </w:instrText>
    </w:r>
    <w:r w:rsidRPr="00790A20">
      <w:rPr>
        <w:b/>
        <w:sz w:val="18"/>
      </w:rPr>
      <w:fldChar w:fldCharType="separate"/>
    </w:r>
    <w:r w:rsidR="00B45D79">
      <w:rPr>
        <w:b/>
        <w:noProof/>
        <w:sz w:val="18"/>
      </w:rPr>
      <w:t>2</w:t>
    </w:r>
    <w:r w:rsidRPr="00790A20">
      <w:rPr>
        <w:b/>
        <w:sz w:val="18"/>
      </w:rPr>
      <w:fldChar w:fldCharType="end"/>
    </w:r>
    <w:r>
      <w:rPr>
        <w:b/>
        <w:sz w:val="18"/>
      </w:rPr>
      <w:tab/>
    </w:r>
    <w:r>
      <w:t>GE.18-18899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32" w:rsidRPr="00790A20" w:rsidRDefault="00663832" w:rsidP="00790A20">
    <w:pPr>
      <w:pStyle w:val="Footer"/>
      <w:tabs>
        <w:tab w:val="right" w:pos="9638"/>
      </w:tabs>
      <w:rPr>
        <w:b/>
        <w:sz w:val="18"/>
      </w:rPr>
    </w:pPr>
    <w:r>
      <w:t>GE.18-18899</w:t>
    </w:r>
    <w:r>
      <w:tab/>
    </w:r>
    <w:r w:rsidRPr="00790A20">
      <w:rPr>
        <w:b/>
        <w:sz w:val="18"/>
      </w:rPr>
      <w:fldChar w:fldCharType="begin"/>
    </w:r>
    <w:r w:rsidRPr="00790A20">
      <w:rPr>
        <w:b/>
        <w:sz w:val="18"/>
      </w:rPr>
      <w:instrText xml:space="preserve"> PAGE  \* MERGEFORMAT </w:instrText>
    </w:r>
    <w:r w:rsidRPr="00790A20">
      <w:rPr>
        <w:b/>
        <w:sz w:val="18"/>
      </w:rPr>
      <w:fldChar w:fldCharType="separate"/>
    </w:r>
    <w:r w:rsidR="00B45D79">
      <w:rPr>
        <w:b/>
        <w:noProof/>
        <w:sz w:val="18"/>
      </w:rPr>
      <w:t>7</w:t>
    </w:r>
    <w:r w:rsidRPr="00790A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32" w:rsidRPr="00790A20" w:rsidRDefault="00663832" w:rsidP="00790A20">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18-18899</w:t>
    </w:r>
    <w:r w:rsidR="002B64B8">
      <w:rPr>
        <w:sz w:val="20"/>
      </w:rPr>
      <w:t xml:space="preserve"> </w:t>
    </w:r>
    <w:r w:rsidR="000C17FF">
      <w:rPr>
        <w:sz w:val="20"/>
      </w:rPr>
      <w:t xml:space="preserve"> </w:t>
    </w:r>
    <w:r>
      <w:rPr>
        <w:sz w:val="20"/>
      </w:rPr>
      <w:t>(F)</w:t>
    </w:r>
    <w:r w:rsidR="000C17FF">
      <w:rPr>
        <w:sz w:val="20"/>
      </w:rPr>
      <w:t xml:space="preserve">  </w:t>
    </w:r>
    <w:r w:rsidR="002B64B8">
      <w:rPr>
        <w:sz w:val="20"/>
      </w:rPr>
      <w:t xml:space="preserve">  </w:t>
    </w:r>
    <w:r>
      <w:rPr>
        <w:sz w:val="20"/>
      </w:rPr>
      <w:t>301118</w:t>
    </w:r>
    <w:r w:rsidR="000C17FF">
      <w:rPr>
        <w:sz w:val="20"/>
      </w:rPr>
      <w:t xml:space="preserve">  </w:t>
    </w:r>
    <w:r w:rsidR="002B64B8">
      <w:rPr>
        <w:sz w:val="20"/>
      </w:rPr>
      <w:t xml:space="preserve">  </w:t>
    </w:r>
    <w:r>
      <w:rPr>
        <w:sz w:val="20"/>
      </w:rPr>
      <w:t>031218</w:t>
    </w:r>
    <w:r>
      <w:rPr>
        <w:sz w:val="20"/>
      </w:rPr>
      <w:br/>
    </w:r>
    <w:r w:rsidRPr="00790A20">
      <w:rPr>
        <w:rFonts w:ascii="C39T30Lfz" w:hAnsi="C39T30Lfz"/>
        <w:sz w:val="56"/>
      </w:rPr>
      <w:t></w:t>
    </w:r>
    <w:r w:rsidRPr="00790A20">
      <w:rPr>
        <w:rFonts w:ascii="C39T30Lfz" w:hAnsi="C39T30Lfz"/>
        <w:sz w:val="56"/>
      </w:rPr>
      <w:t></w:t>
    </w:r>
    <w:r w:rsidRPr="00790A20">
      <w:rPr>
        <w:rFonts w:ascii="C39T30Lfz" w:hAnsi="C39T30Lfz"/>
        <w:sz w:val="56"/>
      </w:rPr>
      <w:t></w:t>
    </w:r>
    <w:r w:rsidRPr="00790A20">
      <w:rPr>
        <w:rFonts w:ascii="C39T30Lfz" w:hAnsi="C39T30Lfz"/>
        <w:sz w:val="56"/>
      </w:rPr>
      <w:t></w:t>
    </w:r>
    <w:r w:rsidRPr="00790A20">
      <w:rPr>
        <w:rFonts w:ascii="C39T30Lfz" w:hAnsi="C39T30Lfz"/>
        <w:sz w:val="56"/>
      </w:rPr>
      <w:t></w:t>
    </w:r>
    <w:r w:rsidRPr="00790A20">
      <w:rPr>
        <w:rFonts w:ascii="C39T30Lfz" w:hAnsi="C39T30Lfz"/>
        <w:sz w:val="56"/>
      </w:rPr>
      <w:t></w:t>
    </w:r>
    <w:r w:rsidRPr="00790A20">
      <w:rPr>
        <w:rFonts w:ascii="C39T30Lfz" w:hAnsi="C39T30Lfz"/>
        <w:sz w:val="56"/>
      </w:rPr>
      <w:t></w:t>
    </w:r>
    <w:r w:rsidRPr="00790A20">
      <w:rPr>
        <w:rFonts w:ascii="C39T30Lfz" w:hAnsi="C39T30Lfz"/>
        <w:sz w:val="56"/>
      </w:rPr>
      <w:t></w:t>
    </w:r>
    <w:r w:rsidRPr="00790A2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832" w:rsidRPr="00AC3823" w:rsidRDefault="00663832" w:rsidP="00AC3823">
      <w:pPr>
        <w:pStyle w:val="Footer"/>
        <w:tabs>
          <w:tab w:val="right" w:pos="2155"/>
        </w:tabs>
        <w:spacing w:after="80" w:line="240" w:lineRule="atLeast"/>
        <w:ind w:left="680"/>
        <w:rPr>
          <w:u w:val="single"/>
        </w:rPr>
      </w:pPr>
      <w:r>
        <w:rPr>
          <w:u w:val="single"/>
        </w:rPr>
        <w:tab/>
      </w:r>
    </w:p>
  </w:footnote>
  <w:footnote w:type="continuationSeparator" w:id="0">
    <w:p w:rsidR="00663832" w:rsidRPr="00AC3823" w:rsidRDefault="00663832" w:rsidP="00AC3823">
      <w:pPr>
        <w:pStyle w:val="Footer"/>
        <w:tabs>
          <w:tab w:val="right" w:pos="2155"/>
        </w:tabs>
        <w:spacing w:after="80" w:line="240" w:lineRule="atLeast"/>
        <w:ind w:left="680"/>
        <w:rPr>
          <w:u w:val="single"/>
        </w:rPr>
      </w:pPr>
      <w:r>
        <w:rPr>
          <w:u w:val="single"/>
        </w:rPr>
        <w:tab/>
      </w:r>
    </w:p>
  </w:footnote>
  <w:footnote w:type="continuationNotice" w:id="1">
    <w:p w:rsidR="00663832" w:rsidRPr="00AC3823" w:rsidRDefault="00663832">
      <w:pPr>
        <w:spacing w:line="240" w:lineRule="auto"/>
        <w:rPr>
          <w:sz w:val="2"/>
          <w:szCs w:val="2"/>
        </w:rPr>
      </w:pPr>
    </w:p>
  </w:footnote>
  <w:footnote w:id="2">
    <w:p w:rsidR="00663832" w:rsidRPr="00D27492" w:rsidRDefault="00663832" w:rsidP="00790A20">
      <w:pPr>
        <w:pStyle w:val="FootnoteText"/>
        <w:rPr>
          <w:lang w:val="fr-FR"/>
        </w:rPr>
      </w:pPr>
      <w:r>
        <w:rPr>
          <w:lang w:val="fr-FR"/>
        </w:rPr>
        <w:tab/>
        <w:t>*</w:t>
      </w:r>
      <w:r>
        <w:rPr>
          <w:lang w:val="fr-FR"/>
        </w:rPr>
        <w:tab/>
        <w:t>Conformément au programme de travail du Comité des transports intérieurs pour la période 2018</w:t>
      </w:r>
      <w:r>
        <w:rPr>
          <w:lang w:val="fr-FR"/>
        </w:rPr>
        <w:noBreakHyphen/>
        <w:t xml:space="preserve">2019 (ECE/TRANS/274, par. 123, et ECE/TRANS/2018/21/Add.1, module 3),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32" w:rsidRPr="00790A20" w:rsidRDefault="00CF5BF9">
    <w:pPr>
      <w:pStyle w:val="Header"/>
    </w:pPr>
    <w:r>
      <w:fldChar w:fldCharType="begin"/>
    </w:r>
    <w:r>
      <w:instrText xml:space="preserve"> TITLE  \* MERGEFORMAT </w:instrText>
    </w:r>
    <w:r>
      <w:fldChar w:fldCharType="separate"/>
    </w:r>
    <w:r w:rsidR="00B45D79">
      <w:t>ECE/TRANS/WP.29/GRB/2019/6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32" w:rsidRPr="00790A20" w:rsidRDefault="00CF5BF9" w:rsidP="00790A20">
    <w:pPr>
      <w:pStyle w:val="Header"/>
      <w:jc w:val="right"/>
    </w:pPr>
    <w:r>
      <w:fldChar w:fldCharType="begin"/>
    </w:r>
    <w:r>
      <w:instrText xml:space="preserve"> TITLE  \* MERGEFORMAT </w:instrText>
    </w:r>
    <w:r>
      <w:fldChar w:fldCharType="separate"/>
    </w:r>
    <w:r w:rsidR="00B45D79">
      <w:t>ECE/TRANS/WP.29/GRB/2019/6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7762C"/>
    <w:multiLevelType w:val="hybridMultilevel"/>
    <w:tmpl w:val="6994DE4C"/>
    <w:lvl w:ilvl="0" w:tplc="0409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04090001">
        <w:start w:val="1"/>
        <w:numFmt w:val="bullet"/>
        <w:lvlText w:val=""/>
        <w:lvlJc w:val="left"/>
        <w:pPr>
          <w:ind w:left="149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9"/>
    <w:rsid w:val="00017F94"/>
    <w:rsid w:val="00023842"/>
    <w:rsid w:val="000334F9"/>
    <w:rsid w:val="00034820"/>
    <w:rsid w:val="00045FEB"/>
    <w:rsid w:val="0007796D"/>
    <w:rsid w:val="000B7790"/>
    <w:rsid w:val="000C17FF"/>
    <w:rsid w:val="00111F2F"/>
    <w:rsid w:val="0014365E"/>
    <w:rsid w:val="00143C66"/>
    <w:rsid w:val="00176178"/>
    <w:rsid w:val="001F525A"/>
    <w:rsid w:val="00223272"/>
    <w:rsid w:val="0024779E"/>
    <w:rsid w:val="00257168"/>
    <w:rsid w:val="002577CA"/>
    <w:rsid w:val="002744B8"/>
    <w:rsid w:val="002832AC"/>
    <w:rsid w:val="002B64B8"/>
    <w:rsid w:val="002D7C93"/>
    <w:rsid w:val="00305801"/>
    <w:rsid w:val="00323AB1"/>
    <w:rsid w:val="00332243"/>
    <w:rsid w:val="003916DE"/>
    <w:rsid w:val="003A0537"/>
    <w:rsid w:val="00421996"/>
    <w:rsid w:val="004379F7"/>
    <w:rsid w:val="00441C3B"/>
    <w:rsid w:val="00446FE5"/>
    <w:rsid w:val="00452396"/>
    <w:rsid w:val="004837D8"/>
    <w:rsid w:val="004D1F7C"/>
    <w:rsid w:val="004E2EED"/>
    <w:rsid w:val="004E468C"/>
    <w:rsid w:val="00510484"/>
    <w:rsid w:val="005505B7"/>
    <w:rsid w:val="00573BE5"/>
    <w:rsid w:val="00586ED3"/>
    <w:rsid w:val="00596AA9"/>
    <w:rsid w:val="00663832"/>
    <w:rsid w:val="00671659"/>
    <w:rsid w:val="006A628F"/>
    <w:rsid w:val="0071601D"/>
    <w:rsid w:val="00766350"/>
    <w:rsid w:val="00790A20"/>
    <w:rsid w:val="007A62E6"/>
    <w:rsid w:val="007E7B50"/>
    <w:rsid w:val="007F20FA"/>
    <w:rsid w:val="007F6B36"/>
    <w:rsid w:val="0080684C"/>
    <w:rsid w:val="00827126"/>
    <w:rsid w:val="00871C75"/>
    <w:rsid w:val="008776DC"/>
    <w:rsid w:val="00894FD4"/>
    <w:rsid w:val="00915BA9"/>
    <w:rsid w:val="009446C0"/>
    <w:rsid w:val="009705C8"/>
    <w:rsid w:val="009C1CF4"/>
    <w:rsid w:val="009F6B74"/>
    <w:rsid w:val="00A2630E"/>
    <w:rsid w:val="00A3029F"/>
    <w:rsid w:val="00A30353"/>
    <w:rsid w:val="00A45823"/>
    <w:rsid w:val="00A60142"/>
    <w:rsid w:val="00AC3823"/>
    <w:rsid w:val="00AE323C"/>
    <w:rsid w:val="00AE5480"/>
    <w:rsid w:val="00AF0CB5"/>
    <w:rsid w:val="00B00181"/>
    <w:rsid w:val="00B00B0D"/>
    <w:rsid w:val="00B45D79"/>
    <w:rsid w:val="00B45F2E"/>
    <w:rsid w:val="00B765F7"/>
    <w:rsid w:val="00BA0CA9"/>
    <w:rsid w:val="00BF1785"/>
    <w:rsid w:val="00C02897"/>
    <w:rsid w:val="00C97039"/>
    <w:rsid w:val="00CF5BF9"/>
    <w:rsid w:val="00D3439C"/>
    <w:rsid w:val="00DB1831"/>
    <w:rsid w:val="00DD3BFD"/>
    <w:rsid w:val="00DF6678"/>
    <w:rsid w:val="00E0299A"/>
    <w:rsid w:val="00E85C74"/>
    <w:rsid w:val="00EA6547"/>
    <w:rsid w:val="00EF2E22"/>
    <w:rsid w:val="00F047C7"/>
    <w:rsid w:val="00F35BAF"/>
    <w:rsid w:val="00F660DF"/>
    <w:rsid w:val="00F94664"/>
    <w:rsid w:val="00F9573C"/>
    <w:rsid w:val="00F95C08"/>
    <w:rsid w:val="00FE18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A43C20-930E-4CAD-9D88-3CDA3C29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17284</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ECE/TRANS/WP.29/GRB/2019/6</vt:lpstr>
      <vt:lpstr>ECE/TRANS/WP.29/GRB/2019/6</vt:lpstr>
    </vt:vector>
  </TitlesOfParts>
  <Company>DCM</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ECE/TRANS/WP.29/GRB/2019/6</dc:title>
  <dc:subject/>
  <dc:creator>Edith BOURION</dc:creator>
  <cp:keywords/>
  <cp:lastModifiedBy>Benedicte Boudol</cp:lastModifiedBy>
  <cp:revision>2</cp:revision>
  <cp:lastPrinted>2018-12-03T10:44:00Z</cp:lastPrinted>
  <dcterms:created xsi:type="dcterms:W3CDTF">2018-12-04T08:47:00Z</dcterms:created>
  <dcterms:modified xsi:type="dcterms:W3CDTF">2018-12-04T08:47:00Z</dcterms:modified>
</cp:coreProperties>
</file>