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14772" w14:paraId="466AA0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6F4CBD" w14:textId="77777777" w:rsidR="002D5AAC" w:rsidRDefault="002D5AAC" w:rsidP="00C770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DFD10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63596D" w14:textId="77777777" w:rsidR="002D5AAC" w:rsidRPr="00414772" w:rsidRDefault="00C7705A" w:rsidP="00C7705A">
            <w:pPr>
              <w:jc w:val="right"/>
              <w:rPr>
                <w:lang w:val="en-US"/>
              </w:rPr>
            </w:pPr>
            <w:r w:rsidRPr="00414772">
              <w:rPr>
                <w:sz w:val="40"/>
                <w:lang w:val="en-US"/>
              </w:rPr>
              <w:t>ECE</w:t>
            </w:r>
            <w:r w:rsidRPr="00414772">
              <w:rPr>
                <w:lang w:val="en-US"/>
              </w:rPr>
              <w:t>/TRANS/WP.29/AC.3/48/Rev.1</w:t>
            </w:r>
          </w:p>
        </w:tc>
      </w:tr>
      <w:tr w:rsidR="002D5AAC" w:rsidRPr="00414772" w14:paraId="12D0496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ABDD3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C6F1F1" wp14:editId="5D3C7B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5267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505ED7" w14:textId="77777777" w:rsidR="003F74E0" w:rsidRPr="00AF2205" w:rsidRDefault="003F74E0" w:rsidP="003F74E0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15532E5B" w14:textId="77777777" w:rsidR="003F74E0" w:rsidRPr="00AF2205" w:rsidRDefault="003F74E0" w:rsidP="003F74E0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15 April 2019</w:t>
            </w:r>
          </w:p>
          <w:p w14:paraId="33262124" w14:textId="77777777" w:rsidR="003F74E0" w:rsidRPr="003F74E0" w:rsidRDefault="003F74E0" w:rsidP="003F74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D231E0" w14:textId="77777777" w:rsidR="00C7705A" w:rsidRPr="008D53B6" w:rsidRDefault="003F74E0" w:rsidP="003F74E0">
            <w:pPr>
              <w:spacing w:line="240" w:lineRule="exact"/>
              <w:rPr>
                <w:lang w:val="en-US"/>
              </w:rPr>
            </w:pPr>
            <w:r>
              <w:rPr>
                <w:lang w:val="en-GB"/>
              </w:rPr>
              <w:t xml:space="preserve">Original: </w:t>
            </w:r>
            <w:r w:rsidRPr="00AF2205">
              <w:rPr>
                <w:lang w:val="en-GB"/>
              </w:rPr>
              <w:t>English</w:t>
            </w:r>
          </w:p>
        </w:tc>
      </w:tr>
    </w:tbl>
    <w:p w14:paraId="5B9BAA09" w14:textId="77777777" w:rsidR="00C7705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D70404" w14:textId="77777777" w:rsidR="003F74E0" w:rsidRPr="00761F60" w:rsidRDefault="003F74E0" w:rsidP="003F74E0">
      <w:pPr>
        <w:spacing w:before="120"/>
        <w:rPr>
          <w:sz w:val="28"/>
          <w:szCs w:val="28"/>
        </w:rPr>
      </w:pPr>
      <w:r w:rsidRPr="00761F60">
        <w:rPr>
          <w:sz w:val="28"/>
          <w:szCs w:val="28"/>
        </w:rPr>
        <w:t>Комитет по внутреннему транспорту</w:t>
      </w:r>
    </w:p>
    <w:p w14:paraId="3CC20B1C" w14:textId="77777777" w:rsidR="003F74E0" w:rsidRPr="00761F60" w:rsidRDefault="003F74E0" w:rsidP="003F74E0">
      <w:pPr>
        <w:spacing w:before="120"/>
        <w:rPr>
          <w:b/>
          <w:sz w:val="24"/>
          <w:szCs w:val="24"/>
        </w:rPr>
      </w:pPr>
      <w:r w:rsidRPr="00761F6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61F60">
        <w:rPr>
          <w:b/>
          <w:bCs/>
          <w:sz w:val="24"/>
          <w:szCs w:val="24"/>
        </w:rPr>
        <w:t>в области транспортных средств</w:t>
      </w:r>
    </w:p>
    <w:p w14:paraId="7B30FC2C" w14:textId="77777777" w:rsidR="003F74E0" w:rsidRPr="0035644B" w:rsidRDefault="00414772" w:rsidP="003F74E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</w:t>
      </w:r>
      <w:r w:rsidRPr="00414772">
        <w:rPr>
          <w:b/>
          <w:bCs/>
        </w:rPr>
        <w:t>8</w:t>
      </w:r>
      <w:r w:rsidR="003F74E0">
        <w:rPr>
          <w:b/>
          <w:bCs/>
        </w:rPr>
        <w:t>-я сессия</w:t>
      </w:r>
    </w:p>
    <w:p w14:paraId="21471D5F" w14:textId="77777777" w:rsidR="003F74E0" w:rsidRPr="0035644B" w:rsidRDefault="003F74E0" w:rsidP="003F74E0">
      <w:r>
        <w:t xml:space="preserve">Женева, </w:t>
      </w:r>
      <w:r w:rsidR="00414772" w:rsidRPr="00414772">
        <w:t>25–28</w:t>
      </w:r>
      <w:r>
        <w:t xml:space="preserve"> </w:t>
      </w:r>
      <w:r w:rsidR="00414772">
        <w:t>июня</w:t>
      </w:r>
      <w:r>
        <w:t xml:space="preserve"> 2019 года</w:t>
      </w:r>
    </w:p>
    <w:p w14:paraId="403E82E1" w14:textId="77777777" w:rsidR="003F74E0" w:rsidRPr="0035644B" w:rsidRDefault="003F74E0" w:rsidP="003F74E0">
      <w:r>
        <w:t>Пункт 19.16 предварительной повестки дня</w:t>
      </w:r>
    </w:p>
    <w:p w14:paraId="392FC283" w14:textId="77777777" w:rsidR="003F74E0" w:rsidRPr="0035644B" w:rsidRDefault="003F74E0" w:rsidP="003F74E0">
      <w:pPr>
        <w:rPr>
          <w:b/>
        </w:rPr>
      </w:pPr>
      <w:r>
        <w:rPr>
          <w:b/>
          <w:bCs/>
        </w:rPr>
        <w:t xml:space="preserve">Ход разработки новых ГТП ООН и поправок </w:t>
      </w:r>
      <w:r w:rsidR="002E573A">
        <w:rPr>
          <w:b/>
          <w:bCs/>
        </w:rPr>
        <w:br/>
      </w:r>
      <w:r>
        <w:rPr>
          <w:b/>
          <w:bCs/>
        </w:rPr>
        <w:t>к введенным</w:t>
      </w:r>
      <w:r w:rsidR="002E573A" w:rsidRPr="00414772">
        <w:rPr>
          <w:b/>
          <w:bCs/>
        </w:rPr>
        <w:t xml:space="preserve"> </w:t>
      </w:r>
      <w:r>
        <w:rPr>
          <w:b/>
          <w:bCs/>
        </w:rPr>
        <w:t>ГТП ООН: ГТП № 16 ООН (шины)</w:t>
      </w:r>
    </w:p>
    <w:p w14:paraId="7845EE15" w14:textId="77777777" w:rsidR="003F74E0" w:rsidRPr="002E573A" w:rsidRDefault="002E573A" w:rsidP="002E573A">
      <w:pPr>
        <w:pStyle w:val="HChG"/>
      </w:pPr>
      <w:r>
        <w:tab/>
      </w:r>
      <w:r>
        <w:tab/>
      </w:r>
      <w:r w:rsidR="003F74E0" w:rsidRPr="002E573A">
        <w:t>Пересмотренное разрешение на разработку поправки 2 к Глобальным техническим правилам № 16 ООН (шины)</w:t>
      </w:r>
    </w:p>
    <w:p w14:paraId="2DCB9B4F" w14:textId="77777777" w:rsidR="003F74E0" w:rsidRPr="002C6EF2" w:rsidRDefault="002E573A" w:rsidP="002E573A">
      <w:pPr>
        <w:pStyle w:val="H1G"/>
      </w:pPr>
      <w:r>
        <w:tab/>
      </w:r>
      <w:r>
        <w:tab/>
      </w:r>
      <w:r w:rsidR="003F74E0" w:rsidRPr="002C6EF2">
        <w:t>Представлено Российской Федерацией</w:t>
      </w:r>
      <w:r w:rsidR="003F74E0" w:rsidRPr="00DA29F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711ECF4" w14:textId="77777777" w:rsidR="003F74E0" w:rsidRPr="0035644B" w:rsidRDefault="003F74E0" w:rsidP="003F74E0">
      <w:pPr>
        <w:pStyle w:val="SingleTxtG"/>
        <w:ind w:firstLine="567"/>
      </w:pPr>
      <w:r>
        <w:t>Воспроизведенный ниже текст был подготовлен представителем Российской Федерации в порядке выполнения решения Всемирного форума для согласования правил в области транспортных средств (WP.29), принятого на его 175-й сессии в связи с переходом задач, связанных с шинами, от бывшей Рабочей группы по вопросам торможения и ходовой части (GRRF) к Рабочей группе по вопросам шума (GRBP). Он был утвержден Исполнительным комитетом (AC.3) Соглашения 1998 года на его сессии в марте 2019 года (ECE/TRANS/WP.29/1145, пункт 172). В его основу положен документ ECE/TRANS/WP.29/2019/32. Данное добавление передается GRBP для ознакомления.</w:t>
      </w:r>
    </w:p>
    <w:p w14:paraId="05BC42E2" w14:textId="77777777" w:rsidR="003F74E0" w:rsidRPr="0035644B" w:rsidRDefault="003F74E0" w:rsidP="003F74E0">
      <w:pPr>
        <w:suppressAutoHyphens w:val="0"/>
        <w:spacing w:before="120" w:after="120" w:line="240" w:lineRule="auto"/>
        <w:ind w:left="1134" w:right="1140"/>
        <w:jc w:val="both"/>
      </w:pPr>
      <w:r w:rsidRPr="0035644B">
        <w:br w:type="page"/>
      </w:r>
    </w:p>
    <w:p w14:paraId="225E7D7E" w14:textId="77777777" w:rsidR="003F74E0" w:rsidRPr="00610733" w:rsidRDefault="003F74E0" w:rsidP="003F74E0">
      <w:pPr>
        <w:pStyle w:val="HChG"/>
      </w:pPr>
      <w:r>
        <w:lastRenderedPageBreak/>
        <w:tab/>
      </w:r>
      <w:r>
        <w:tab/>
      </w:r>
      <w:r w:rsidRPr="003F74E0">
        <w:t>П</w:t>
      </w:r>
      <w:r w:rsidRPr="00610733">
        <w:t>ересмотренное разрешение на разработку поправки 2 к Глобальным техническим правилам № 16 ООН (шины)</w:t>
      </w:r>
    </w:p>
    <w:p w14:paraId="1E0116C1" w14:textId="77777777" w:rsidR="003F74E0" w:rsidRPr="0035644B" w:rsidRDefault="003F74E0" w:rsidP="003F74E0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Справочная информация</w:t>
      </w:r>
    </w:p>
    <w:p w14:paraId="2AD2A4A2" w14:textId="77777777" w:rsidR="003F74E0" w:rsidRPr="0035644B" w:rsidRDefault="003F74E0" w:rsidP="003F74E0">
      <w:pPr>
        <w:pStyle w:val="SingleTxtG"/>
      </w:pPr>
      <w:r>
        <w:t>1.</w:t>
      </w:r>
      <w:r>
        <w:tab/>
        <w:t>WP.29 на своей 175-й сессии в июне 2018 года постановил, в порядке выполнения решения КВТ № 19, преобразовать GRRF в Рабочую группу по автоматизированным/автономным и подключенным транспортным средствам (GRVA) и передать некоторые задачи, связанные, например, с шинами и сцепными устройствами, другим действующим рабочим группам (РГ), как указано в первом варианте неофициального документа WP.29-175-</w:t>
      </w:r>
      <w:r w:rsidR="00610733">
        <w:t>25 (ECE/TRANS/WP.29/1139, пункт </w:t>
      </w:r>
      <w:r>
        <w:t>33). Задачи, связанные с шинами, были сняты с прежней GRRF и переданы GRB.</w:t>
      </w:r>
    </w:p>
    <w:p w14:paraId="6E02AF5E" w14:textId="77777777" w:rsidR="003F74E0" w:rsidRDefault="003F74E0" w:rsidP="003F74E0">
      <w:pPr>
        <w:pStyle w:val="SingleTxtG"/>
      </w:pPr>
      <w:r>
        <w:t>2.</w:t>
      </w:r>
      <w:r>
        <w:tab/>
        <w:t>Как следствие, НРГ по ГТП, касающимся шин, стала одной из подгрупп GRB и начала представлять свои отчеты GRB, начиная со своей шестьдесят восьмой сессии в сентябре 2018 года.</w:t>
      </w:r>
    </w:p>
    <w:p w14:paraId="780EA527" w14:textId="77777777" w:rsidR="003F74E0" w:rsidRPr="008D6593" w:rsidRDefault="003F74E0" w:rsidP="003F74E0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Поло</w:t>
      </w:r>
      <w:r w:rsidRPr="008D6593">
        <w:t>жение дел с разработкой</w:t>
      </w:r>
      <w:r w:rsidR="008D6593" w:rsidRPr="008D6593">
        <w:t xml:space="preserve"> поправки № 2 к ГТП № 16 ООН по </w:t>
      </w:r>
      <w:r w:rsidRPr="008D6593">
        <w:t>состоянию на момент проведения шестьдесят восьмой сессии GRB (сентябрь 2018 года)</w:t>
      </w:r>
    </w:p>
    <w:p w14:paraId="64E2BAAF" w14:textId="77777777" w:rsidR="003F74E0" w:rsidRPr="0035644B" w:rsidRDefault="003F74E0" w:rsidP="003F74E0">
      <w:pPr>
        <w:pStyle w:val="SingleTxtG"/>
      </w:pPr>
      <w:r>
        <w:t>3.</w:t>
      </w:r>
      <w:r>
        <w:tab/>
        <w:t>Предмет поправки № 2 был в предварительном порядке обсужден на последующем пятнадцатом совещании восстановленной НРГ по ГТП, касающимся шин, в январе 2017 года.</w:t>
      </w:r>
    </w:p>
    <w:p w14:paraId="6920AC9B" w14:textId="77777777" w:rsidR="003F74E0" w:rsidRDefault="003F74E0" w:rsidP="003F74E0">
      <w:pPr>
        <w:pStyle w:val="SingleTxtG"/>
      </w:pPr>
      <w:r>
        <w:t>4.</w:t>
      </w:r>
      <w:r>
        <w:tab/>
        <w:t>Обсуждение каждого конкретного пункта соответствующих предложенных поправок к тексту ГТП № 16 ООН было начато на шестнадцатом совещании НРГ по ГТП, касающимся шин, состоявшемся в Москве в июне 2017 года. В ходе обсуждений предложенных поправок, касающихся согласования физических габаритов, представители шинной промышленности сообщили о выявленных в некоторых случаях несоответствиях между Правилами ООН и Федеральными стандартами безопасности автотранспорта (FMVSS) Соединенных Штатов Америки, которые должны быть устранены в согласованном тексте ГТП. Кроме того, оценка результатов испытания на высоких скоростях в соответствии со стандартом FMVSS 139 по сравнению с испытанием на нагрузку/скорость в соответствии с Правилами № 54 ООН, проведенная шинной промышленностью, выявила неопределенность в том, что касается строгости методов испытания шин, относящихся к категории скорости с маркировкой «R» и «S». По этой причине НРГ по ГТП, касающимся шин, решила продлить свой мандат на два года (до конца 2020 года), с тем чтобы дать возможность шинной промышленности подтвердить первоначальные результаты согласованного метода испытаний на высоких скоростях. GRRF на своей восемьдесят четвертой сессии в сентябре 2017 года поддержала эту просьбу, которая была представлена АС.3 на его пятидесятой сессии в ноябре 2017 года с целью заручиться его согласием.</w:t>
      </w:r>
    </w:p>
    <w:p w14:paraId="258A98C4" w14:textId="77777777" w:rsidR="003F74E0" w:rsidRPr="0035644B" w:rsidRDefault="003F74E0" w:rsidP="003F74E0">
      <w:pPr>
        <w:pStyle w:val="SingleTxtG"/>
      </w:pPr>
      <w:r>
        <w:t>5.</w:t>
      </w:r>
      <w:r>
        <w:tab/>
        <w:t>На своем следующем, семнадцатом, совеща</w:t>
      </w:r>
      <w:r w:rsidR="008D6593">
        <w:t>нии, состоявшемся в ноябре 2017 </w:t>
      </w:r>
      <w:r>
        <w:t>года в Брюсселе, НРГ по ГТП, касающимся шин, добилась значительного прогресса в решении проблемы несоответствий между Правилами ООН и стандартами FMVSS США. Шинная промышленность вышла с предложением по программе испытаний на высоких скоростях в целях уточнения метода испытания шин, относящихся к категории скорости с маркировкой «R» и «S».</w:t>
      </w:r>
    </w:p>
    <w:p w14:paraId="5113649A" w14:textId="77777777" w:rsidR="003F74E0" w:rsidRPr="0035644B" w:rsidRDefault="003F74E0" w:rsidP="003F74E0">
      <w:pPr>
        <w:pStyle w:val="SingleTxtG"/>
      </w:pPr>
      <w:r>
        <w:t>6.</w:t>
      </w:r>
      <w:r>
        <w:tab/>
        <w:t>На следующем, восемнадцатом, совещании, со</w:t>
      </w:r>
      <w:r w:rsidR="008D6593">
        <w:t>стоявшемся в Оттаве в июне 2018 </w:t>
      </w:r>
      <w:r>
        <w:t>года, НРГ по ГТП, касающимся шин, одобрила включение новых дополнительных согласованных положений, регламентирующих фи</w:t>
      </w:r>
      <w:r w:rsidR="008D6593">
        <w:t xml:space="preserve">зические габариты шин категории </w:t>
      </w:r>
      <w:r>
        <w:t>LT/C, в новый раздел 3.20 (прежние разделы 3.20 и 3.21 подлежат исключению).</w:t>
      </w:r>
    </w:p>
    <w:p w14:paraId="70075A22" w14:textId="77777777" w:rsidR="003F74E0" w:rsidRPr="0035644B" w:rsidRDefault="003F74E0" w:rsidP="003F74E0">
      <w:pPr>
        <w:pStyle w:val="SingleTxtG"/>
        <w:rPr>
          <w:noProof/>
        </w:rPr>
      </w:pPr>
      <w:r>
        <w:t>7.</w:t>
      </w:r>
      <w:r>
        <w:tab/>
        <w:t xml:space="preserve">На том же совещании шинная промышленность представила НРГ техническую оценку и предложение по согласованному испытанию на высокой скорости, которое было включено в новый раздел 3.16 (прежние разделы 3.16 и 3.19 подлежат </w:t>
      </w:r>
      <w:r>
        <w:lastRenderedPageBreak/>
        <w:t>исключению). Предложенный текст был одобрен НРГ по ГТП, касающимся шин, на ее девятнадцатом совещании, состоявшемся в Женеве в сентябре 2018 года до шестьдесят восьмой сессии GRB.</w:t>
      </w:r>
      <w:bookmarkStart w:id="1" w:name="_Hlk523391408"/>
      <w:bookmarkEnd w:id="1"/>
    </w:p>
    <w:p w14:paraId="6519C3A9" w14:textId="77777777" w:rsidR="003F74E0" w:rsidRPr="0035644B" w:rsidRDefault="003F74E0" w:rsidP="003F74E0">
      <w:pPr>
        <w:pStyle w:val="SingleTxtG"/>
      </w:pPr>
      <w:r>
        <w:t>8.</w:t>
      </w:r>
      <w:r>
        <w:tab/>
        <w:t>На том же совещании НРГ по ГТП, касающимся шин, согласилась с мнением представителей отрасли по поводу того, что в связи с большой сложностью согласования методов испытания шин категории LT/C на долговечность предлагается пока пользоваться несогласованными испытаниями.</w:t>
      </w:r>
    </w:p>
    <w:p w14:paraId="2874073C" w14:textId="77777777" w:rsidR="003F74E0" w:rsidRDefault="003F74E0" w:rsidP="003F74E0">
      <w:pPr>
        <w:pStyle w:val="SingleTxtG"/>
      </w:pPr>
      <w:r>
        <w:t>9.</w:t>
      </w:r>
      <w:r>
        <w:tab/>
        <w:t>НРГ по ГТП, касающимся шин, поручила эксперту от Российской Федерации предложить концепцию глобальной маркировки шин на восемьдесят шестой сессии GRRF в феврале 2018 года. На указанной сессии председатель НРГ по ГТП, касающимся шин, внес на обсуждение информационную записку о «глобальной маркировке шин». Он просил Договаривающиеся стороны Соглашения 1998 года рассмотреть эту записку и решить, может ли быть поддержан данный подход в отношении использования глобальной маркировки шин в рамках Правил № 16 ООН и насколько реальным является признание глобальной маркировки шин в качестве альтернативы уже используемой национальной/региональной маркировке шин.</w:t>
      </w:r>
    </w:p>
    <w:p w14:paraId="06463E4D" w14:textId="77777777" w:rsidR="003F74E0" w:rsidRPr="0035644B" w:rsidRDefault="003F74E0" w:rsidP="003F74E0">
      <w:pPr>
        <w:pStyle w:val="SingleTxtG"/>
      </w:pPr>
      <w:r>
        <w:t>10.</w:t>
      </w:r>
      <w:r>
        <w:tab/>
        <w:t>Параллельно НРГ по ГТП, касающимся шин, приступила на своей шестнадцатой сессии, при существенном содействии со стороны китайских экспертов, к выявлению расхождений между действующим вариантом ГТП № 16 ООН и китайскими правилами, касающимися шин. НРГ по ГТП, касающимся шин, решила, что соответствующий текст, содержащий альтернативный уровень требований, предложенный Китаем, можно включить в ГТП № 16 ООН на основании статьи 4.2 Соглашения 1998 года. На своей восемьдесят четвертой сессии GRRF положительно оценила как участие Китая в работе над ГТП № 16 ООН, так и значительный объем работы, проделанной в связи с рассмотрением китайских национальных правил.</w:t>
      </w:r>
    </w:p>
    <w:p w14:paraId="4FD0B79C" w14:textId="77777777" w:rsidR="003F74E0" w:rsidRPr="0035644B" w:rsidRDefault="003F74E0" w:rsidP="003F74E0">
      <w:pPr>
        <w:pStyle w:val="SingleTxtG"/>
      </w:pPr>
      <w:r>
        <w:t>11.</w:t>
      </w:r>
      <w:r>
        <w:tab/>
        <w:t>На девятнадцатом совещании НРГ по ГТП, касающимся шин, признала факт завершения исследований по вопросу о поправке № 2 к ГТП № 16 ООН и рассмотрела вопрос о подготовке окончательного текста проекта поправки № 2, изложения технических соображений и обоснования и технического доклада. Эта работа была продолжена на двадцатом совещании НРГ по ГТП, касающимся шин.</w:t>
      </w:r>
      <w:bookmarkStart w:id="2" w:name="_Hlk523391918"/>
      <w:bookmarkEnd w:id="2"/>
    </w:p>
    <w:p w14:paraId="1520B8E3" w14:textId="77777777" w:rsidR="003F74E0" w:rsidRPr="0035644B" w:rsidRDefault="003F74E0" w:rsidP="00BB05DF">
      <w:pPr>
        <w:pStyle w:val="H1G"/>
      </w:pPr>
      <w:r>
        <w:tab/>
        <w:t>С.</w:t>
      </w:r>
      <w:r>
        <w:tab/>
        <w:t>Организация процесса и график работы</w:t>
      </w:r>
    </w:p>
    <w:p w14:paraId="23618E72" w14:textId="77777777" w:rsidR="003F74E0" w:rsidRPr="0035644B" w:rsidRDefault="00BB05DF" w:rsidP="003F74E0">
      <w:pPr>
        <w:pStyle w:val="SingleTxtG"/>
      </w:pPr>
      <w:r>
        <w:t>12.</w:t>
      </w:r>
      <w:r>
        <w:tab/>
      </w:r>
      <w:r w:rsidR="003F74E0">
        <w:t>Начиная с сентября 2018 года НРГ по ГТП, касающимся шин, будет представлять доклады о своей работе Рабочей группе по вопросам шума и шин (GRBP)</w:t>
      </w:r>
      <w:r w:rsidR="003F74E0">
        <w:rPr>
          <w:rStyle w:val="FootnoteReference"/>
          <w:lang w:eastAsia="ko-KR"/>
        </w:rPr>
        <w:footnoteReference w:id="2"/>
      </w:r>
      <w:r w:rsidR="003F74E0">
        <w:t>. Совещания НРГ будут проводиться главным образом совместно с очередными сессиями GRBP.</w:t>
      </w:r>
    </w:p>
    <w:p w14:paraId="70A264CE" w14:textId="77777777" w:rsidR="003F74E0" w:rsidRPr="0035644B" w:rsidRDefault="003F74E0" w:rsidP="003F74E0">
      <w:pPr>
        <w:pStyle w:val="SingleTxtG"/>
        <w:keepNext/>
      </w:pPr>
      <w:r>
        <w:t>13.</w:t>
      </w:r>
      <w:r>
        <w:tab/>
        <w:t>Предлагаемый план действий:</w:t>
      </w:r>
    </w:p>
    <w:p w14:paraId="21023849" w14:textId="77777777" w:rsidR="003F74E0" w:rsidRPr="0035644B" w:rsidRDefault="003F74E0" w:rsidP="003F74E0">
      <w:pPr>
        <w:pStyle w:val="SingleTxtG"/>
        <w:ind w:left="1701" w:hanging="567"/>
      </w:pPr>
      <w:r>
        <w:t>a)</w:t>
      </w:r>
      <w:r>
        <w:tab/>
        <w:t xml:space="preserve">январь 2019 года: представление GRBP сводных неофициальных документов (проект поправки № 2 к ГТП № 16 ООН, изложение технических соображений и обоснования и технический доклад). Рассмотрение нерешенных вопросов </w:t>
      </w:r>
      <w:r w:rsidR="00BB05DF">
        <w:br/>
      </w:r>
      <w:r>
        <w:t>(в случае их наличия) на шестьдесят девятой сессии GRB;</w:t>
      </w:r>
    </w:p>
    <w:p w14:paraId="6D360F53" w14:textId="77777777" w:rsidR="003F74E0" w:rsidRPr="0035644B" w:rsidRDefault="003F74E0" w:rsidP="003F74E0">
      <w:pPr>
        <w:pStyle w:val="SingleTxtG"/>
        <w:ind w:left="1701" w:hanging="567"/>
      </w:pPr>
      <w:r>
        <w:t>b)</w:t>
      </w:r>
      <w:r>
        <w:tab/>
        <w:t>сентябрь 2019 года: представление рабочих документов на одобрение GRBP (проект поправки № 2 к ГТП № 16 ООН, изложение технических соображений и обоснования и технический доклад);</w:t>
      </w:r>
    </w:p>
    <w:p w14:paraId="4DF6D5F1" w14:textId="77777777" w:rsidR="003F74E0" w:rsidRPr="0035644B" w:rsidRDefault="003F74E0" w:rsidP="003F74E0">
      <w:pPr>
        <w:pStyle w:val="SingleTxtG"/>
        <w:ind w:left="1701" w:hanging="567"/>
      </w:pPr>
      <w:r>
        <w:t>c)</w:t>
      </w:r>
      <w:r>
        <w:tab/>
        <w:t>март 2020 года: принятие предложения Исполнительным комитетом, если не останется нерешенных вопросов;</w:t>
      </w:r>
    </w:p>
    <w:p w14:paraId="117A62E2" w14:textId="77777777" w:rsidR="003F74E0" w:rsidRPr="0035644B" w:rsidRDefault="003F74E0" w:rsidP="003F74E0">
      <w:pPr>
        <w:pStyle w:val="SingleTxtG"/>
        <w:ind w:left="1701" w:hanging="567"/>
      </w:pPr>
      <w:r>
        <w:t>d)</w:t>
      </w:r>
      <w:r>
        <w:tab/>
        <w:t>ноябрь 2020 года: принятие предложения Исполнительным комитетом, если все оставшиеся вопросы будут решены.</w:t>
      </w:r>
    </w:p>
    <w:p w14:paraId="1F3033E6" w14:textId="77777777" w:rsidR="003F74E0" w:rsidRPr="0035644B" w:rsidRDefault="003F74E0" w:rsidP="006750F4">
      <w:pPr>
        <w:pStyle w:val="SingleTxtG"/>
        <w:keepNext/>
      </w:pPr>
      <w:r>
        <w:lastRenderedPageBreak/>
        <w:t>14.</w:t>
      </w:r>
      <w:r>
        <w:tab/>
        <w:t>Информация о ходе работы будет доведена до сведения AC.3 на его сессиях в 2019 и 2020 годах.</w:t>
      </w:r>
    </w:p>
    <w:p w14:paraId="1743B016" w14:textId="77777777" w:rsidR="00E12C5F" w:rsidRPr="003F74E0" w:rsidRDefault="003F74E0" w:rsidP="006750F4">
      <w:pPr>
        <w:keepNext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F74E0" w:rsidSect="00C7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19F4" w14:textId="77777777" w:rsidR="00A52840" w:rsidRPr="00A312BC" w:rsidRDefault="00A52840" w:rsidP="00A312BC"/>
  </w:endnote>
  <w:endnote w:type="continuationSeparator" w:id="0">
    <w:p w14:paraId="12871598" w14:textId="77777777" w:rsidR="00A52840" w:rsidRPr="00A312BC" w:rsidRDefault="00A528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5957" w14:textId="77777777" w:rsidR="00C7705A" w:rsidRPr="00C7705A" w:rsidRDefault="00C7705A">
    <w:pPr>
      <w:pStyle w:val="Footer"/>
    </w:pPr>
    <w:r w:rsidRPr="00C7705A">
      <w:rPr>
        <w:b/>
        <w:sz w:val="18"/>
      </w:rPr>
      <w:fldChar w:fldCharType="begin"/>
    </w:r>
    <w:r w:rsidRPr="00C7705A">
      <w:rPr>
        <w:b/>
        <w:sz w:val="18"/>
      </w:rPr>
      <w:instrText xml:space="preserve"> PAGE  \* MERGEFORMAT </w:instrText>
    </w:r>
    <w:r w:rsidRPr="00C7705A">
      <w:rPr>
        <w:b/>
        <w:sz w:val="18"/>
      </w:rPr>
      <w:fldChar w:fldCharType="separate"/>
    </w:r>
    <w:r w:rsidR="00414772">
      <w:rPr>
        <w:b/>
        <w:noProof/>
        <w:sz w:val="18"/>
      </w:rPr>
      <w:t>2</w:t>
    </w:r>
    <w:r w:rsidRPr="00C7705A">
      <w:rPr>
        <w:b/>
        <w:sz w:val="18"/>
      </w:rPr>
      <w:fldChar w:fldCharType="end"/>
    </w:r>
    <w:r>
      <w:rPr>
        <w:b/>
        <w:sz w:val="18"/>
      </w:rPr>
      <w:tab/>
    </w:r>
    <w:r>
      <w:t>GE.19-06311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FCB5" w14:textId="77777777" w:rsidR="00C7705A" w:rsidRPr="00C7705A" w:rsidRDefault="00C7705A" w:rsidP="00C7705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GE.19-06311</w:t>
    </w:r>
    <w:r>
      <w:tab/>
    </w:r>
    <w:r w:rsidRPr="00C7705A">
      <w:rPr>
        <w:b/>
        <w:sz w:val="18"/>
      </w:rPr>
      <w:fldChar w:fldCharType="begin"/>
    </w:r>
    <w:r w:rsidRPr="00C7705A">
      <w:rPr>
        <w:b/>
        <w:sz w:val="18"/>
      </w:rPr>
      <w:instrText xml:space="preserve"> PAGE  \* MERGEFORMAT </w:instrText>
    </w:r>
    <w:r w:rsidRPr="00C7705A">
      <w:rPr>
        <w:b/>
        <w:sz w:val="18"/>
      </w:rPr>
      <w:fldChar w:fldCharType="separate"/>
    </w:r>
    <w:r w:rsidR="00414772">
      <w:rPr>
        <w:b/>
        <w:noProof/>
        <w:sz w:val="18"/>
      </w:rPr>
      <w:t>3</w:t>
    </w:r>
    <w:r w:rsidRPr="00C770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14F9" w14:textId="77777777" w:rsidR="00042B72" w:rsidRPr="00C7705A" w:rsidRDefault="00C7705A" w:rsidP="00C7705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F72E46A" wp14:editId="75B1AB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19-06311  (R)  </w:t>
    </w:r>
    <w:r w:rsidR="00414772">
      <w:t>060519  10</w:t>
    </w:r>
    <w:r w:rsidR="003F74E0">
      <w:t>0519</w:t>
    </w:r>
    <w:r>
      <w:br/>
    </w:r>
    <w:r w:rsidRPr="00C7705A">
      <w:rPr>
        <w:rFonts w:ascii="C39T30Lfz" w:hAnsi="C39T30Lfz"/>
        <w:kern w:val="14"/>
        <w:sz w:val="56"/>
      </w:rPr>
      <w:t></w:t>
    </w:r>
    <w:r w:rsidRPr="00C7705A">
      <w:rPr>
        <w:rFonts w:ascii="C39T30Lfz" w:hAnsi="C39T30Lfz"/>
        <w:kern w:val="14"/>
        <w:sz w:val="56"/>
      </w:rPr>
      <w:t></w:t>
    </w:r>
    <w:r w:rsidRPr="00C7705A">
      <w:rPr>
        <w:rFonts w:ascii="C39T30Lfz" w:hAnsi="C39T30Lfz"/>
        <w:kern w:val="14"/>
        <w:sz w:val="56"/>
      </w:rPr>
      <w:t></w:t>
    </w:r>
    <w:r w:rsidRPr="00C7705A">
      <w:rPr>
        <w:rFonts w:ascii="C39T30Lfz" w:hAnsi="C39T30Lfz"/>
        <w:kern w:val="14"/>
        <w:sz w:val="56"/>
      </w:rPr>
      <w:t></w:t>
    </w:r>
    <w:r w:rsidRPr="00C7705A">
      <w:rPr>
        <w:rFonts w:ascii="C39T30Lfz" w:hAnsi="C39T30Lfz"/>
        <w:kern w:val="14"/>
        <w:sz w:val="56"/>
      </w:rPr>
      <w:t></w:t>
    </w:r>
    <w:r w:rsidRPr="00C7705A">
      <w:rPr>
        <w:rFonts w:ascii="C39T30Lfz" w:hAnsi="C39T30Lfz"/>
        <w:kern w:val="14"/>
        <w:sz w:val="56"/>
      </w:rPr>
      <w:t></w:t>
    </w:r>
    <w:r w:rsidRPr="00C7705A">
      <w:rPr>
        <w:rFonts w:ascii="C39T30Lfz" w:hAnsi="C39T30Lfz"/>
        <w:kern w:val="14"/>
        <w:sz w:val="56"/>
      </w:rPr>
      <w:t></w:t>
    </w:r>
    <w:r w:rsidRPr="00C7705A">
      <w:rPr>
        <w:rFonts w:ascii="C39T30Lfz" w:hAnsi="C39T30Lfz"/>
        <w:kern w:val="14"/>
        <w:sz w:val="56"/>
      </w:rPr>
      <w:t></w:t>
    </w:r>
    <w:r w:rsidRPr="00C7705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C0C0943" wp14:editId="34CC34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AC.3/48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48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D07B" w14:textId="77777777" w:rsidR="00A52840" w:rsidRPr="001075E9" w:rsidRDefault="00A528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D2DAEB" w14:textId="77777777" w:rsidR="00A52840" w:rsidRDefault="00A528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F84881" w14:textId="77777777" w:rsidR="003F74E0" w:rsidRPr="0035644B" w:rsidRDefault="003F74E0" w:rsidP="003F74E0">
      <w:pPr>
        <w:pStyle w:val="FootnoteText"/>
      </w:pPr>
      <w:r>
        <w:tab/>
      </w:r>
      <w:r w:rsidRPr="00DA29F1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1D10C2">
        <w:t>астоящий документ представлен в </w:t>
      </w:r>
      <w:r>
        <w:t>соответствии с этим мандатом.</w:t>
      </w:r>
    </w:p>
  </w:footnote>
  <w:footnote w:id="2">
    <w:p w14:paraId="08023C08" w14:textId="77777777" w:rsidR="003F74E0" w:rsidRPr="0035644B" w:rsidRDefault="003F74E0" w:rsidP="003F74E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Ранее</w:t>
      </w:r>
      <w:r w:rsidR="006750F4" w:rsidRPr="00414772">
        <w:t xml:space="preserve"> –</w:t>
      </w:r>
      <w:r>
        <w:t xml:space="preserve"> GRB, см. пункт 48 документа ECE/TRANS/WP.29/1142.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A46A" w14:textId="071C1D5E" w:rsidR="00C7705A" w:rsidRPr="00C7705A" w:rsidRDefault="00414772">
    <w:pPr>
      <w:pStyle w:val="Header"/>
    </w:pPr>
    <w:fldSimple w:instr=" TITLE  \* MERGEFORMAT ">
      <w:r w:rsidR="00115316">
        <w:t>ECE/TRANS/WP.29/AC.3/48/Rev.1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7412" w14:textId="66B03B9D" w:rsidR="00C7705A" w:rsidRPr="00C7705A" w:rsidRDefault="00414772" w:rsidP="00C7705A">
    <w:pPr>
      <w:pStyle w:val="Header"/>
      <w:jc w:val="right"/>
    </w:pPr>
    <w:fldSimple w:instr=" TITLE  \* MERGEFORMAT ">
      <w:r w:rsidR="00115316">
        <w:t>ECE/TRANS/WP.29/AC.3/48/Rev.1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A764" w14:textId="77777777" w:rsidR="00C7705A" w:rsidRDefault="00C7705A" w:rsidP="003F74E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4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316"/>
    <w:rsid w:val="0014152F"/>
    <w:rsid w:val="00167CE8"/>
    <w:rsid w:val="00180183"/>
    <w:rsid w:val="0018024D"/>
    <w:rsid w:val="0018649F"/>
    <w:rsid w:val="00196389"/>
    <w:rsid w:val="001B3EF6"/>
    <w:rsid w:val="001C7A89"/>
    <w:rsid w:val="001D10C2"/>
    <w:rsid w:val="00255343"/>
    <w:rsid w:val="0027151D"/>
    <w:rsid w:val="002A2EFC"/>
    <w:rsid w:val="002B0106"/>
    <w:rsid w:val="002B74B1"/>
    <w:rsid w:val="002C0E18"/>
    <w:rsid w:val="002D5AAC"/>
    <w:rsid w:val="002E5067"/>
    <w:rsid w:val="002E573A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74E0"/>
    <w:rsid w:val="00407B78"/>
    <w:rsid w:val="00414772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5394"/>
    <w:rsid w:val="005709E0"/>
    <w:rsid w:val="00572E19"/>
    <w:rsid w:val="005961C8"/>
    <w:rsid w:val="005966F1"/>
    <w:rsid w:val="005D7914"/>
    <w:rsid w:val="005E2B41"/>
    <w:rsid w:val="005F0B42"/>
    <w:rsid w:val="00610733"/>
    <w:rsid w:val="00617A43"/>
    <w:rsid w:val="006345DB"/>
    <w:rsid w:val="00640F49"/>
    <w:rsid w:val="006750F4"/>
    <w:rsid w:val="00680D03"/>
    <w:rsid w:val="00681A10"/>
    <w:rsid w:val="006A0D9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6593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2840"/>
    <w:rsid w:val="00A84021"/>
    <w:rsid w:val="00A84D35"/>
    <w:rsid w:val="00A917B3"/>
    <w:rsid w:val="00AB4B51"/>
    <w:rsid w:val="00B10CC7"/>
    <w:rsid w:val="00B36DF7"/>
    <w:rsid w:val="00B539E7"/>
    <w:rsid w:val="00B62458"/>
    <w:rsid w:val="00BB05DF"/>
    <w:rsid w:val="00BC18B2"/>
    <w:rsid w:val="00BD33EE"/>
    <w:rsid w:val="00BE1CC7"/>
    <w:rsid w:val="00C106D6"/>
    <w:rsid w:val="00C119AE"/>
    <w:rsid w:val="00C60F0C"/>
    <w:rsid w:val="00C700E6"/>
    <w:rsid w:val="00C71E84"/>
    <w:rsid w:val="00C7705A"/>
    <w:rsid w:val="00C805C9"/>
    <w:rsid w:val="00C92939"/>
    <w:rsid w:val="00CA1679"/>
    <w:rsid w:val="00CB151C"/>
    <w:rsid w:val="00CE5A1A"/>
    <w:rsid w:val="00CF55F6"/>
    <w:rsid w:val="00D124A4"/>
    <w:rsid w:val="00D33D63"/>
    <w:rsid w:val="00D5253A"/>
    <w:rsid w:val="00D873A8"/>
    <w:rsid w:val="00D90028"/>
    <w:rsid w:val="00D90138"/>
    <w:rsid w:val="00D9145B"/>
    <w:rsid w:val="00DA29F1"/>
    <w:rsid w:val="00DB0FA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204EF"/>
  <w15:docId w15:val="{F26A1625-4FD7-47AF-8048-B7E392E4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F74E0"/>
    <w:rPr>
      <w:lang w:val="ru-RU" w:eastAsia="en-US"/>
    </w:rPr>
  </w:style>
  <w:style w:type="character" w:customStyle="1" w:styleId="HChGChar">
    <w:name w:val="_ H _Ch_G Char"/>
    <w:link w:val="HChG"/>
    <w:rsid w:val="003F74E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F74E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ECE/TRANS/WP.29/AC.3/48/Rev.1</vt:lpstr>
      <vt:lpstr>ECE/TRANS/WP.29/AC.3/48/Rev.1</vt:lpstr>
      <vt:lpstr>A/</vt:lpstr>
    </vt:vector>
  </TitlesOfParts>
  <Company>DCM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ECE/TRANS/WP.29/AC.3/48/Rev.1</dc:title>
  <dc:subject/>
  <dc:creator>Nina STEPANOVA</dc:creator>
  <cp:keywords/>
  <cp:lastModifiedBy>Marie-Claude Collet</cp:lastModifiedBy>
  <cp:revision>3</cp:revision>
  <cp:lastPrinted>2019-05-13T06:55:00Z</cp:lastPrinted>
  <dcterms:created xsi:type="dcterms:W3CDTF">2019-05-13T06:55:00Z</dcterms:created>
  <dcterms:modified xsi:type="dcterms:W3CDTF">2019-05-13T06:56:00Z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