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C457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959941" w14:textId="77777777" w:rsidR="002D5AAC" w:rsidRDefault="002D5AAC" w:rsidP="003A33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2538D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017A7A" w14:textId="77777777" w:rsidR="002D5AAC" w:rsidRDefault="003A33B4" w:rsidP="003A33B4">
            <w:pPr>
              <w:jc w:val="right"/>
            </w:pPr>
            <w:r w:rsidRPr="003A33B4">
              <w:rPr>
                <w:sz w:val="40"/>
              </w:rPr>
              <w:t>ECE</w:t>
            </w:r>
            <w:r>
              <w:t>/TRANS/WP.29/2019/51</w:t>
            </w:r>
          </w:p>
        </w:tc>
      </w:tr>
      <w:tr w:rsidR="002D5AAC" w:rsidRPr="00F2352B" w14:paraId="5766206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704B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B2F7BC" wp14:editId="3BD6A0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17F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78BC29" w14:textId="77777777" w:rsidR="002D5AAC" w:rsidRDefault="003A33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D7506D" w14:textId="77777777" w:rsidR="003A33B4" w:rsidRDefault="003A33B4" w:rsidP="003A33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0E355625" w14:textId="77777777" w:rsidR="003A33B4" w:rsidRDefault="003A33B4" w:rsidP="003A33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367653" w14:textId="77777777" w:rsidR="003A33B4" w:rsidRPr="008D53B6" w:rsidRDefault="003A33B4" w:rsidP="003A33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3F6BA0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4AB259" w14:textId="77777777" w:rsidR="004649D8" w:rsidRPr="004649D8" w:rsidRDefault="004649D8" w:rsidP="004649D8">
      <w:pPr>
        <w:spacing w:before="120"/>
        <w:rPr>
          <w:sz w:val="28"/>
          <w:szCs w:val="28"/>
        </w:rPr>
      </w:pPr>
      <w:r w:rsidRPr="004649D8">
        <w:rPr>
          <w:sz w:val="28"/>
          <w:szCs w:val="28"/>
        </w:rPr>
        <w:t>Комитет по внутреннему транспорту</w:t>
      </w:r>
    </w:p>
    <w:p w14:paraId="6BA8CF14" w14:textId="77777777" w:rsidR="004649D8" w:rsidRPr="004649D8" w:rsidRDefault="004649D8" w:rsidP="004649D8">
      <w:pPr>
        <w:spacing w:before="120"/>
        <w:rPr>
          <w:b/>
          <w:sz w:val="24"/>
          <w:szCs w:val="24"/>
        </w:rPr>
      </w:pPr>
      <w:r w:rsidRPr="004649D8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4649D8">
        <w:rPr>
          <w:b/>
          <w:bCs/>
          <w:sz w:val="24"/>
          <w:szCs w:val="24"/>
        </w:rPr>
        <w:t>в области транспортных средств</w:t>
      </w:r>
    </w:p>
    <w:p w14:paraId="461D2ECC" w14:textId="77777777" w:rsidR="004649D8" w:rsidRPr="00E90A87" w:rsidRDefault="004649D8" w:rsidP="004649D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68991DC0" w14:textId="77777777" w:rsidR="004649D8" w:rsidRPr="00E90A87" w:rsidRDefault="004649D8" w:rsidP="004649D8">
      <w:r>
        <w:t>Женева, 25–28 июня 2019 года</w:t>
      </w:r>
    </w:p>
    <w:p w14:paraId="55174031" w14:textId="77777777" w:rsidR="004649D8" w:rsidRPr="00E90A87" w:rsidRDefault="004649D8" w:rsidP="004649D8">
      <w:r>
        <w:t>Пункт 4.9.2 предварительной повестки дня</w:t>
      </w:r>
    </w:p>
    <w:p w14:paraId="780671C9" w14:textId="77777777" w:rsidR="004649D8" w:rsidRDefault="004649D8" w:rsidP="004649D8">
      <w:pPr>
        <w:rPr>
          <w:b/>
          <w:bCs/>
        </w:rPr>
      </w:pPr>
      <w:r w:rsidRPr="003611C1">
        <w:rPr>
          <w:b/>
          <w:bCs/>
        </w:rPr>
        <w:t xml:space="preserve">Соглашение 1958 года: </w:t>
      </w:r>
    </w:p>
    <w:p w14:paraId="2A4831FE" w14:textId="77777777" w:rsidR="004649D8" w:rsidRDefault="004649D8" w:rsidP="004649D8">
      <w:pPr>
        <w:rPr>
          <w:b/>
          <w:bCs/>
        </w:rPr>
      </w:pPr>
      <w:r w:rsidRPr="003611C1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3611C1">
        <w:rPr>
          <w:b/>
          <w:bCs/>
        </w:rPr>
        <w:t xml:space="preserve">правилам ООН, представленных GRB </w:t>
      </w:r>
    </w:p>
    <w:p w14:paraId="2EB2AE6C" w14:textId="77777777" w:rsidR="004649D8" w:rsidRPr="00E90A87" w:rsidRDefault="004649D8" w:rsidP="004649D8">
      <w:pPr>
        <w:pStyle w:val="HChGR"/>
      </w:pPr>
      <w:r>
        <w:tab/>
      </w:r>
      <w:r>
        <w:tab/>
        <w:t>Предложение по исправлению к дополнению 4 к поправкам серии 03 к Правилам № 51 ООН (шум транспортных средств категорий M и N)</w:t>
      </w:r>
    </w:p>
    <w:p w14:paraId="17DA3436" w14:textId="77777777" w:rsidR="004649D8" w:rsidRPr="00E90A87" w:rsidRDefault="004649D8" w:rsidP="004649D8">
      <w:pPr>
        <w:pStyle w:val="H1GR"/>
      </w:pPr>
      <w:r>
        <w:tab/>
      </w:r>
      <w:r>
        <w:tab/>
        <w:t>Представлено Рабочей группой по вопросам шума</w:t>
      </w:r>
      <w:r w:rsidRPr="004649D8">
        <w:rPr>
          <w:b w:val="0"/>
          <w:sz w:val="20"/>
        </w:rPr>
        <w:footnoteReference w:customMarkFollows="1" w:id="1"/>
        <w:t>*</w:t>
      </w:r>
    </w:p>
    <w:p w14:paraId="2911C054" w14:textId="77777777" w:rsidR="004649D8" w:rsidRPr="00E90A87" w:rsidRDefault="004649D8" w:rsidP="004649D8">
      <w:pPr>
        <w:pStyle w:val="SingleTxtGR"/>
      </w:pPr>
      <w:r>
        <w:tab/>
        <w:t>Воспроизведенный ниже текст был принят Р</w:t>
      </w:r>
      <w:r w:rsidR="00EF180D">
        <w:t>абочей группой по вопросам шума </w:t>
      </w:r>
      <w:r>
        <w:t>(GRB) на ее шестьдесят девятой сессии (ECE/TRANS/WP.29/GRB/67, пункт 7). В его основу положены документы ECE/TRANS/WP.29/GRB/2019/8 и ECE/TRANS/WP.29/GRB/2019/9.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290C1FA6" w14:textId="77777777" w:rsidR="004649D8" w:rsidRPr="00E90A87" w:rsidRDefault="004649D8" w:rsidP="004649D8">
      <w:pPr>
        <w:suppressAutoHyphens w:val="0"/>
        <w:spacing w:before="120" w:after="120" w:line="240" w:lineRule="auto"/>
        <w:ind w:left="1134" w:right="1140"/>
        <w:jc w:val="both"/>
      </w:pPr>
      <w:r w:rsidRPr="00E90A87">
        <w:br w:type="page"/>
      </w:r>
    </w:p>
    <w:p w14:paraId="5126E192" w14:textId="77777777" w:rsidR="004649D8" w:rsidRPr="00E90A87" w:rsidRDefault="004649D8" w:rsidP="004649D8">
      <w:pPr>
        <w:pStyle w:val="HChGR"/>
      </w:pPr>
      <w:r>
        <w:lastRenderedPageBreak/>
        <w:tab/>
      </w:r>
      <w:r>
        <w:tab/>
        <w:t>Исправление к дополнению 4 к поправкам серии 03 к Правилам № 51 ООН (шум транспортных средств категорий M и N)</w:t>
      </w:r>
    </w:p>
    <w:p w14:paraId="5BA875B4" w14:textId="77777777" w:rsidR="004649D8" w:rsidRPr="00B0526B" w:rsidRDefault="004649D8" w:rsidP="004649D8">
      <w:pPr>
        <w:spacing w:before="120"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3</w:t>
      </w:r>
      <w:r>
        <w:t xml:space="preserve"> </w:t>
      </w:r>
    </w:p>
    <w:p w14:paraId="68B86829" w14:textId="77777777" w:rsidR="004649D8" w:rsidRPr="00E90A87" w:rsidRDefault="004649D8" w:rsidP="004649D8">
      <w:pPr>
        <w:spacing w:before="120" w:after="120"/>
        <w:ind w:left="1134" w:right="1134"/>
        <w:jc w:val="both"/>
        <w:rPr>
          <w:b/>
        </w:rPr>
      </w:pPr>
      <w:r>
        <w:rPr>
          <w:i/>
          <w:iCs/>
        </w:rPr>
        <w:t>Пункт 3.1.2.1, последний абзац</w:t>
      </w:r>
      <w:r>
        <w:t>, заменить «3.1.2.1.4.1 е) приложения 3» на</w:t>
      </w:r>
      <w:r>
        <w:br/>
        <w:t>«3.1.2.1.4.1 d) приложения 3».</w:t>
      </w:r>
    </w:p>
    <w:p w14:paraId="0580CAB5" w14:textId="77777777" w:rsidR="004649D8" w:rsidRPr="00020901" w:rsidRDefault="004649D8" w:rsidP="004649D8">
      <w:pPr>
        <w:pStyle w:val="SingleTxtGR"/>
      </w:pPr>
      <w:r w:rsidRPr="00020901">
        <w:rPr>
          <w:i/>
          <w:iCs/>
        </w:rPr>
        <w:t>Пункт 3.1.2.1.4.2</w:t>
      </w:r>
      <w:r w:rsidRPr="00020901">
        <w:t xml:space="preserve"> изменить следующим образом:</w:t>
      </w:r>
    </w:p>
    <w:p w14:paraId="38ED451D" w14:textId="77777777" w:rsidR="004649D8" w:rsidRPr="00D16237" w:rsidRDefault="004649D8" w:rsidP="004649D8">
      <w:pPr>
        <w:pStyle w:val="SingleTxtGR"/>
        <w:ind w:left="2268" w:hanging="1134"/>
      </w:pPr>
      <w:r w:rsidRPr="00020901">
        <w:t>«3.1.2.1.4.2</w:t>
      </w:r>
      <w:r w:rsidRPr="00020901">
        <w:tab/>
        <w:t>Транспортные средства, оснащенные автоматической трансмиссией, адаптивными трансмиссиями и БКП, испытываемыми без блокировки передаточных чисел</w:t>
      </w:r>
      <w:r>
        <w:t>:</w:t>
      </w:r>
    </w:p>
    <w:p w14:paraId="01814EB1" w14:textId="77777777" w:rsidR="004649D8" w:rsidRPr="00020901" w:rsidRDefault="004649D8" w:rsidP="004649D8">
      <w:pPr>
        <w:pStyle w:val="SingleTxtGR"/>
        <w:ind w:left="2268"/>
        <w:rPr>
          <w:bCs/>
        </w:rPr>
      </w:pPr>
      <w:r w:rsidRPr="00020901">
        <w:rPr>
          <w:bCs/>
        </w:rPr>
        <w:t>Используют положение переключателя передачи, которое соответствует полностью автоматическому режиму.</w:t>
      </w:r>
    </w:p>
    <w:p w14:paraId="58B49804" w14:textId="77777777" w:rsidR="004649D8" w:rsidRPr="00020901" w:rsidRDefault="004649D8" w:rsidP="004649D8">
      <w:pPr>
        <w:pStyle w:val="SingleTxtGR"/>
        <w:ind w:left="2268"/>
      </w:pPr>
      <w:r w:rsidRPr="00020901">
        <w:rPr>
          <w:bCs/>
        </w:rPr>
        <w:t>Значение ускорения а</w:t>
      </w:r>
      <w:r w:rsidRPr="00020901">
        <w:rPr>
          <w:bCs/>
          <w:vertAlign w:val="subscript"/>
          <w:lang w:val="en-GB"/>
        </w:rPr>
        <w:t>wot test</w:t>
      </w:r>
      <w:r w:rsidRPr="00020901">
        <w:rPr>
          <w:bCs/>
        </w:rPr>
        <w:t xml:space="preserve"> рассчитывают в соответствии с указаниями, содержащимися в пункте 3.1.2.1.2.2.</w:t>
      </w:r>
    </w:p>
    <w:p w14:paraId="2338C8BE" w14:textId="77777777" w:rsidR="004649D8" w:rsidRPr="00020901" w:rsidRDefault="004649D8" w:rsidP="004649D8">
      <w:pPr>
        <w:pStyle w:val="SingleTxtGR"/>
        <w:ind w:left="2268"/>
        <w:rPr>
          <w:bCs/>
        </w:rPr>
      </w:pPr>
      <w:r w:rsidRPr="00020901">
        <w:t>Затем в ходе испытания передаточное число может быть изменено в расчете на менее высокий диапазон и большее ускорение. Изменения передаточного числа в расчете на более высокий диапазон</w:t>
      </w:r>
      <w:r w:rsidR="00F7328C">
        <w:t xml:space="preserve"> и меньшее ускорение не допускаю</w:t>
      </w:r>
      <w:r w:rsidRPr="00020901">
        <w:t xml:space="preserve">тся. </w:t>
      </w:r>
      <w:r w:rsidRPr="00020901">
        <w:rPr>
          <w:bCs/>
        </w:rPr>
        <w:t xml:space="preserve">Использовать передаточное число, которое не применяется в условиях движения в городе, не рекомендуется. </w:t>
      </w:r>
    </w:p>
    <w:p w14:paraId="5479E68E" w14:textId="77777777" w:rsidR="004649D8" w:rsidRPr="00020901" w:rsidRDefault="004649D8" w:rsidP="004649D8">
      <w:pPr>
        <w:pStyle w:val="SingleTxtGR"/>
        <w:ind w:left="2268"/>
      </w:pPr>
      <w:r w:rsidRPr="00020901">
        <w:rPr>
          <w:bCs/>
        </w:rPr>
        <w:t>Таким образом, допускается установка и использование электронных либо механических устройств, в том числе переменных положений переключателя передачи, которые препятствуют понижению передаточного числа до значения, которое обычно не применяется в указанных условиях испытания при движении в городе.</w:t>
      </w:r>
    </w:p>
    <w:p w14:paraId="638EC501" w14:textId="77777777" w:rsidR="004649D8" w:rsidRPr="00BF73BB" w:rsidRDefault="004649D8" w:rsidP="004649D8">
      <w:pPr>
        <w:pStyle w:val="SingleTxtGR"/>
        <w:ind w:left="2268"/>
        <w:rPr>
          <w:bCs/>
        </w:rPr>
      </w:pPr>
      <w:r w:rsidRPr="00BF73BB">
        <w:rPr>
          <w:bCs/>
        </w:rPr>
        <w:t>Достигнутое значение ускорения а</w:t>
      </w:r>
      <w:r w:rsidRPr="00BF73BB">
        <w:rPr>
          <w:bCs/>
          <w:vertAlign w:val="subscript"/>
          <w:lang w:val="en-GB"/>
        </w:rPr>
        <w:t>wot test</w:t>
      </w:r>
      <w:r w:rsidRPr="00BF73BB">
        <w:rPr>
          <w:bCs/>
        </w:rPr>
        <w:t xml:space="preserve"> должно быть не ниже а</w:t>
      </w:r>
      <w:r w:rsidRPr="00BF73BB">
        <w:rPr>
          <w:bCs/>
          <w:vertAlign w:val="subscript"/>
          <w:lang w:val="en-GB"/>
        </w:rPr>
        <w:t>urban</w:t>
      </w:r>
      <w:r w:rsidRPr="00BF73BB">
        <w:rPr>
          <w:bCs/>
        </w:rPr>
        <w:t>.</w:t>
      </w:r>
    </w:p>
    <w:p w14:paraId="77289505" w14:textId="77777777" w:rsidR="004649D8" w:rsidRPr="00020901" w:rsidRDefault="004649D8" w:rsidP="004649D8">
      <w:pPr>
        <w:pStyle w:val="SingleTxtGR"/>
        <w:ind w:left="2268"/>
      </w:pPr>
      <w:r w:rsidRPr="00020901">
        <w:t>Изготовитель по возможности принимает меры для недопущения того, чтобы значение ускорения а</w:t>
      </w:r>
      <w:r w:rsidRPr="00020901">
        <w:rPr>
          <w:vertAlign w:val="subscript"/>
          <w:lang w:val="en-GB"/>
        </w:rPr>
        <w:t>wot</w:t>
      </w:r>
      <w:r w:rsidRPr="00020901">
        <w:t xml:space="preserve"> </w:t>
      </w:r>
      <w:r w:rsidRPr="00020901">
        <w:rPr>
          <w:vertAlign w:val="subscript"/>
          <w:lang w:val="en-GB"/>
        </w:rPr>
        <w:t>test</w:t>
      </w:r>
      <w:r w:rsidRPr="00020901">
        <w:rPr>
          <w:vertAlign w:val="subscript"/>
        </w:rPr>
        <w:t xml:space="preserve"> </w:t>
      </w:r>
      <w:r w:rsidRPr="00020901">
        <w:t>превышало 2,0 м/с</w:t>
      </w:r>
      <w:r w:rsidRPr="00020901">
        <w:rPr>
          <w:vertAlign w:val="superscript"/>
        </w:rPr>
        <w:t>2</w:t>
      </w:r>
      <w:r w:rsidRPr="00020901">
        <w:t>.</w:t>
      </w:r>
    </w:p>
    <w:p w14:paraId="6AE9E2F7" w14:textId="77777777" w:rsidR="004649D8" w:rsidRPr="00020901" w:rsidRDefault="004649D8" w:rsidP="004649D8">
      <w:pPr>
        <w:pStyle w:val="SingleTxtGR"/>
        <w:ind w:left="2268"/>
      </w:pPr>
      <w:r w:rsidRPr="00020901">
        <w:t>В таблице 1, содержащейся в добавлении к приложению 3, приведены примеры приемлемых методов контроля понижения передач или недопущения ускорений, превышающих 2,0 м/с</w:t>
      </w:r>
      <w:r w:rsidRPr="00020901">
        <w:rPr>
          <w:vertAlign w:val="superscript"/>
        </w:rPr>
        <w:t>2</w:t>
      </w:r>
      <w:r w:rsidRPr="00020901">
        <w:t xml:space="preserve">. Любой метод, используемый изготовителем для вышеупомянутых целей, указывают в протоколе испытания. </w:t>
      </w:r>
    </w:p>
    <w:p w14:paraId="29B50B34" w14:textId="77777777" w:rsidR="004649D8" w:rsidRPr="00BF73BB" w:rsidRDefault="004649D8" w:rsidP="004649D8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i/>
        </w:rPr>
      </w:pPr>
      <w:r>
        <w:rPr>
          <w:bCs/>
        </w:rPr>
        <w:tab/>
      </w:r>
      <w:r w:rsidRPr="00BF73BB">
        <w:rPr>
          <w:bCs/>
        </w:rPr>
        <w:t>Затем значение достигнутого ускорения а</w:t>
      </w:r>
      <w:r w:rsidRPr="00020901">
        <w:rPr>
          <w:bCs/>
          <w:vertAlign w:val="subscript"/>
          <w:lang w:val="en-GB"/>
        </w:rPr>
        <w:t>wot test</w:t>
      </w:r>
      <w:r w:rsidRPr="00BF73BB">
        <w:rPr>
          <w:bCs/>
        </w:rPr>
        <w:t xml:space="preserve"> используют для расчета коэффициента частичной мощности </w:t>
      </w:r>
      <w:proofErr w:type="spellStart"/>
      <w:r w:rsidRPr="00020901">
        <w:rPr>
          <w:bCs/>
          <w:lang w:val="en-GB"/>
        </w:rPr>
        <w:t>k</w:t>
      </w:r>
      <w:r w:rsidRPr="00020901">
        <w:rPr>
          <w:bCs/>
          <w:vertAlign w:val="subscript"/>
          <w:lang w:val="en-GB"/>
        </w:rPr>
        <w:t>p</w:t>
      </w:r>
      <w:proofErr w:type="spellEnd"/>
      <w:r w:rsidRPr="00BF73BB">
        <w:rPr>
          <w:bCs/>
        </w:rPr>
        <w:t xml:space="preserve"> (см. пункт 3.1.2.1.3) вместо а</w:t>
      </w:r>
      <w:r w:rsidRPr="00020901">
        <w:rPr>
          <w:bCs/>
          <w:vertAlign w:val="subscript"/>
          <w:lang w:val="en-GB"/>
        </w:rPr>
        <w:t>wot ref</w:t>
      </w:r>
      <w:r w:rsidRPr="00BF73BB">
        <w:t>».</w:t>
      </w:r>
    </w:p>
    <w:p w14:paraId="217B8BE8" w14:textId="77777777" w:rsidR="00E12C5F" w:rsidRPr="004649D8" w:rsidRDefault="004649D8" w:rsidP="004649D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649D8" w:rsidSect="003A33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8346" w14:textId="77777777" w:rsidR="00B3620A" w:rsidRPr="00A312BC" w:rsidRDefault="00B3620A" w:rsidP="00A312BC"/>
  </w:endnote>
  <w:endnote w:type="continuationSeparator" w:id="0">
    <w:p w14:paraId="4C3BB9B2" w14:textId="77777777" w:rsidR="00B3620A" w:rsidRPr="00A312BC" w:rsidRDefault="00B362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3BF1" w14:textId="77777777" w:rsidR="003A33B4" w:rsidRPr="003A33B4" w:rsidRDefault="003A33B4">
    <w:pPr>
      <w:pStyle w:val="Footer"/>
    </w:pPr>
    <w:r w:rsidRPr="003A33B4">
      <w:rPr>
        <w:b/>
        <w:sz w:val="18"/>
      </w:rPr>
      <w:fldChar w:fldCharType="begin"/>
    </w:r>
    <w:r w:rsidRPr="003A33B4">
      <w:rPr>
        <w:b/>
        <w:sz w:val="18"/>
      </w:rPr>
      <w:instrText xml:space="preserve"> PAGE  \* MERGEFORMAT </w:instrText>
    </w:r>
    <w:r w:rsidRPr="003A33B4">
      <w:rPr>
        <w:b/>
        <w:sz w:val="18"/>
      </w:rPr>
      <w:fldChar w:fldCharType="separate"/>
    </w:r>
    <w:r w:rsidR="007D60D2">
      <w:rPr>
        <w:b/>
        <w:noProof/>
        <w:sz w:val="18"/>
      </w:rPr>
      <w:t>2</w:t>
    </w:r>
    <w:r w:rsidRPr="003A33B4">
      <w:rPr>
        <w:b/>
        <w:sz w:val="18"/>
      </w:rPr>
      <w:fldChar w:fldCharType="end"/>
    </w:r>
    <w:r>
      <w:rPr>
        <w:b/>
        <w:sz w:val="18"/>
      </w:rPr>
      <w:tab/>
    </w:r>
    <w:r>
      <w:t>GE.19-06134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1B1D" w14:textId="77777777" w:rsidR="003A33B4" w:rsidRPr="003A33B4" w:rsidRDefault="003A33B4" w:rsidP="003A33B4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GE.19-06134</w:t>
    </w:r>
    <w:r>
      <w:tab/>
    </w:r>
    <w:r w:rsidRPr="003A33B4">
      <w:rPr>
        <w:b/>
        <w:sz w:val="18"/>
      </w:rPr>
      <w:fldChar w:fldCharType="begin"/>
    </w:r>
    <w:r w:rsidRPr="003A33B4">
      <w:rPr>
        <w:b/>
        <w:sz w:val="18"/>
      </w:rPr>
      <w:instrText xml:space="preserve"> PAGE  \* MERGEFORMAT </w:instrText>
    </w:r>
    <w:r w:rsidRPr="003A33B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A33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789A" w14:textId="77777777" w:rsidR="00042B72" w:rsidRPr="003A33B4" w:rsidRDefault="003A33B4" w:rsidP="003A33B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C05DC82" wp14:editId="27E937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06134  (</w:t>
    </w:r>
    <w:proofErr w:type="gramEnd"/>
    <w:r>
      <w:t>R)</w:t>
    </w:r>
    <w:r w:rsidR="004649D8">
      <w:t xml:space="preserve">  240419  260419</w:t>
    </w:r>
    <w:r>
      <w:br/>
    </w:r>
    <w:r w:rsidRPr="003A33B4">
      <w:rPr>
        <w:rFonts w:ascii="C39T30Lfz" w:hAnsi="C39T30Lfz"/>
        <w:kern w:val="14"/>
        <w:sz w:val="56"/>
      </w:rPr>
      <w:t></w:t>
    </w:r>
    <w:r w:rsidRPr="003A33B4">
      <w:rPr>
        <w:rFonts w:ascii="C39T30Lfz" w:hAnsi="C39T30Lfz"/>
        <w:kern w:val="14"/>
        <w:sz w:val="56"/>
      </w:rPr>
      <w:t></w:t>
    </w:r>
    <w:r w:rsidRPr="003A33B4">
      <w:rPr>
        <w:rFonts w:ascii="C39T30Lfz" w:hAnsi="C39T30Lfz"/>
        <w:kern w:val="14"/>
        <w:sz w:val="56"/>
      </w:rPr>
      <w:t></w:t>
    </w:r>
    <w:r w:rsidRPr="003A33B4">
      <w:rPr>
        <w:rFonts w:ascii="C39T30Lfz" w:hAnsi="C39T30Lfz"/>
        <w:kern w:val="14"/>
        <w:sz w:val="56"/>
      </w:rPr>
      <w:t></w:t>
    </w:r>
    <w:r w:rsidRPr="003A33B4">
      <w:rPr>
        <w:rFonts w:ascii="C39T30Lfz" w:hAnsi="C39T30Lfz"/>
        <w:kern w:val="14"/>
        <w:sz w:val="56"/>
      </w:rPr>
      <w:t></w:t>
    </w:r>
    <w:r w:rsidRPr="003A33B4">
      <w:rPr>
        <w:rFonts w:ascii="C39T30Lfz" w:hAnsi="C39T30Lfz"/>
        <w:kern w:val="14"/>
        <w:sz w:val="56"/>
      </w:rPr>
      <w:t></w:t>
    </w:r>
    <w:r w:rsidRPr="003A33B4">
      <w:rPr>
        <w:rFonts w:ascii="C39T30Lfz" w:hAnsi="C39T30Lfz"/>
        <w:kern w:val="14"/>
        <w:sz w:val="56"/>
      </w:rPr>
      <w:t></w:t>
    </w:r>
    <w:r w:rsidRPr="003A33B4">
      <w:rPr>
        <w:rFonts w:ascii="C39T30Lfz" w:hAnsi="C39T30Lfz"/>
        <w:kern w:val="14"/>
        <w:sz w:val="56"/>
      </w:rPr>
      <w:t></w:t>
    </w:r>
    <w:r w:rsidRPr="003A33B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F0CC2E" wp14:editId="08D5C2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E5C6" w14:textId="77777777" w:rsidR="00B3620A" w:rsidRPr="001075E9" w:rsidRDefault="00B362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22C0E0" w14:textId="77777777" w:rsidR="00B3620A" w:rsidRDefault="00B362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A1CDC4" w14:textId="77777777" w:rsidR="004649D8" w:rsidRPr="00706101" w:rsidRDefault="004649D8" w:rsidP="004649D8">
      <w:pPr>
        <w:pStyle w:val="FootnoteText"/>
      </w:pPr>
      <w:r>
        <w:tab/>
      </w:r>
      <w:r w:rsidRPr="004649D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02DB" w14:textId="684986FC" w:rsidR="003A33B4" w:rsidRPr="003A33B4" w:rsidRDefault="00F2352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683C" w14:textId="2623E7BB" w:rsidR="003A33B4" w:rsidRPr="003A33B4" w:rsidRDefault="00F2352B" w:rsidP="003A33B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0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3B4"/>
    <w:rsid w:val="003A48CE"/>
    <w:rsid w:val="003B00E5"/>
    <w:rsid w:val="00407B78"/>
    <w:rsid w:val="00424203"/>
    <w:rsid w:val="00452493"/>
    <w:rsid w:val="00453318"/>
    <w:rsid w:val="00454AF2"/>
    <w:rsid w:val="00454E07"/>
    <w:rsid w:val="004649D8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0D2"/>
    <w:rsid w:val="00806737"/>
    <w:rsid w:val="00825F8D"/>
    <w:rsid w:val="00834B71"/>
    <w:rsid w:val="0086445C"/>
    <w:rsid w:val="0088393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20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3DD5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180D"/>
    <w:rsid w:val="00EF3220"/>
    <w:rsid w:val="00F2352B"/>
    <w:rsid w:val="00F2523A"/>
    <w:rsid w:val="00F43903"/>
    <w:rsid w:val="00F7328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09E36"/>
  <w15:docId w15:val="{2C7EC1B7-8271-4E6A-87AF-E70C23A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4649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4649D8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qFormat/>
    <w:rsid w:val="004649D8"/>
    <w:rPr>
      <w:lang w:val="fr-CH" w:eastAsia="en-US"/>
    </w:rPr>
  </w:style>
  <w:style w:type="character" w:customStyle="1" w:styleId="HChGChar">
    <w:name w:val="_ H _Ch_G Char"/>
    <w:link w:val="HChG"/>
    <w:rsid w:val="004649D8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ECE/TRANS/WP.29/2019/51</vt:lpstr>
      <vt:lpstr>ECE/TRANS/WP.29/2019/51</vt:lpstr>
      <vt:lpstr>A/</vt:lpstr>
    </vt:vector>
  </TitlesOfParts>
  <Company>DCM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ECE/TRANS/WP.29/2019/51</dc:title>
  <dc:subject/>
  <dc:creator>Uliana ANTIPOVA</dc:creator>
  <cp:keywords/>
  <cp:lastModifiedBy>Marie-Claude Collet</cp:lastModifiedBy>
  <cp:revision>3</cp:revision>
  <cp:lastPrinted>2019-05-01T12:50:00Z</cp:lastPrinted>
  <dcterms:created xsi:type="dcterms:W3CDTF">2019-05-01T12:50:00Z</dcterms:created>
  <dcterms:modified xsi:type="dcterms:W3CDTF">2019-05-01T12:50:00Z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