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35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53525" w:rsidP="00A53525">
            <w:pPr>
              <w:jc w:val="right"/>
            </w:pPr>
            <w:r w:rsidRPr="00A53525">
              <w:rPr>
                <w:sz w:val="40"/>
              </w:rPr>
              <w:t>ECE</w:t>
            </w:r>
            <w:r>
              <w:t>/TRANS/WP.29/2019/44</w:t>
            </w:r>
          </w:p>
        </w:tc>
      </w:tr>
      <w:tr w:rsidR="002D5AAC" w:rsidRPr="00A5352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35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3525" w:rsidRDefault="00A53525" w:rsidP="00A535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:rsidR="00A53525" w:rsidRDefault="00A53525" w:rsidP="00A535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3525" w:rsidRPr="008D53B6" w:rsidRDefault="00A53525" w:rsidP="00A535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3525" w:rsidRPr="00A53525" w:rsidRDefault="00A53525" w:rsidP="00A53525">
      <w:pPr>
        <w:spacing w:before="120"/>
        <w:rPr>
          <w:sz w:val="28"/>
          <w:szCs w:val="28"/>
        </w:rPr>
      </w:pPr>
      <w:r w:rsidRPr="00A53525">
        <w:rPr>
          <w:sz w:val="28"/>
          <w:szCs w:val="28"/>
        </w:rPr>
        <w:t>Комитет по внутреннему транспорту</w:t>
      </w:r>
    </w:p>
    <w:p w:rsidR="00A53525" w:rsidRPr="00A53525" w:rsidRDefault="00A53525" w:rsidP="00A53525">
      <w:pPr>
        <w:spacing w:before="120"/>
        <w:rPr>
          <w:b/>
          <w:sz w:val="24"/>
          <w:szCs w:val="24"/>
        </w:rPr>
      </w:pPr>
      <w:r w:rsidRPr="00A53525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A53525">
        <w:rPr>
          <w:b/>
          <w:bCs/>
          <w:sz w:val="24"/>
          <w:szCs w:val="24"/>
        </w:rPr>
        <w:t>в области транспортных средств</w:t>
      </w:r>
    </w:p>
    <w:p w:rsidR="00A53525" w:rsidRPr="00A53525" w:rsidRDefault="00A53525" w:rsidP="00A53525">
      <w:pPr>
        <w:spacing w:before="120"/>
        <w:rPr>
          <w:b/>
        </w:rPr>
      </w:pPr>
      <w:r w:rsidRPr="00A53525">
        <w:rPr>
          <w:b/>
          <w:bCs/>
        </w:rPr>
        <w:t>178-я сессия</w:t>
      </w:r>
    </w:p>
    <w:p w:rsidR="00A53525" w:rsidRPr="00A53525" w:rsidRDefault="00A53525" w:rsidP="00A53525">
      <w:r w:rsidRPr="00A53525">
        <w:t>Женева, 25–28 июня 2019 года</w:t>
      </w:r>
    </w:p>
    <w:p w:rsidR="00A53525" w:rsidRPr="00A53525" w:rsidRDefault="00A53525" w:rsidP="00A53525">
      <w:r w:rsidRPr="00A53525">
        <w:t>Пункт 4.7.4 предварительной повестки дня</w:t>
      </w:r>
    </w:p>
    <w:p w:rsidR="00A53525" w:rsidRPr="00A53525" w:rsidRDefault="00A53525" w:rsidP="00A53525">
      <w:pPr>
        <w:rPr>
          <w:b/>
          <w:bCs/>
        </w:rPr>
      </w:pPr>
      <w:r w:rsidRPr="00A53525">
        <w:rPr>
          <w:b/>
          <w:bCs/>
        </w:rPr>
        <w:t xml:space="preserve">Соглашение 1958 года: </w:t>
      </w:r>
    </w:p>
    <w:p w:rsidR="00A53525" w:rsidRPr="00A53525" w:rsidRDefault="00A53525" w:rsidP="00A53525">
      <w:pPr>
        <w:rPr>
          <w:b/>
        </w:rPr>
      </w:pPr>
      <w:r w:rsidRPr="00A53525">
        <w:rPr>
          <w:b/>
          <w:bCs/>
        </w:rPr>
        <w:t>Рассмотрение проектов поправок к существующим</w:t>
      </w:r>
      <w:r>
        <w:rPr>
          <w:b/>
        </w:rPr>
        <w:br/>
      </w:r>
      <w:r w:rsidRPr="00A53525">
        <w:rPr>
          <w:b/>
          <w:bCs/>
        </w:rPr>
        <w:t>правилам ООН, представленных GRРE</w:t>
      </w:r>
    </w:p>
    <w:p w:rsidR="00A53525" w:rsidRPr="00A53525" w:rsidRDefault="00A53525" w:rsidP="00A53525">
      <w:pPr>
        <w:pStyle w:val="HChGR"/>
      </w:pPr>
      <w:r>
        <w:tab/>
      </w:r>
      <w:r>
        <w:tab/>
      </w:r>
      <w:r w:rsidRPr="00A53525">
        <w:t>Предложение по дополнению 9 к Правилам № 85 ООН (измерение полезной мощности)</w:t>
      </w:r>
    </w:p>
    <w:p w:rsidR="00A53525" w:rsidRPr="00A53525" w:rsidRDefault="00A53525" w:rsidP="00A53525">
      <w:pPr>
        <w:pStyle w:val="H1GR"/>
      </w:pPr>
      <w:r w:rsidRPr="00A53525">
        <w:tab/>
      </w:r>
      <w:r w:rsidRPr="00A53525">
        <w:tab/>
        <w:t xml:space="preserve">Представлено Рабочей группой по </w:t>
      </w:r>
      <w:r>
        <w:t>проблемам энергии и </w:t>
      </w:r>
      <w:r w:rsidRPr="00A53525">
        <w:t>загрязнения окружающей среды</w:t>
      </w:r>
      <w:r w:rsidRPr="00A53525">
        <w:rPr>
          <w:b w:val="0"/>
          <w:sz w:val="20"/>
        </w:rPr>
        <w:footnoteReference w:customMarkFollows="1" w:id="1"/>
        <w:t>*</w:t>
      </w:r>
    </w:p>
    <w:p w:rsidR="00A53525" w:rsidRPr="00A53525" w:rsidRDefault="00A53525" w:rsidP="00A53525">
      <w:pPr>
        <w:pStyle w:val="SingleTxtGR"/>
      </w:pPr>
      <w:r>
        <w:tab/>
      </w:r>
      <w:r w:rsidRPr="00A53525">
        <w:t xml:space="preserve">Воспроизведенный ниже текст был принят Рабочей группой по проблемам энергии и загрязнения окружающей среды (GRPE) на ее семьдесят восьмой сессии (ECE/TRANS/WP.29/GRPE/78, пункт 39). Он основан на приложении IX к документу ECE/TRANS/WP.29/GRE/78.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 </w:t>
      </w:r>
    </w:p>
    <w:p w:rsidR="00A53525" w:rsidRPr="00A53525" w:rsidRDefault="00A53525" w:rsidP="00A53525">
      <w:pPr>
        <w:pStyle w:val="SingleTxtGR"/>
      </w:pPr>
      <w:r w:rsidRPr="00A53525">
        <w:br w:type="page"/>
      </w:r>
    </w:p>
    <w:p w:rsidR="00A53525" w:rsidRPr="00A53525" w:rsidRDefault="00A53525" w:rsidP="00A53525">
      <w:pPr>
        <w:pStyle w:val="HChGR"/>
      </w:pPr>
      <w:r w:rsidRPr="00A53525">
        <w:lastRenderedPageBreak/>
        <w:tab/>
      </w:r>
      <w:r w:rsidRPr="00A53525">
        <w:tab/>
        <w:t>Дополнение 9 к Правилам № 85 ООН (измерение полезной мощности)</w:t>
      </w:r>
    </w:p>
    <w:p w:rsidR="00A53525" w:rsidRPr="00A53525" w:rsidRDefault="00A53525" w:rsidP="00A53525">
      <w:pPr>
        <w:pStyle w:val="SingleTxtGR"/>
        <w:rPr>
          <w:i/>
        </w:rPr>
      </w:pPr>
      <w:r w:rsidRPr="00A53525">
        <w:rPr>
          <w:i/>
          <w:iCs/>
        </w:rPr>
        <w:t>Приложение 5, таблица 1, примечание 1</w:t>
      </w:r>
      <w:r w:rsidRPr="00A53525">
        <w:rPr>
          <w:i/>
          <w:iCs/>
          <w:lang w:val="en-GB"/>
        </w:rPr>
        <w:t>b</w:t>
      </w:r>
      <w:r w:rsidRPr="00A53525">
        <w:t xml:space="preserve"> изменить следующим образом:</w:t>
      </w:r>
    </w:p>
    <w:p w:rsidR="00A53525" w:rsidRPr="00A53525" w:rsidRDefault="00A53525" w:rsidP="00A53525">
      <w:pPr>
        <w:pStyle w:val="SingleTxtGR"/>
        <w:ind w:left="1701" w:hanging="567"/>
      </w:pPr>
      <w:r w:rsidRPr="00A53525">
        <w:t>«</w:t>
      </w:r>
      <w:r w:rsidRPr="00A53525">
        <w:rPr>
          <w:vertAlign w:val="superscript"/>
        </w:rPr>
        <w:t>1</w:t>
      </w:r>
      <w:r w:rsidRPr="00A53525">
        <w:rPr>
          <w:vertAlign w:val="superscript"/>
          <w:lang w:val="en-GB"/>
        </w:rPr>
        <w:t>b</w:t>
      </w:r>
      <w:r w:rsidRPr="00A53525">
        <w:rPr>
          <w:vertAlign w:val="superscript"/>
        </w:rPr>
        <w:t>)</w:t>
      </w:r>
      <w:r w:rsidRPr="00A53525">
        <w:tab/>
        <w:t xml:space="preserve">Полная система выхлопа, предусмотренная для заданного использования, применяется в следующих случаях: </w:t>
      </w:r>
    </w:p>
    <w:p w:rsidR="00A53525" w:rsidRPr="00A53525" w:rsidRDefault="00A53525" w:rsidP="00A53525">
      <w:pPr>
        <w:pStyle w:val="SingleTxtGR"/>
      </w:pPr>
      <w:r w:rsidRPr="00A53525">
        <w:tab/>
        <w:t>когда существует риск оказания значительного влияния на мощность двигателя,</w:t>
      </w:r>
    </w:p>
    <w:p w:rsidR="00A53525" w:rsidRPr="00A53525" w:rsidRDefault="00A53525" w:rsidP="00A53525">
      <w:pPr>
        <w:pStyle w:val="SingleTxtGR"/>
      </w:pPr>
      <w:r w:rsidRPr="00A53525">
        <w:tab/>
        <w:t>когда речь идет о двухтактных двигателях,</w:t>
      </w:r>
    </w:p>
    <w:p w:rsidR="00A53525" w:rsidRPr="00A53525" w:rsidRDefault="00A53525" w:rsidP="00A53525">
      <w:pPr>
        <w:pStyle w:val="SingleTxtGR"/>
      </w:pPr>
      <w:r w:rsidRPr="00A53525">
        <w:tab/>
        <w:t>когда этого требует изготовитель.</w:t>
      </w:r>
    </w:p>
    <w:p w:rsidR="00A53525" w:rsidRPr="00A53525" w:rsidRDefault="00A53525" w:rsidP="00A53525">
      <w:pPr>
        <w:pStyle w:val="SingleTxtGR"/>
      </w:pPr>
      <w:r w:rsidRPr="00A53525">
        <w:t>В других случаях может использоваться эквивалентная система при условии, что давление, измеренное на выходе системы выхлопа, не превышает более чем на 1</w:t>
      </w:r>
      <w:r>
        <w:t> 000 </w:t>
      </w:r>
      <w:r w:rsidRPr="00A53525">
        <w:t>Па давление, указанное изготовителем.</w:t>
      </w:r>
    </w:p>
    <w:p w:rsidR="00E12C5F" w:rsidRDefault="00A53525" w:rsidP="00A53525">
      <w:pPr>
        <w:pStyle w:val="SingleTxtGR"/>
      </w:pPr>
      <w:r w:rsidRPr="00A53525">
        <w:t>Под выходом системы выхлопа подразумевается точка, расположенная на расстоянии 150 мм за последним элементом системы, смонтированным в условиях серийного производства».</w:t>
      </w:r>
    </w:p>
    <w:p w:rsidR="00A53525" w:rsidRPr="00A53525" w:rsidRDefault="00A53525" w:rsidP="00A5352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3525" w:rsidRPr="00A53525" w:rsidSect="00A535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F4" w:rsidRPr="00A312BC" w:rsidRDefault="008427F4" w:rsidP="00A312BC"/>
  </w:endnote>
  <w:endnote w:type="continuationSeparator" w:id="0">
    <w:p w:rsidR="008427F4" w:rsidRPr="00A312BC" w:rsidRDefault="008427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25" w:rsidRPr="00A53525" w:rsidRDefault="00A53525">
    <w:pPr>
      <w:pStyle w:val="Footer"/>
    </w:pPr>
    <w:r w:rsidRPr="00A53525">
      <w:rPr>
        <w:b/>
        <w:sz w:val="18"/>
      </w:rPr>
      <w:fldChar w:fldCharType="begin"/>
    </w:r>
    <w:r w:rsidRPr="00A53525">
      <w:rPr>
        <w:b/>
        <w:sz w:val="18"/>
      </w:rPr>
      <w:instrText xml:space="preserve"> PAGE  \* MERGEFORMAT </w:instrText>
    </w:r>
    <w:r w:rsidRPr="00A53525">
      <w:rPr>
        <w:b/>
        <w:sz w:val="18"/>
      </w:rPr>
      <w:fldChar w:fldCharType="separate"/>
    </w:r>
    <w:r w:rsidR="00D204AE">
      <w:rPr>
        <w:b/>
        <w:noProof/>
        <w:sz w:val="18"/>
      </w:rPr>
      <w:t>2</w:t>
    </w:r>
    <w:r w:rsidRPr="00A53525">
      <w:rPr>
        <w:b/>
        <w:sz w:val="18"/>
      </w:rPr>
      <w:fldChar w:fldCharType="end"/>
    </w:r>
    <w:r>
      <w:rPr>
        <w:b/>
        <w:sz w:val="18"/>
      </w:rPr>
      <w:tab/>
    </w:r>
    <w:r>
      <w:t>GE.19-06088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25" w:rsidRPr="00A53525" w:rsidRDefault="00A53525" w:rsidP="00A53525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GE.19-06088</w:t>
    </w:r>
    <w:r>
      <w:tab/>
    </w:r>
    <w:r w:rsidRPr="00A53525">
      <w:rPr>
        <w:b/>
        <w:sz w:val="18"/>
      </w:rPr>
      <w:fldChar w:fldCharType="begin"/>
    </w:r>
    <w:r w:rsidRPr="00A53525">
      <w:rPr>
        <w:b/>
        <w:sz w:val="18"/>
      </w:rPr>
      <w:instrText xml:space="preserve"> PAGE  \* MERGEFORMAT </w:instrText>
    </w:r>
    <w:r w:rsidRPr="00A5352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535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53525" w:rsidRDefault="00A53525" w:rsidP="00A5352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06088  (</w:t>
    </w:r>
    <w:proofErr w:type="gramEnd"/>
    <w:r>
      <w:t>R)</w:t>
    </w:r>
    <w:r>
      <w:rPr>
        <w:lang w:val="en-US"/>
      </w:rPr>
      <w:t xml:space="preserve">  260419  290419</w:t>
    </w:r>
    <w:r>
      <w:br/>
    </w:r>
    <w:r w:rsidRPr="00A53525">
      <w:rPr>
        <w:rFonts w:ascii="C39T30Lfz" w:hAnsi="C39T30Lfz"/>
        <w:kern w:val="14"/>
        <w:sz w:val="56"/>
      </w:rPr>
      <w:t></w:t>
    </w:r>
    <w:r w:rsidRPr="00A53525">
      <w:rPr>
        <w:rFonts w:ascii="C39T30Lfz" w:hAnsi="C39T30Lfz"/>
        <w:kern w:val="14"/>
        <w:sz w:val="56"/>
      </w:rPr>
      <w:t></w:t>
    </w:r>
    <w:r w:rsidRPr="00A53525">
      <w:rPr>
        <w:rFonts w:ascii="C39T30Lfz" w:hAnsi="C39T30Lfz"/>
        <w:kern w:val="14"/>
        <w:sz w:val="56"/>
      </w:rPr>
      <w:t></w:t>
    </w:r>
    <w:r w:rsidRPr="00A53525">
      <w:rPr>
        <w:rFonts w:ascii="C39T30Lfz" w:hAnsi="C39T30Lfz"/>
        <w:kern w:val="14"/>
        <w:sz w:val="56"/>
      </w:rPr>
      <w:t></w:t>
    </w:r>
    <w:r w:rsidRPr="00A53525">
      <w:rPr>
        <w:rFonts w:ascii="C39T30Lfz" w:hAnsi="C39T30Lfz"/>
        <w:kern w:val="14"/>
        <w:sz w:val="56"/>
      </w:rPr>
      <w:t></w:t>
    </w:r>
    <w:r w:rsidRPr="00A53525">
      <w:rPr>
        <w:rFonts w:ascii="C39T30Lfz" w:hAnsi="C39T30Lfz"/>
        <w:kern w:val="14"/>
        <w:sz w:val="56"/>
      </w:rPr>
      <w:t></w:t>
    </w:r>
    <w:r w:rsidRPr="00A53525">
      <w:rPr>
        <w:rFonts w:ascii="C39T30Lfz" w:hAnsi="C39T30Lfz"/>
        <w:kern w:val="14"/>
        <w:sz w:val="56"/>
      </w:rPr>
      <w:t></w:t>
    </w:r>
    <w:r w:rsidRPr="00A53525">
      <w:rPr>
        <w:rFonts w:ascii="C39T30Lfz" w:hAnsi="C39T30Lfz"/>
        <w:kern w:val="14"/>
        <w:sz w:val="56"/>
      </w:rPr>
      <w:t></w:t>
    </w:r>
    <w:r w:rsidRPr="00A5352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F4" w:rsidRPr="001075E9" w:rsidRDefault="008427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27F4" w:rsidRDefault="008427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3525" w:rsidRDefault="00A53525" w:rsidP="00A53525">
      <w:pPr>
        <w:pStyle w:val="FootnoteText"/>
      </w:pPr>
      <w:r>
        <w:tab/>
      </w:r>
      <w:r w:rsidRPr="00A53525">
        <w:rPr>
          <w:sz w:val="20"/>
          <w:vertAlign w:val="superscript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25" w:rsidRPr="00A53525" w:rsidRDefault="004525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204AE">
      <w:t>ECE/TRANS/WP.29/2019/44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525" w:rsidRPr="00A53525" w:rsidRDefault="00452522" w:rsidP="00A535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04AE">
      <w:t>ECE/TRANS/WP.29/2019/44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F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2522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7F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5352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04A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D62172-E4EA-4EB3-B377-13358FE6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A535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ECE/TRANS/WP.29/2019/44</vt:lpstr>
      <vt:lpstr>A/</vt:lpstr>
      <vt:lpstr>A/</vt:lpstr>
    </vt:vector>
  </TitlesOfParts>
  <Company>DCM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ECE/TRANS/WP.29/2019/44</dc:title>
  <dc:subject/>
  <dc:creator>Uliana ANTIPOVA</dc:creator>
  <cp:keywords/>
  <cp:lastModifiedBy>Marie-Claude Collet</cp:lastModifiedBy>
  <cp:revision>2</cp:revision>
  <cp:lastPrinted>2019-04-29T09:20:00Z</cp:lastPrinted>
  <dcterms:created xsi:type="dcterms:W3CDTF">2019-05-01T12:41:00Z</dcterms:created>
  <dcterms:modified xsi:type="dcterms:W3CDTF">2019-05-01T12:41:00Z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