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F113F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8C55E2" w14:textId="77777777" w:rsidR="002D5AAC" w:rsidRDefault="002D5AAC" w:rsidP="00214E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C798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2C2843" w14:textId="77777777" w:rsidR="002D5AAC" w:rsidRDefault="00214E18" w:rsidP="00214E18">
            <w:pPr>
              <w:jc w:val="right"/>
            </w:pPr>
            <w:r w:rsidRPr="00214E18">
              <w:rPr>
                <w:sz w:val="40"/>
              </w:rPr>
              <w:t>ECE</w:t>
            </w:r>
            <w:r>
              <w:t>/TRANS/WP.29/2019/42</w:t>
            </w:r>
          </w:p>
        </w:tc>
      </w:tr>
      <w:tr w:rsidR="002D5AAC" w:rsidRPr="00214E18" w14:paraId="2D9FB6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CFFEA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6C36EE" wp14:editId="7A8415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6A67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1170DE" w14:textId="77777777" w:rsidR="002D5AAC" w:rsidRDefault="00214E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23C68B" w14:textId="77777777" w:rsidR="00214E18" w:rsidRDefault="00214E18" w:rsidP="00214E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2019</w:t>
            </w:r>
          </w:p>
          <w:p w14:paraId="3584B0CB" w14:textId="77777777" w:rsidR="00214E18" w:rsidRDefault="00214E18" w:rsidP="00214E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7F1D9C" w14:textId="77777777" w:rsidR="00214E18" w:rsidRPr="008D53B6" w:rsidRDefault="00214E18" w:rsidP="00214E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2B00A2" w14:textId="77777777" w:rsidR="00214E1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C436A6" w14:textId="77777777" w:rsidR="00214E18" w:rsidRPr="00214E18" w:rsidRDefault="00214E18" w:rsidP="00214E18">
      <w:pPr>
        <w:spacing w:before="120"/>
        <w:rPr>
          <w:sz w:val="28"/>
          <w:szCs w:val="28"/>
        </w:rPr>
      </w:pPr>
      <w:r w:rsidRPr="00214E18">
        <w:rPr>
          <w:sz w:val="28"/>
          <w:szCs w:val="28"/>
        </w:rPr>
        <w:t>Комитет по внутреннему транспорту</w:t>
      </w:r>
    </w:p>
    <w:p w14:paraId="19713215" w14:textId="77777777" w:rsidR="00214E18" w:rsidRPr="00251FCA" w:rsidRDefault="00214E18" w:rsidP="00214E18">
      <w:pPr>
        <w:spacing w:before="120"/>
        <w:rPr>
          <w:b/>
          <w:sz w:val="24"/>
          <w:szCs w:val="24"/>
        </w:rPr>
      </w:pPr>
      <w:r w:rsidRPr="00251FCA">
        <w:rPr>
          <w:b/>
          <w:bCs/>
          <w:sz w:val="24"/>
          <w:szCs w:val="24"/>
        </w:rPr>
        <w:t>Всемирный форум для согласования правил</w:t>
      </w:r>
      <w:r w:rsidR="00251FCA">
        <w:rPr>
          <w:b/>
          <w:bCs/>
          <w:sz w:val="24"/>
          <w:szCs w:val="24"/>
        </w:rPr>
        <w:br/>
      </w:r>
      <w:r w:rsidRPr="00251FCA">
        <w:rPr>
          <w:b/>
          <w:bCs/>
          <w:sz w:val="24"/>
          <w:szCs w:val="24"/>
        </w:rPr>
        <w:t>в области транспортных средств</w:t>
      </w:r>
    </w:p>
    <w:p w14:paraId="269B16D0" w14:textId="77777777" w:rsidR="00214E18" w:rsidRPr="00573C7D" w:rsidRDefault="00214E18" w:rsidP="00214E1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  <w:r>
        <w:rPr>
          <w:b/>
          <w:bCs/>
        </w:rPr>
        <w:br/>
      </w:r>
      <w:r>
        <w:t>Женева, 25–28 июня 2019 года</w:t>
      </w:r>
      <w:r>
        <w:br/>
        <w:t>Пункт 4.7.2 предварительной повестки дня</w:t>
      </w:r>
      <w:r>
        <w:br/>
      </w:r>
      <w:r>
        <w:rPr>
          <w:b/>
          <w:bCs/>
        </w:rPr>
        <w:t>Соглашение 1958 года:</w:t>
      </w:r>
      <w:r w:rsidR="00DC1973">
        <w:rPr>
          <w:b/>
          <w:bCs/>
        </w:rPr>
        <w:br/>
      </w:r>
      <w:r>
        <w:rPr>
          <w:b/>
          <w:bCs/>
        </w:rPr>
        <w:t>Рассмотрение проектов поправок</w:t>
      </w:r>
      <w:r>
        <w:rPr>
          <w:b/>
          <w:bCs/>
        </w:rPr>
        <w:br/>
        <w:t>к существующим</w:t>
      </w:r>
      <w:r w:rsidRPr="00214E18">
        <w:rPr>
          <w:b/>
          <w:bCs/>
        </w:rPr>
        <w:t xml:space="preserve"> </w:t>
      </w:r>
      <w:r>
        <w:rPr>
          <w:b/>
          <w:bCs/>
        </w:rPr>
        <w:t>правилам ООН,</w:t>
      </w:r>
      <w:r w:rsidR="009E1779">
        <w:rPr>
          <w:b/>
          <w:bCs/>
        </w:rPr>
        <w:br/>
      </w:r>
      <w:r>
        <w:rPr>
          <w:b/>
          <w:bCs/>
        </w:rPr>
        <w:t>представленных GRРE</w:t>
      </w:r>
    </w:p>
    <w:p w14:paraId="26C6F278" w14:textId="77777777" w:rsidR="00214E18" w:rsidRPr="00573C7D" w:rsidRDefault="00214E18" w:rsidP="00214E18">
      <w:pPr>
        <w:pStyle w:val="HChG"/>
        <w:tabs>
          <w:tab w:val="left" w:pos="720"/>
        </w:tabs>
        <w:ind w:firstLine="0"/>
      </w:pPr>
      <w:r>
        <w:rPr>
          <w:bCs/>
        </w:rPr>
        <w:t>Предложение по дополнению 13 к поправкам серии 06</w:t>
      </w:r>
      <w:r>
        <w:rPr>
          <w:bCs/>
        </w:rPr>
        <w:br/>
        <w:t>к Правилам № 83 ООН (выбросы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 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3950B551" w14:textId="77777777" w:rsidR="00214E18" w:rsidRPr="00573C7D" w:rsidRDefault="00214E18" w:rsidP="00214E18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</w:t>
      </w:r>
      <w:r>
        <w:rPr>
          <w:bCs/>
        </w:rPr>
        <w:br/>
        <w:t>и загрязнения окружающей среды</w:t>
      </w:r>
      <w:r w:rsidRPr="00214E18">
        <w:rPr>
          <w:rStyle w:val="FootnoteReference"/>
          <w:b w:val="0"/>
          <w:position w:val="4"/>
          <w:vertAlign w:val="baseline"/>
        </w:rPr>
        <w:footnoteReference w:customMarkFollows="1" w:id="1"/>
        <w:t>*</w:t>
      </w:r>
    </w:p>
    <w:p w14:paraId="6848C874" w14:textId="77777777" w:rsidR="00214E18" w:rsidRPr="00573C7D" w:rsidRDefault="00214E18" w:rsidP="00214E18">
      <w:pPr>
        <w:pStyle w:val="SingleTxtG"/>
        <w:rPr>
          <w:sz w:val="24"/>
          <w:szCs w:val="24"/>
        </w:rPr>
      </w:pPr>
      <w:r>
        <w:tab/>
      </w:r>
      <w:r>
        <w:tab/>
        <w:t xml:space="preserve">Воспроизведенный ниже текст был принят Рабочей группой по проблемам энергии и загрязнения окружающей среды (GRPE) на ее семьдесят восьмой сессии (ECE/TRANS/WP.29/GRPE/78, пункт 10). Он основан на приложениях IV и VI к документу ECE/TRANS/WP.29/GRPE/78.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июне 2019 года. </w:t>
      </w:r>
    </w:p>
    <w:p w14:paraId="4B3EF6C9" w14:textId="77777777" w:rsidR="00214E18" w:rsidRPr="00573C7D" w:rsidRDefault="00214E18" w:rsidP="00214E18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 xml:space="preserve">Дополнение 13 к поправкам серии </w:t>
      </w:r>
      <w:r w:rsidR="009E1779">
        <w:rPr>
          <w:bCs/>
        </w:rPr>
        <w:t>0</w:t>
      </w:r>
      <w:r>
        <w:rPr>
          <w:bCs/>
        </w:rPr>
        <w:t>6</w:t>
      </w:r>
      <w:r w:rsidR="009E1779">
        <w:rPr>
          <w:bCs/>
        </w:rPr>
        <w:br/>
      </w:r>
      <w:r>
        <w:rPr>
          <w:bCs/>
        </w:rPr>
        <w:t>к Правилам № 83 ООН (выбросы загрязняющих</w:t>
      </w:r>
      <w:r w:rsidR="009E1779">
        <w:rPr>
          <w:bCs/>
        </w:rPr>
        <w:br/>
      </w:r>
      <w:r>
        <w:rPr>
          <w:bCs/>
        </w:rPr>
        <w:t>веществ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498E6565" w14:textId="77777777" w:rsidR="00214E18" w:rsidRPr="00573C7D" w:rsidRDefault="00214E18" w:rsidP="00214E18">
      <w:pPr>
        <w:pStyle w:val="SingleTxtG"/>
        <w:rPr>
          <w:i/>
        </w:rPr>
      </w:pPr>
      <w:r>
        <w:rPr>
          <w:i/>
          <w:iCs/>
        </w:rPr>
        <w:t>Добавление 5, пункт 2 изменить следующим образом:</w:t>
      </w:r>
    </w:p>
    <w:p w14:paraId="76D4AE80" w14:textId="77777777" w:rsidR="00214E18" w:rsidRPr="00573C7D" w:rsidRDefault="00214E18" w:rsidP="00214E18">
      <w:pPr>
        <w:pStyle w:val="SingleTxtG"/>
        <w:ind w:left="2259" w:hanging="1125"/>
      </w:pPr>
      <w:r>
        <w:t>«2.</w:t>
      </w:r>
      <w:r>
        <w:tab/>
        <w:t>Изготовитель составляет подборку всей информации, необходимой для удовлетворения требований пункта 9 и добавлений 3, 4 и 5 к настоящим Правилам. Орган по официальному утверждению типа может также принять во внимание информацию, собираемую в рамках программ надзора».</w:t>
      </w:r>
    </w:p>
    <w:p w14:paraId="58376A65" w14:textId="77777777" w:rsidR="00214E18" w:rsidRPr="00573C7D" w:rsidRDefault="00214E18" w:rsidP="00214E18">
      <w:pPr>
        <w:pStyle w:val="SingleTxtG"/>
        <w:rPr>
          <w:i/>
        </w:rPr>
      </w:pPr>
      <w:r>
        <w:rPr>
          <w:i/>
          <w:iCs/>
        </w:rPr>
        <w:t>Добавление 6, пункт 9.4 изменить следующим образом:</w:t>
      </w:r>
    </w:p>
    <w:p w14:paraId="60F9954F" w14:textId="77777777" w:rsidR="00214E18" w:rsidRPr="00573C7D" w:rsidRDefault="00214E18" w:rsidP="00214E18">
      <w:pPr>
        <w:pStyle w:val="SingleTxtG"/>
        <w:ind w:left="2259" w:hanging="1125"/>
      </w:pPr>
      <w:r>
        <w:t>«9.</w:t>
      </w:r>
      <w:proofErr w:type="gramStart"/>
      <w:r>
        <w:t>4</w:t>
      </w:r>
      <w:r>
        <w:tab/>
        <w:t>В</w:t>
      </w:r>
      <w:proofErr w:type="gramEnd"/>
      <w:r>
        <w:t xml:space="preserve"> инструкциях указывается, что использование и добавление требуемого реагента, отвечающего конкретным спецификациям, является обязательным условием обеспечения соответствия транспортного средства его свидетельству о соответствии».</w:t>
      </w:r>
    </w:p>
    <w:p w14:paraId="61E1D1C3" w14:textId="77777777" w:rsidR="00214E18" w:rsidRPr="00573C7D" w:rsidRDefault="00214E18" w:rsidP="00214E18">
      <w:pPr>
        <w:pStyle w:val="SingleTxtG"/>
        <w:rPr>
          <w:i/>
        </w:rPr>
      </w:pPr>
      <w:r>
        <w:rPr>
          <w:i/>
          <w:iCs/>
        </w:rPr>
        <w:t>Приложение 1, пункт 3.2.12.2.6.2 изменить следующим образом:</w:t>
      </w:r>
    </w:p>
    <w:p w14:paraId="2F390C6B" w14:textId="77777777" w:rsidR="00214E18" w:rsidRPr="00F97267" w:rsidRDefault="00214E18" w:rsidP="00214E18">
      <w:pPr>
        <w:pStyle w:val="SingleTxtG"/>
        <w:tabs>
          <w:tab w:val="left" w:leader="dot" w:pos="7503"/>
        </w:tabs>
        <w:ind w:left="2257" w:hanging="1123"/>
      </w:pPr>
      <w:r>
        <w:t>«</w:t>
      </w:r>
      <w:r w:rsidRPr="00214E18">
        <w:rPr>
          <w:spacing w:val="-2"/>
        </w:rPr>
        <w:t>3.2.12.2.6.2</w:t>
      </w:r>
      <w:r>
        <w:tab/>
        <w:t xml:space="preserve">Тип и конструкция уловителей взвешенных частиц: </w:t>
      </w:r>
      <w:r>
        <w:tab/>
        <w:t>» (К тексту на русском языке не относится.)</w:t>
      </w:r>
    </w:p>
    <w:p w14:paraId="3A9E31E6" w14:textId="77777777" w:rsidR="00214E18" w:rsidRPr="00573C7D" w:rsidRDefault="00214E18" w:rsidP="00214E18">
      <w:pPr>
        <w:pStyle w:val="SingleTxtG"/>
        <w:rPr>
          <w:i/>
          <w:iCs/>
        </w:rPr>
      </w:pPr>
      <w:r w:rsidRPr="00573C7D">
        <w:rPr>
          <w:i/>
          <w:iCs/>
        </w:rPr>
        <w:t>Приложение 5, пункт 3.1 изменить следующим образом:</w:t>
      </w:r>
      <w:r w:rsidRPr="00573C7D">
        <w:rPr>
          <w:i/>
          <w:iCs/>
        </w:rPr>
        <w:tab/>
      </w:r>
    </w:p>
    <w:p w14:paraId="61ED13E7" w14:textId="77777777" w:rsidR="00214E18" w:rsidRPr="00573C7D" w:rsidRDefault="00214E18" w:rsidP="00214E18">
      <w:pPr>
        <w:pStyle w:val="SingleTxtG"/>
        <w:ind w:left="2268" w:hanging="1122"/>
      </w:pPr>
      <w:r>
        <w:t>«3.1</w:t>
      </w:r>
      <w:r>
        <w:tab/>
      </w:r>
      <w:r>
        <w:tab/>
      </w:r>
      <w:proofErr w:type="spellStart"/>
      <w:r>
        <w:t>Пробоотборный</w:t>
      </w:r>
      <w:proofErr w:type="spellEnd"/>
      <w:r>
        <w:t xml:space="preserve"> зонд вводят в выхлопную трубу на глубину не менее</w:t>
      </w:r>
      <w:r w:rsidR="00EA44A7">
        <w:br/>
      </w:r>
      <w:r>
        <w:t>300 мм либо в трубу, соединяющую глушитель транспортного средства с камерой для отбора проб, как можно ближе к глушителю».</w:t>
      </w:r>
    </w:p>
    <w:p w14:paraId="5F216C78" w14:textId="77777777" w:rsidR="00214E18" w:rsidRPr="00573C7D" w:rsidRDefault="00214E18" w:rsidP="00214E18">
      <w:pPr>
        <w:keepNext/>
        <w:keepLines/>
        <w:spacing w:after="120" w:line="240" w:lineRule="auto"/>
        <w:ind w:left="2268" w:right="1134" w:hanging="1134"/>
      </w:pPr>
      <w:r w:rsidRPr="00573C7D">
        <w:rPr>
          <w:i/>
          <w:iCs/>
        </w:rPr>
        <w:t>Приложение 7, пункт 4.2.1</w:t>
      </w:r>
      <w:r>
        <w:t xml:space="preserve"> изменить следующим образом:</w:t>
      </w:r>
    </w:p>
    <w:p w14:paraId="204B127C" w14:textId="77777777" w:rsidR="00214E18" w:rsidRPr="00573C7D" w:rsidRDefault="00214E18" w:rsidP="00214E18">
      <w:pPr>
        <w:pStyle w:val="SingleTxtG"/>
        <w:ind w:left="2268" w:hanging="1134"/>
      </w:pPr>
      <w:r>
        <w:t>«4.2.1</w:t>
      </w:r>
      <w:r>
        <w:tab/>
        <w:t>Камера с изменяющимся объемом</w:t>
      </w:r>
    </w:p>
    <w:p w14:paraId="7B10DF2F" w14:textId="77777777" w:rsidR="00214E18" w:rsidRPr="00573C7D" w:rsidRDefault="00214E18" w:rsidP="00214E18">
      <w:pPr>
        <w:pStyle w:val="SingleTxtG"/>
        <w:ind w:left="2268"/>
      </w:pPr>
      <w:r>
        <w:tab/>
        <w:t>Камера с изменяющимся объемом расширяется и сжимается в зависимости от изменения температуры воздушной массы в камере. Двумя потенциальными средствами компенсации изменения внутреннего объема служат подвижная(ые) панель(ли) либо гофрированная конструкция, в которой расширяется(ются) и сжимается(ются) непроницаемый(ые) мешок (мешки) в зависимости от изменения внутреннего давления под воздействием воздухообмена с притоком в камеру внешнего воздуха. Любая конструкция, предназначенная для компенсации изменения объема, должна обеспечивать целостность камеры, как это указано в добавлении 1 к настоящему приложению, в установленном температурном диапазоне.</w:t>
      </w:r>
    </w:p>
    <w:p w14:paraId="514EFA7F" w14:textId="77777777" w:rsidR="00214E18" w:rsidRPr="00573C7D" w:rsidRDefault="00214E18" w:rsidP="00214E18">
      <w:pPr>
        <w:pStyle w:val="SingleTxtG"/>
        <w:ind w:left="2268"/>
      </w:pPr>
      <w:r>
        <w:tab/>
        <w:t>Любой метод компенсации объема должен ограничивать разницу между внутренним давлением в камере и барометрическим давлением</w:t>
      </w:r>
      <w:r>
        <w:br/>
        <w:t>до максимального значения ±5 гПа.</w:t>
      </w:r>
    </w:p>
    <w:p w14:paraId="5DECADAE" w14:textId="77777777" w:rsidR="00214E18" w:rsidRPr="00573C7D" w:rsidRDefault="00214E18" w:rsidP="00214E18">
      <w:pPr>
        <w:pStyle w:val="SingleTxtG"/>
        <w:ind w:left="2268"/>
      </w:pPr>
      <w:r>
        <w:tab/>
        <w:t xml:space="preserve">Конструкция камеры должна предусматривать возможность выдерживания установленного объема. Камера с изменяющимся объемом должна компенсировать изменения порядка +7% по отношению к ее </w:t>
      </w:r>
      <w:r w:rsidR="009E1779">
        <w:t>"</w:t>
      </w:r>
      <w:r>
        <w:t>номинальному объему</w:t>
      </w:r>
      <w:r w:rsidR="009E1779">
        <w:t>"</w:t>
      </w:r>
      <w:r>
        <w:t xml:space="preserve"> (см. пункт 2.1.1 добавления 1 к настоящему приложению) с учетом изменения температуры и атмосферного давления в ходе испытания».</w:t>
      </w:r>
    </w:p>
    <w:p w14:paraId="5BCFDA5B" w14:textId="77777777" w:rsidR="00214E18" w:rsidRPr="00573C7D" w:rsidRDefault="00214E18" w:rsidP="00214E18">
      <w:pPr>
        <w:keepNext/>
        <w:keepLines/>
        <w:spacing w:after="120" w:line="240" w:lineRule="auto"/>
        <w:ind w:left="2268" w:right="1134" w:hanging="1134"/>
      </w:pPr>
      <w:r>
        <w:rPr>
          <w:i/>
          <w:iCs/>
        </w:rPr>
        <w:t>Приложение 7, пункт 4.6.2</w:t>
      </w:r>
      <w:r>
        <w:t xml:space="preserve"> изменить следующим образом:</w:t>
      </w:r>
    </w:p>
    <w:p w14:paraId="4FF8AF59" w14:textId="77777777" w:rsidR="00214E18" w:rsidRPr="00573C7D" w:rsidRDefault="00214E18" w:rsidP="00214E18">
      <w:pPr>
        <w:pStyle w:val="SingleTxtG"/>
        <w:ind w:left="2268" w:hanging="1134"/>
      </w:pPr>
      <w:r>
        <w:t>«4.6.2</w:t>
      </w:r>
      <w:r>
        <w:tab/>
        <w:t>Система регистрации давления должна работать с точностью ±0,3 кПа</w:t>
      </w:r>
      <w:r w:rsidR="009E1779">
        <w:br/>
      </w:r>
      <w:r>
        <w:t>и иметь разрешающую способность 0,025 кПа».</w:t>
      </w:r>
    </w:p>
    <w:p w14:paraId="126BBE74" w14:textId="77777777" w:rsidR="00214E18" w:rsidRPr="00573C7D" w:rsidRDefault="00214E18" w:rsidP="00214E18">
      <w:pPr>
        <w:keepNext/>
        <w:keepLines/>
        <w:spacing w:after="120" w:line="240" w:lineRule="auto"/>
        <w:ind w:left="2268" w:right="1134" w:hanging="1134"/>
      </w:pPr>
      <w:r>
        <w:rPr>
          <w:i/>
          <w:iCs/>
        </w:rPr>
        <w:t>Приложение 7, пункты 4.9 и 4.9.1 исключить.</w:t>
      </w:r>
    </w:p>
    <w:p w14:paraId="4A7628CE" w14:textId="77777777" w:rsidR="00214E18" w:rsidRPr="00573C7D" w:rsidRDefault="00214E18" w:rsidP="00214E18">
      <w:pPr>
        <w:pStyle w:val="SingleTxtG"/>
        <w:pageBreakBefore/>
        <w:rPr>
          <w:i/>
        </w:rPr>
      </w:pPr>
      <w:r>
        <w:rPr>
          <w:i/>
          <w:iCs/>
        </w:rPr>
        <w:lastRenderedPageBreak/>
        <w:t>Приложение 7, пункт 5.1.3.3 изменить следующим образом:</w:t>
      </w:r>
    </w:p>
    <w:p w14:paraId="3208374F" w14:textId="77777777" w:rsidR="00214E18" w:rsidRPr="00573C7D" w:rsidRDefault="00214E18" w:rsidP="00214E18">
      <w:pPr>
        <w:pStyle w:val="SingleTxtG"/>
        <w:ind w:left="2259" w:hanging="1125"/>
      </w:pPr>
      <w:r>
        <w:t>«5.1.3.3</w:t>
      </w:r>
      <w:r>
        <w:tab/>
        <w:t>Фильтр подсоединяют к топливному баку, по возможности к внешнему, заполненному эталонным топливом на 40% от его емкости».</w:t>
      </w:r>
    </w:p>
    <w:p w14:paraId="003EAEB0" w14:textId="77777777" w:rsidR="00214E18" w:rsidRPr="00573C7D" w:rsidRDefault="00214E18" w:rsidP="00214E18">
      <w:pPr>
        <w:pStyle w:val="para"/>
        <w:keepNext/>
        <w:spacing w:line="240" w:lineRule="auto"/>
        <w:ind w:left="1134" w:firstLine="0"/>
        <w:rPr>
          <w:lang w:val="ru-RU"/>
        </w:rPr>
      </w:pPr>
      <w:r>
        <w:rPr>
          <w:i/>
          <w:iCs/>
          <w:lang w:val="ru-RU"/>
        </w:rPr>
        <w:t>Приложение 7, пункт 6.1</w:t>
      </w:r>
      <w:r>
        <w:rPr>
          <w:lang w:val="ru-RU"/>
        </w:rPr>
        <w:t xml:space="preserve"> изменить следующим образом:</w:t>
      </w:r>
    </w:p>
    <w:p w14:paraId="7FC0595F" w14:textId="77777777" w:rsidR="00214E18" w:rsidRPr="00573C7D" w:rsidRDefault="00214E18" w:rsidP="00214E18">
      <w:pPr>
        <w:pStyle w:val="para"/>
        <w:spacing w:line="240" w:lineRule="auto"/>
        <w:rPr>
          <w:lang w:val="ru-RU"/>
        </w:rPr>
      </w:pPr>
      <w:r>
        <w:rPr>
          <w:lang w:val="ru-RU"/>
        </w:rPr>
        <w:t xml:space="preserve">«6.1 </w:t>
      </w:r>
      <w:r>
        <w:rPr>
          <w:lang w:val="ru-RU"/>
        </w:rPr>
        <w:tab/>
        <w:t>Расчет результатов испытаний на выбросы в результате испарения</w:t>
      </w:r>
    </w:p>
    <w:p w14:paraId="11317DA3" w14:textId="77777777" w:rsidR="00214E18" w:rsidRPr="002836AE" w:rsidRDefault="00214E18" w:rsidP="00214E18">
      <w:pPr>
        <w:pStyle w:val="para"/>
        <w:spacing w:line="240" w:lineRule="auto"/>
      </w:pPr>
      <w:r>
        <w:rPr>
          <w:lang w:val="ru-RU"/>
        </w:rPr>
        <w:t>6.1.1</w:t>
      </w:r>
      <w:r>
        <w:rPr>
          <w:lang w:val="ru-RU"/>
        </w:rPr>
        <w:tab/>
        <w:t>Испытания на выбросы в результате испарения, описанные в пункте 5 настоящего приложения, позволяют рассчитать объем выбросов углеводородов на дневной стадии и стадии горячего насыщения. Для каждой из этих стадий рассчитывают потери в результате испарения по начальным и конечным значениям концентрации углеводородов, температуры и давления, а также по чистой величине объема камеры. Применяют следующую формулу:</w:t>
      </w:r>
    </w:p>
    <w:p w14:paraId="32AD9C46" w14:textId="77777777" w:rsidR="00214E18" w:rsidRPr="009E1779" w:rsidRDefault="00214E18" w:rsidP="00214E18">
      <w:pPr>
        <w:pStyle w:val="para"/>
        <w:spacing w:line="240" w:lineRule="auto"/>
        <w:ind w:firstLine="0"/>
        <w:rPr>
          <w:lang w:val="ru-RU"/>
        </w:rPr>
      </w:pPr>
      <w:r w:rsidRPr="002836AE">
        <w:tab/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</m:sub>
        </m:sSub>
        <m:r>
          <w:rPr>
            <w:rFonts w:ascii="Cambria Math" w:hAnsi="Cambria Math"/>
          </w:rPr>
          <m:t>=k.V.</m:t>
        </m:r>
        <m:sSup>
          <m:sSupPr>
            <m:ctrlPr>
              <w:rPr>
                <w:rFonts w:ascii="Cambria Math" w:hAnsi="Cambria Math"/>
                <w:i/>
                <w:lang w:val="fr-C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fr-C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fr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HC,f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fr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HC,i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HC,out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HC,i</m:t>
            </m:r>
          </m:sub>
        </m:sSub>
      </m:oMath>
      <w:r w:rsidR="009E1779">
        <w:rPr>
          <w:lang w:val="ru-RU"/>
        </w:rPr>
        <w:t>,</w:t>
      </w:r>
    </w:p>
    <w:p w14:paraId="4950FCE6" w14:textId="77777777" w:rsidR="00214E18" w:rsidRPr="00573C7D" w:rsidRDefault="00214E18" w:rsidP="00214E18">
      <w:pPr>
        <w:pStyle w:val="para"/>
        <w:spacing w:line="240" w:lineRule="auto"/>
        <w:ind w:left="3402"/>
        <w:rPr>
          <w:lang w:val="ru-RU"/>
        </w:rPr>
      </w:pPr>
      <w:r>
        <w:rPr>
          <w:lang w:val="ru-RU"/>
        </w:rPr>
        <w:t>где:</w:t>
      </w:r>
    </w:p>
    <w:p w14:paraId="4302EABB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M</w:t>
      </w:r>
      <w:r>
        <w:rPr>
          <w:vertAlign w:val="subscript"/>
          <w:lang w:val="ru-RU"/>
        </w:rPr>
        <w:t>HC</w:t>
      </w:r>
      <w:r>
        <w:rPr>
          <w:lang w:val="ru-RU"/>
        </w:rPr>
        <w:tab/>
        <w:t>–</w:t>
      </w:r>
      <w:r>
        <w:rPr>
          <w:lang w:val="ru-RU"/>
        </w:rPr>
        <w:tab/>
        <w:t>масса углеводородов в граммах;</w:t>
      </w:r>
    </w:p>
    <w:p w14:paraId="61F3E657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HC,out</w:t>
      </w:r>
      <w:proofErr w:type="gramEnd"/>
      <w:r>
        <w:rPr>
          <w:lang w:val="ru-RU"/>
        </w:rPr>
        <w:tab/>
        <w:t>–</w:t>
      </w:r>
      <w:r>
        <w:rPr>
          <w:lang w:val="ru-RU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14:paraId="64D892B6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HC,i</w:t>
      </w:r>
      <w:proofErr w:type="gramEnd"/>
      <w:r>
        <w:rPr>
          <w:lang w:val="ru-RU"/>
        </w:rPr>
        <w:tab/>
        <w:t>–</w:t>
      </w:r>
      <w:r>
        <w:rPr>
          <w:lang w:val="ru-RU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14:paraId="63813AAA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C</w:t>
      </w:r>
      <w:r>
        <w:rPr>
          <w:vertAlign w:val="subscript"/>
          <w:lang w:val="ru-RU"/>
        </w:rPr>
        <w:t>HC</w:t>
      </w:r>
      <w:r>
        <w:rPr>
          <w:lang w:val="ru-RU"/>
        </w:rPr>
        <w:tab/>
        <w:t>–</w:t>
      </w:r>
      <w:r>
        <w:rPr>
          <w:lang w:val="ru-RU"/>
        </w:rPr>
        <w:tab/>
        <w:t>измеренная концентрация углеводородов в камере</w:t>
      </w:r>
      <w:r w:rsidR="009E1779">
        <w:rPr>
          <w:lang w:val="ru-RU"/>
        </w:rPr>
        <w:br/>
      </w:r>
      <w:r>
        <w:rPr>
          <w:lang w:val="ru-RU"/>
        </w:rPr>
        <w:t>(млн</w:t>
      </w:r>
      <w:r w:rsidRPr="00573C7D">
        <w:rPr>
          <w:vertAlign w:val="superscript"/>
          <w:lang w:val="ru-RU"/>
        </w:rPr>
        <w:t>−1</w:t>
      </w:r>
      <w:r>
        <w:rPr>
          <w:lang w:val="ru-RU"/>
        </w:rPr>
        <w:t xml:space="preserve"> объема в эквиваленте C</w:t>
      </w:r>
      <w:r w:rsidRPr="00573C7D">
        <w:rPr>
          <w:vertAlign w:val="subscript"/>
          <w:lang w:val="ru-RU"/>
        </w:rPr>
        <w:t>1</w:t>
      </w:r>
      <w:r>
        <w:rPr>
          <w:lang w:val="ru-RU"/>
        </w:rPr>
        <w:t>);</w:t>
      </w:r>
    </w:p>
    <w:p w14:paraId="6FB470D5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V</w:t>
      </w:r>
      <w:r>
        <w:rPr>
          <w:lang w:val="ru-RU"/>
        </w:rPr>
        <w:tab/>
        <w:t>–</w:t>
      </w:r>
      <w:r>
        <w:rPr>
          <w:lang w:val="ru-RU"/>
        </w:rP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573C7D">
        <w:rPr>
          <w:vertAlign w:val="superscript"/>
          <w:lang w:val="ru-RU"/>
        </w:rPr>
        <w:t>3</w:t>
      </w:r>
      <w:r>
        <w:rPr>
          <w:lang w:val="ru-RU"/>
        </w:rPr>
        <w:t>;</w:t>
      </w:r>
    </w:p>
    <w:p w14:paraId="78599CDA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T</w:t>
      </w:r>
      <w:r>
        <w:rPr>
          <w:lang w:val="ru-RU"/>
        </w:rPr>
        <w:tab/>
        <w:t>–</w:t>
      </w:r>
      <w:r>
        <w:rPr>
          <w:lang w:val="ru-RU"/>
        </w:rPr>
        <w:tab/>
        <w:t>температура окружающей среды в камере, в K;</w:t>
      </w:r>
    </w:p>
    <w:p w14:paraId="20E3529B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P</w:t>
      </w:r>
      <w:r>
        <w:rPr>
          <w:lang w:val="ru-RU"/>
        </w:rPr>
        <w:tab/>
        <w:t>–</w:t>
      </w:r>
      <w:r>
        <w:rPr>
          <w:lang w:val="ru-RU"/>
        </w:rPr>
        <w:tab/>
        <w:t>барометрическое давление в кПа;</w:t>
      </w:r>
    </w:p>
    <w:p w14:paraId="4BE4BE14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H/C</w:t>
      </w:r>
      <w:r>
        <w:rPr>
          <w:lang w:val="ru-RU"/>
        </w:rPr>
        <w:tab/>
        <w:t>–</w:t>
      </w:r>
      <w:r>
        <w:rPr>
          <w:lang w:val="ru-RU"/>
        </w:rPr>
        <w:tab/>
        <w:t>соотношение водорода и углерода;</w:t>
      </w:r>
    </w:p>
    <w:p w14:paraId="215CE0D5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k</w:t>
      </w:r>
      <w:r>
        <w:rPr>
          <w:lang w:val="ru-RU"/>
        </w:rPr>
        <w:tab/>
        <w:t>–</w:t>
      </w:r>
      <w:r>
        <w:rPr>
          <w:lang w:val="ru-RU"/>
        </w:rPr>
        <w:tab/>
        <w:t>1,2 • (12 + H/C);</w:t>
      </w:r>
    </w:p>
    <w:p w14:paraId="0329FD83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где:</w:t>
      </w:r>
    </w:p>
    <w:p w14:paraId="7CEF2B8E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i</w:t>
      </w:r>
      <w:r>
        <w:rPr>
          <w:lang w:val="ru-RU"/>
        </w:rPr>
        <w:tab/>
        <w:t>–</w:t>
      </w:r>
      <w:r>
        <w:rPr>
          <w:lang w:val="ru-RU"/>
        </w:rPr>
        <w:tab/>
        <w:t>первоначальное значение;</w:t>
      </w:r>
    </w:p>
    <w:p w14:paraId="7E66E3CA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f</w:t>
      </w:r>
      <w:r>
        <w:rPr>
          <w:lang w:val="ru-RU"/>
        </w:rPr>
        <w:tab/>
        <w:t>–</w:t>
      </w:r>
      <w:r>
        <w:rPr>
          <w:lang w:val="ru-RU"/>
        </w:rPr>
        <w:tab/>
        <w:t>конечное значение;</w:t>
      </w:r>
    </w:p>
    <w:p w14:paraId="4C3DC13B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H/C</w:t>
      </w:r>
      <w:r>
        <w:rPr>
          <w:lang w:val="ru-RU"/>
        </w:rPr>
        <w:tab/>
        <w:t>–</w:t>
      </w:r>
      <w:r>
        <w:rPr>
          <w:lang w:val="ru-RU"/>
        </w:rPr>
        <w:tab/>
        <w:t>принимают равным 2,33 для потерь в ходе дневного испытания;</w:t>
      </w:r>
    </w:p>
    <w:p w14:paraId="782AD038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H/C</w:t>
      </w:r>
      <w:r>
        <w:rPr>
          <w:lang w:val="ru-RU"/>
        </w:rPr>
        <w:tab/>
        <w:t>–</w:t>
      </w:r>
      <w:r>
        <w:rPr>
          <w:lang w:val="ru-RU"/>
        </w:rPr>
        <w:tab/>
        <w:t>принимают равным 2,20 для потерь в результате горячего насыщения.</w:t>
      </w:r>
    </w:p>
    <w:p w14:paraId="1D82E1BE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rPr>
          <w:lang w:val="ru-RU"/>
        </w:rPr>
      </w:pPr>
      <w:proofErr w:type="gramStart"/>
      <w:r>
        <w:rPr>
          <w:lang w:val="ru-RU"/>
        </w:rPr>
        <w:t>6.1.2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случае камеры с изменяющимся объемом в качестве альтернативы уравнению, приведенному в пункте 6.1.1 настоящего приложения,</w:t>
      </w:r>
      <w:r w:rsidR="009E1779">
        <w:rPr>
          <w:lang w:val="ru-RU"/>
        </w:rPr>
        <w:br/>
      </w:r>
      <w:r>
        <w:rPr>
          <w:lang w:val="ru-RU"/>
        </w:rPr>
        <w:t>по выбору изготовителя может быть использовано следующее уравнение:</w:t>
      </w:r>
    </w:p>
    <w:p w14:paraId="411AF0FE" w14:textId="77777777" w:rsidR="00214E18" w:rsidRPr="00573C7D" w:rsidRDefault="00214E18" w:rsidP="00214E18">
      <w:pPr>
        <w:pStyle w:val="SingleTxtG"/>
        <w:spacing w:before="120"/>
        <w:ind w:left="2268"/>
      </w:pPr>
      <w:r>
        <w:tab/>
        <w:t>M</w:t>
      </w:r>
      <w:r>
        <w:rPr>
          <w:vertAlign w:val="subscript"/>
        </w:rPr>
        <w:t>HC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="009E1779">
        <w:rPr>
          <w:lang w:eastAsia="ja-JP"/>
        </w:rPr>
        <w:t>,</w:t>
      </w:r>
    </w:p>
    <w:p w14:paraId="419C183D" w14:textId="77777777" w:rsidR="00214E18" w:rsidRPr="00573C7D" w:rsidRDefault="00214E18" w:rsidP="00214E18">
      <w:pPr>
        <w:spacing w:before="120" w:after="120"/>
        <w:ind w:left="2268" w:right="1134"/>
        <w:jc w:val="both"/>
      </w:pPr>
      <w:r>
        <w:t>где:</w:t>
      </w:r>
    </w:p>
    <w:p w14:paraId="1C5ABF71" w14:textId="77777777" w:rsidR="00214E18" w:rsidRPr="00573C7D" w:rsidRDefault="00214E18" w:rsidP="00214E18">
      <w:pPr>
        <w:tabs>
          <w:tab w:val="left" w:pos="3119"/>
        </w:tabs>
        <w:spacing w:before="120" w:after="120"/>
        <w:ind w:left="3402" w:right="1134" w:hanging="1134"/>
      </w:pPr>
      <w:r>
        <w:t>M</w:t>
      </w:r>
      <w:r>
        <w:rPr>
          <w:vertAlign w:val="subscript"/>
        </w:rPr>
        <w:t>HC</w:t>
      </w:r>
      <w:r>
        <w:t xml:space="preserve"> </w:t>
      </w:r>
      <w:r>
        <w:tab/>
        <w:t>–</w:t>
      </w:r>
      <w:r>
        <w:tab/>
        <w:t>масса углеводородов в граммах;</w:t>
      </w:r>
    </w:p>
    <w:p w14:paraId="606F1F60" w14:textId="77777777" w:rsidR="00214E18" w:rsidRPr="00573C7D" w:rsidRDefault="00214E18" w:rsidP="00EA44A7">
      <w:pPr>
        <w:tabs>
          <w:tab w:val="left" w:pos="3119"/>
        </w:tabs>
        <w:spacing w:before="120" w:after="120"/>
        <w:ind w:left="3402" w:right="1134" w:hanging="1134"/>
        <w:jc w:val="both"/>
      </w:pPr>
      <w:r>
        <w:t>C</w:t>
      </w:r>
      <w:r>
        <w:rPr>
          <w:vertAlign w:val="subscript"/>
        </w:rPr>
        <w:t>HC</w:t>
      </w:r>
      <w:r>
        <w:t xml:space="preserve"> </w:t>
      </w:r>
      <w:r>
        <w:tab/>
        <w:t>–</w:t>
      </w:r>
      <w:r>
        <w:tab/>
        <w:t>измеренная концентрация углеводородов в камере</w:t>
      </w:r>
      <w:r w:rsidR="009E1779">
        <w:br/>
      </w:r>
      <w:r>
        <w:t>(млн</w:t>
      </w:r>
      <w:r w:rsidRPr="00573C7D">
        <w:rPr>
          <w:vertAlign w:val="superscript"/>
        </w:rPr>
        <w:t>−1</w:t>
      </w:r>
      <w:r>
        <w:t xml:space="preserve"> объема в эквиваленте C</w:t>
      </w:r>
      <w:r w:rsidRPr="00573C7D">
        <w:rPr>
          <w:vertAlign w:val="subscript"/>
        </w:rPr>
        <w:t>1</w:t>
      </w:r>
      <w:r>
        <w:t>);</w:t>
      </w:r>
    </w:p>
    <w:p w14:paraId="22139119" w14:textId="77777777" w:rsidR="00214E18" w:rsidRPr="00573C7D" w:rsidRDefault="00214E18" w:rsidP="009E1779">
      <w:pPr>
        <w:tabs>
          <w:tab w:val="left" w:pos="3119"/>
        </w:tabs>
        <w:spacing w:before="120" w:after="120"/>
        <w:ind w:left="3402" w:right="1134" w:hanging="1134"/>
        <w:jc w:val="both"/>
      </w:pPr>
      <w:r>
        <w:lastRenderedPageBreak/>
        <w:t>V</w:t>
      </w:r>
      <w:r>
        <w:tab/>
        <w:t>–</w:t>
      </w:r>
      <w: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573C7D">
        <w:rPr>
          <w:vertAlign w:val="superscript"/>
        </w:rPr>
        <w:t>3</w:t>
      </w:r>
      <w:r>
        <w:t>;</w:t>
      </w:r>
    </w:p>
    <w:p w14:paraId="63B24326" w14:textId="77777777" w:rsidR="00214E18" w:rsidRPr="00573C7D" w:rsidRDefault="00214E18" w:rsidP="009E1779">
      <w:pPr>
        <w:tabs>
          <w:tab w:val="left" w:pos="3119"/>
        </w:tabs>
        <w:spacing w:before="120" w:after="120"/>
        <w:ind w:left="3402" w:right="1134" w:hanging="1134"/>
        <w:jc w:val="both"/>
      </w:pPr>
      <w:r>
        <w:t>T</w:t>
      </w:r>
      <w:r w:rsidRPr="009E1779">
        <w:rPr>
          <w:vertAlign w:val="subscript"/>
        </w:rPr>
        <w:t>i</w:t>
      </w:r>
      <w:r>
        <w:tab/>
        <w:t>–</w:t>
      </w:r>
      <w:r>
        <w:tab/>
        <w:t>исходная температура окружающей среды в камере, в K;</w:t>
      </w:r>
    </w:p>
    <w:p w14:paraId="48C6E531" w14:textId="77777777" w:rsidR="00214E18" w:rsidRPr="00573C7D" w:rsidRDefault="00214E18" w:rsidP="009E1779">
      <w:pPr>
        <w:tabs>
          <w:tab w:val="left" w:pos="3119"/>
        </w:tabs>
        <w:spacing w:before="120" w:after="120"/>
        <w:ind w:left="3402" w:right="1134" w:hanging="1134"/>
        <w:jc w:val="both"/>
      </w:pPr>
      <w:r>
        <w:t>P</w:t>
      </w:r>
      <w:r w:rsidRPr="009E1779">
        <w:rPr>
          <w:vertAlign w:val="subscript"/>
        </w:rPr>
        <w:t>i</w:t>
      </w:r>
      <w:r>
        <w:tab/>
        <w:t>–</w:t>
      </w:r>
      <w:r>
        <w:tab/>
        <w:t>исходное барометрическое давление в кПа;</w:t>
      </w:r>
    </w:p>
    <w:p w14:paraId="11536138" w14:textId="77777777" w:rsidR="00214E18" w:rsidRPr="00573C7D" w:rsidRDefault="00214E18" w:rsidP="009E1779">
      <w:pPr>
        <w:tabs>
          <w:tab w:val="left" w:pos="3119"/>
        </w:tabs>
        <w:spacing w:before="120" w:after="120"/>
        <w:ind w:left="3402" w:right="1134" w:hanging="1134"/>
        <w:jc w:val="both"/>
      </w:pPr>
      <w:r>
        <w:t>H/C</w:t>
      </w:r>
      <w:r>
        <w:tab/>
        <w:t>–</w:t>
      </w:r>
      <w:r>
        <w:tab/>
        <w:t>соотношение водорода и углерода;</w:t>
      </w:r>
    </w:p>
    <w:p w14:paraId="46C561B5" w14:textId="77777777" w:rsidR="00214E18" w:rsidRPr="00573C7D" w:rsidRDefault="00214E18" w:rsidP="009E1779">
      <w:pPr>
        <w:tabs>
          <w:tab w:val="left" w:pos="3119"/>
        </w:tabs>
        <w:spacing w:before="120" w:after="120"/>
        <w:ind w:left="3402" w:right="1134" w:hanging="1134"/>
        <w:jc w:val="both"/>
      </w:pPr>
      <w:r>
        <w:t>H/C</w:t>
      </w:r>
      <w:r>
        <w:tab/>
        <w:t>–</w:t>
      </w:r>
      <w:r>
        <w:tab/>
        <w:t xml:space="preserve">принимают равным 2,33 для потерь в ходе дневного испытания; </w:t>
      </w:r>
    </w:p>
    <w:p w14:paraId="1D4237B8" w14:textId="77777777" w:rsidR="00214E18" w:rsidRPr="00573C7D" w:rsidRDefault="00214E18" w:rsidP="009E1779">
      <w:pPr>
        <w:tabs>
          <w:tab w:val="left" w:pos="3119"/>
        </w:tabs>
        <w:spacing w:before="120" w:after="120"/>
        <w:ind w:left="3402" w:right="1134" w:hanging="1134"/>
        <w:jc w:val="both"/>
      </w:pPr>
      <w:r>
        <w:t>H/C</w:t>
      </w:r>
      <w:r>
        <w:tab/>
        <w:t>–</w:t>
      </w:r>
      <w:r>
        <w:tab/>
        <w:t>принимают равным 2,20 для потерь в результате горячего насыщения;</w:t>
      </w:r>
    </w:p>
    <w:p w14:paraId="106054F4" w14:textId="01B52AA4" w:rsidR="00214E18" w:rsidRPr="00573C7D" w:rsidRDefault="00214E18" w:rsidP="009E1779">
      <w:pPr>
        <w:keepNext/>
        <w:keepLines/>
        <w:tabs>
          <w:tab w:val="left" w:pos="3119"/>
        </w:tabs>
        <w:spacing w:after="120" w:line="240" w:lineRule="auto"/>
        <w:ind w:left="3402" w:right="1134" w:hanging="1134"/>
        <w:jc w:val="both"/>
      </w:pPr>
      <w:r>
        <w:t>k</w:t>
      </w:r>
      <w:r>
        <w:tab/>
        <w:t>–</w:t>
      </w:r>
      <w:r>
        <w:tab/>
        <w:t>равняется 1,2 × 10</w:t>
      </w:r>
      <w:r w:rsidR="000F711E">
        <w:rPr>
          <w:vertAlign w:val="superscript"/>
        </w:rPr>
        <w:t>–</w:t>
      </w:r>
      <w:r w:rsidRPr="00FE74EF">
        <w:rPr>
          <w:vertAlign w:val="superscript"/>
        </w:rPr>
        <w:t>4</w:t>
      </w:r>
      <w:r>
        <w:t xml:space="preserve"> × (12 + H/C), в (г × K</w:t>
      </w:r>
      <w:proofErr w:type="gramStart"/>
      <w:r>
        <w:t>/(</w:t>
      </w:r>
      <w:proofErr w:type="gramEnd"/>
      <w:r>
        <w:t>м³ × кПа))».</w:t>
      </w:r>
    </w:p>
    <w:p w14:paraId="5AA7D694" w14:textId="77777777" w:rsidR="00214E18" w:rsidRPr="00573C7D" w:rsidRDefault="00214E18" w:rsidP="00214E18">
      <w:pPr>
        <w:pStyle w:val="para"/>
        <w:spacing w:line="240" w:lineRule="auto"/>
        <w:ind w:left="1134" w:firstLine="0"/>
        <w:jc w:val="left"/>
        <w:rPr>
          <w:lang w:val="ru-RU"/>
        </w:rPr>
      </w:pPr>
      <w:r w:rsidRPr="00FE74EF">
        <w:rPr>
          <w:i/>
          <w:iCs/>
          <w:lang w:val="ru-RU"/>
        </w:rPr>
        <w:t>Приложение 7, добавление 1, пункт 2.4</w:t>
      </w:r>
      <w:r>
        <w:rPr>
          <w:lang w:val="ru-RU"/>
        </w:rPr>
        <w:t xml:space="preserve"> изменить следующим образом:</w:t>
      </w:r>
    </w:p>
    <w:p w14:paraId="73DFBF9C" w14:textId="77777777" w:rsidR="00214E18" w:rsidRPr="00573C7D" w:rsidRDefault="00214E18" w:rsidP="00214E18">
      <w:pPr>
        <w:pStyle w:val="para"/>
        <w:spacing w:line="240" w:lineRule="auto"/>
        <w:rPr>
          <w:lang w:val="ru-RU"/>
        </w:rPr>
      </w:pPr>
      <w:r>
        <w:rPr>
          <w:lang w:val="ru-RU"/>
        </w:rPr>
        <w:t>«2.4</w:t>
      </w:r>
      <w:r>
        <w:rPr>
          <w:lang w:val="ru-RU"/>
        </w:rPr>
        <w:tab/>
        <w:t>Расчет результатов испытаний на выбросы в результате испарения</w:t>
      </w:r>
    </w:p>
    <w:p w14:paraId="69C6A753" w14:textId="77777777" w:rsidR="00214E18" w:rsidRPr="00573C7D" w:rsidRDefault="00214E18" w:rsidP="00214E18">
      <w:pPr>
        <w:pStyle w:val="para"/>
        <w:spacing w:line="240" w:lineRule="auto"/>
        <w:rPr>
          <w:lang w:val="ru-RU"/>
        </w:rPr>
      </w:pPr>
      <w:r>
        <w:rPr>
          <w:lang w:val="ru-RU"/>
        </w:rPr>
        <w:t>2.4.1</w:t>
      </w:r>
      <w:r>
        <w:rPr>
          <w:lang w:val="ru-RU"/>
        </w:rPr>
        <w:tab/>
        <w:t>Расчет чистой массы углеводородов в камере производят для определения остаточного содержания углеводородов и интенсивности их утечки. Начальное и конечное значения концентрации углеводородов, температуры и барометрического давления используют в приведенной ниже формуле для расчета изменения массы.</w:t>
      </w:r>
    </w:p>
    <w:p w14:paraId="050E0B79" w14:textId="77777777" w:rsidR="00214E18" w:rsidRPr="00214E18" w:rsidRDefault="00214E18" w:rsidP="00214E18">
      <w:pPr>
        <w:pStyle w:val="para"/>
        <w:spacing w:line="240" w:lineRule="auto"/>
        <w:ind w:firstLine="0"/>
        <w:rPr>
          <w:lang w:val="ru-RU"/>
        </w:rPr>
      </w:pPr>
      <w:r w:rsidRPr="00573C7D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</m:sub>
        </m:sSub>
        <m:r>
          <w:rPr>
            <w:rFonts w:ascii="Cambria Math" w:hAnsi="Cambria Math"/>
          </w:rPr>
          <m:t>=k.V.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HC,f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HC,i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HC,out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HC,i</m:t>
            </m:r>
          </m:sub>
        </m:sSub>
      </m:oMath>
      <w:r>
        <w:rPr>
          <w:lang w:val="ru-RU"/>
        </w:rPr>
        <w:t>,</w:t>
      </w:r>
    </w:p>
    <w:p w14:paraId="06DADF27" w14:textId="77777777" w:rsidR="00214E18" w:rsidRPr="00573C7D" w:rsidRDefault="00214E18" w:rsidP="00214E18">
      <w:pPr>
        <w:pStyle w:val="para"/>
        <w:spacing w:line="240" w:lineRule="auto"/>
        <w:ind w:firstLine="0"/>
        <w:rPr>
          <w:lang w:val="ru-RU"/>
        </w:rPr>
      </w:pPr>
      <w:r>
        <w:rPr>
          <w:lang w:val="ru-RU"/>
        </w:rPr>
        <w:tab/>
        <w:t>где:</w:t>
      </w:r>
    </w:p>
    <w:p w14:paraId="15AF8581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M</w:t>
      </w:r>
      <w:r>
        <w:rPr>
          <w:vertAlign w:val="subscript"/>
          <w:lang w:val="ru-RU"/>
        </w:rPr>
        <w:t>HC</w:t>
      </w:r>
      <w:r>
        <w:rPr>
          <w:lang w:val="ru-RU"/>
        </w:rPr>
        <w:tab/>
        <w:t>–</w:t>
      </w:r>
      <w:r>
        <w:rPr>
          <w:lang w:val="ru-RU"/>
        </w:rPr>
        <w:tab/>
        <w:t>масса углеводородов в граммах;</w:t>
      </w:r>
    </w:p>
    <w:p w14:paraId="09A17165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HC,out</w:t>
      </w:r>
      <w:proofErr w:type="gramEnd"/>
      <w:r>
        <w:rPr>
          <w:lang w:val="ru-RU"/>
        </w:rPr>
        <w:tab/>
        <w:t>–</w:t>
      </w:r>
      <w:r>
        <w:rPr>
          <w:lang w:val="ru-RU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14:paraId="1187E6C4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HC,i</w:t>
      </w:r>
      <w:proofErr w:type="gramEnd"/>
      <w:r>
        <w:rPr>
          <w:lang w:val="ru-RU"/>
        </w:rPr>
        <w:tab/>
        <w:t>–</w:t>
      </w:r>
      <w:r>
        <w:rPr>
          <w:lang w:val="ru-RU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14:paraId="25ACB416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C</w:t>
      </w:r>
      <w:r>
        <w:rPr>
          <w:vertAlign w:val="subscript"/>
          <w:lang w:val="ru-RU"/>
        </w:rPr>
        <w:t>HC</w:t>
      </w:r>
      <w:r>
        <w:rPr>
          <w:lang w:val="ru-RU"/>
        </w:rPr>
        <w:tab/>
        <w:t>–</w:t>
      </w:r>
      <w:r>
        <w:rPr>
          <w:lang w:val="ru-RU"/>
        </w:rPr>
        <w:tab/>
        <w:t>концентрация углеводородов в камере (млн</w:t>
      </w:r>
      <w:r w:rsidRPr="00FE74EF">
        <w:rPr>
          <w:vertAlign w:val="superscript"/>
          <w:lang w:val="ru-RU"/>
        </w:rPr>
        <w:t>−1</w:t>
      </w:r>
      <w:r>
        <w:rPr>
          <w:lang w:val="ru-RU"/>
        </w:rPr>
        <w:t xml:space="preserve"> углерода) (Примечание: млн</w:t>
      </w:r>
      <w:r w:rsidRPr="00FE74EF">
        <w:rPr>
          <w:vertAlign w:val="superscript"/>
          <w:lang w:val="ru-RU"/>
        </w:rPr>
        <w:t>−1</w:t>
      </w:r>
      <w:r>
        <w:rPr>
          <w:lang w:val="ru-RU"/>
        </w:rPr>
        <w:t xml:space="preserve"> углерода = млн</w:t>
      </w:r>
      <w:r w:rsidRPr="00FE74EF">
        <w:rPr>
          <w:vertAlign w:val="superscript"/>
          <w:lang w:val="ru-RU"/>
        </w:rPr>
        <w:t>−1</w:t>
      </w:r>
      <w:r>
        <w:rPr>
          <w:lang w:val="ru-RU"/>
        </w:rPr>
        <w:t xml:space="preserve"> пропана х 3);</w:t>
      </w:r>
    </w:p>
    <w:p w14:paraId="6D858363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V</w:t>
      </w:r>
      <w:r>
        <w:rPr>
          <w:lang w:val="ru-RU"/>
        </w:rPr>
        <w:tab/>
        <w:t>–</w:t>
      </w:r>
      <w:r>
        <w:rPr>
          <w:lang w:val="ru-RU"/>
        </w:rPr>
        <w:tab/>
        <w:t>объем камеры в кубических метрах;</w:t>
      </w:r>
    </w:p>
    <w:p w14:paraId="360E4D2C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T</w:t>
      </w:r>
      <w:r>
        <w:rPr>
          <w:lang w:val="ru-RU"/>
        </w:rPr>
        <w:tab/>
        <w:t>–</w:t>
      </w:r>
      <w:r>
        <w:rPr>
          <w:lang w:val="ru-RU"/>
        </w:rPr>
        <w:tab/>
        <w:t>температура окружающей среды в камере (К);</w:t>
      </w:r>
    </w:p>
    <w:p w14:paraId="5DB37383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P</w:t>
      </w:r>
      <w:r>
        <w:rPr>
          <w:lang w:val="ru-RU"/>
        </w:rPr>
        <w:tab/>
        <w:t>–</w:t>
      </w:r>
      <w:r>
        <w:rPr>
          <w:lang w:val="ru-RU"/>
        </w:rPr>
        <w:tab/>
        <w:t>барометрическое давление (кПа);</w:t>
      </w:r>
    </w:p>
    <w:p w14:paraId="48636352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k</w:t>
      </w:r>
      <w:r>
        <w:rPr>
          <w:lang w:val="ru-RU"/>
        </w:rPr>
        <w:tab/>
        <w:t>–</w:t>
      </w:r>
      <w:r>
        <w:rPr>
          <w:lang w:val="ru-RU"/>
        </w:rPr>
        <w:tab/>
        <w:t>17,6;</w:t>
      </w:r>
    </w:p>
    <w:p w14:paraId="27E62EDC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где:</w:t>
      </w:r>
    </w:p>
    <w:p w14:paraId="44A0813E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i</w:t>
      </w:r>
      <w:r>
        <w:rPr>
          <w:lang w:val="ru-RU"/>
        </w:rPr>
        <w:tab/>
        <w:t>–</w:t>
      </w:r>
      <w:r>
        <w:rPr>
          <w:lang w:val="ru-RU"/>
        </w:rPr>
        <w:tab/>
        <w:t>первоначальное значение;</w:t>
      </w:r>
    </w:p>
    <w:p w14:paraId="5C8B00C3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f</w:t>
      </w:r>
      <w:r>
        <w:rPr>
          <w:lang w:val="ru-RU"/>
        </w:rPr>
        <w:tab/>
        <w:t>–</w:t>
      </w:r>
      <w:r>
        <w:rPr>
          <w:lang w:val="ru-RU"/>
        </w:rPr>
        <w:tab/>
        <w:t>конечное значение.</w:t>
      </w:r>
    </w:p>
    <w:p w14:paraId="5BA91F7E" w14:textId="77777777" w:rsidR="00214E18" w:rsidRPr="00573C7D" w:rsidRDefault="00214E18" w:rsidP="00214E18">
      <w:pPr>
        <w:pStyle w:val="para"/>
        <w:tabs>
          <w:tab w:val="left" w:pos="3119"/>
        </w:tabs>
        <w:spacing w:line="240" w:lineRule="auto"/>
        <w:rPr>
          <w:lang w:val="ru-RU"/>
        </w:rPr>
      </w:pPr>
      <w:proofErr w:type="gramStart"/>
      <w:r>
        <w:rPr>
          <w:lang w:val="ru-RU"/>
        </w:rPr>
        <w:t>2.4.2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случае камеры с изменяющимся объемом в качестве альтернативы уравнению, приведенному в пункте 2.4.1 настоящего приложения,</w:t>
      </w:r>
      <w:r w:rsidR="009E1779">
        <w:rPr>
          <w:lang w:val="ru-RU"/>
        </w:rPr>
        <w:br/>
      </w:r>
      <w:r>
        <w:rPr>
          <w:lang w:val="ru-RU"/>
        </w:rPr>
        <w:t>по выбору изготовителя может быть использовано следующее уравнение:</w:t>
      </w:r>
    </w:p>
    <w:p w14:paraId="0229F8C6" w14:textId="77777777" w:rsidR="00214E18" w:rsidRPr="00573C7D" w:rsidRDefault="00214E18" w:rsidP="00214E18">
      <w:pPr>
        <w:pStyle w:val="SingleTxtG"/>
        <w:spacing w:before="120"/>
        <w:ind w:left="2268"/>
      </w:pPr>
      <w:r>
        <w:tab/>
        <w:t>M</w:t>
      </w:r>
      <w:r>
        <w:rPr>
          <w:vertAlign w:val="subscript"/>
        </w:rPr>
        <w:t>HC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>
        <w:rPr>
          <w:lang w:eastAsia="ja-JP"/>
        </w:rPr>
        <w:t>,</w:t>
      </w:r>
    </w:p>
    <w:p w14:paraId="1F3968CC" w14:textId="77777777" w:rsidR="00214E18" w:rsidRPr="00573C7D" w:rsidRDefault="00214E18" w:rsidP="00214E18">
      <w:pPr>
        <w:spacing w:before="120" w:after="120"/>
        <w:ind w:left="2268" w:right="1134"/>
        <w:jc w:val="both"/>
      </w:pPr>
      <w:r>
        <w:t>где:</w:t>
      </w:r>
    </w:p>
    <w:p w14:paraId="78761BAC" w14:textId="77777777" w:rsidR="00214E18" w:rsidRPr="00573C7D" w:rsidRDefault="00214E18" w:rsidP="00214E18">
      <w:pPr>
        <w:tabs>
          <w:tab w:val="left" w:pos="3119"/>
        </w:tabs>
        <w:spacing w:before="120" w:after="120"/>
        <w:ind w:left="3402" w:right="1134" w:hanging="1134"/>
      </w:pPr>
      <w:r>
        <w:t>M</w:t>
      </w:r>
      <w:r>
        <w:rPr>
          <w:vertAlign w:val="subscript"/>
        </w:rPr>
        <w:t>HC</w:t>
      </w:r>
      <w:r>
        <w:tab/>
        <w:t>–</w:t>
      </w:r>
      <w:r>
        <w:tab/>
        <w:t>масса углеводородов в граммах;</w:t>
      </w:r>
    </w:p>
    <w:p w14:paraId="661083DA" w14:textId="77777777" w:rsidR="00214E18" w:rsidRPr="00573C7D" w:rsidRDefault="00214E18" w:rsidP="00214E18">
      <w:pPr>
        <w:tabs>
          <w:tab w:val="left" w:pos="3119"/>
        </w:tabs>
        <w:spacing w:before="120" w:after="120"/>
        <w:ind w:left="3402" w:right="1134" w:hanging="1134"/>
      </w:pPr>
      <w:r>
        <w:lastRenderedPageBreak/>
        <w:t>C</w:t>
      </w:r>
      <w:r>
        <w:rPr>
          <w:vertAlign w:val="subscript"/>
        </w:rPr>
        <w:t>HC</w:t>
      </w:r>
      <w:r>
        <w:tab/>
        <w:t>–</w:t>
      </w:r>
      <w:r>
        <w:tab/>
        <w:t>измеренная концентрация углеводородов в камере (млн</w:t>
      </w:r>
      <w:r w:rsidRPr="006C4358">
        <w:rPr>
          <w:vertAlign w:val="superscript"/>
        </w:rPr>
        <w:t>−1</w:t>
      </w:r>
      <w:r>
        <w:t xml:space="preserve"> объема в эквиваленте C</w:t>
      </w:r>
      <w:r w:rsidRPr="006C4358">
        <w:rPr>
          <w:vertAlign w:val="subscript"/>
        </w:rPr>
        <w:t>1</w:t>
      </w:r>
      <w:r>
        <w:t>);</w:t>
      </w:r>
    </w:p>
    <w:p w14:paraId="229F3177" w14:textId="77777777" w:rsidR="00214E18" w:rsidRPr="00573C7D" w:rsidRDefault="00214E18" w:rsidP="00214E18">
      <w:pPr>
        <w:tabs>
          <w:tab w:val="left" w:pos="3119"/>
        </w:tabs>
        <w:spacing w:before="120" w:after="120"/>
        <w:ind w:left="3402" w:right="1134" w:hanging="1134"/>
      </w:pPr>
      <w:r>
        <w:t>V</w:t>
      </w:r>
      <w:r>
        <w:tab/>
        <w:t>–</w:t>
      </w:r>
      <w:r>
        <w:tab/>
        <w:t>объем камеры в кубических метрах;</w:t>
      </w:r>
    </w:p>
    <w:p w14:paraId="503971F4" w14:textId="77777777" w:rsidR="00214E18" w:rsidRPr="00573C7D" w:rsidRDefault="00214E18" w:rsidP="00214E18">
      <w:pPr>
        <w:tabs>
          <w:tab w:val="left" w:pos="3119"/>
        </w:tabs>
        <w:spacing w:before="120" w:after="120"/>
        <w:ind w:left="3402" w:right="1134" w:hanging="1134"/>
      </w:pPr>
      <w:r>
        <w:t>T</w:t>
      </w:r>
      <w:r w:rsidRPr="006C4358">
        <w:rPr>
          <w:vertAlign w:val="subscript"/>
        </w:rPr>
        <w:t>i</w:t>
      </w:r>
      <w:r>
        <w:tab/>
        <w:t>–</w:t>
      </w:r>
      <w:r>
        <w:tab/>
        <w:t>исходная температура окружающей среды в камере, в K;</w:t>
      </w:r>
    </w:p>
    <w:p w14:paraId="46D581AB" w14:textId="77777777" w:rsidR="00214E18" w:rsidRPr="00573C7D" w:rsidRDefault="00214E18" w:rsidP="00214E18">
      <w:pPr>
        <w:tabs>
          <w:tab w:val="left" w:pos="3119"/>
        </w:tabs>
        <w:spacing w:before="120" w:after="120"/>
        <w:ind w:left="3402" w:right="1134" w:hanging="1134"/>
      </w:pPr>
      <w:r>
        <w:t>P</w:t>
      </w:r>
      <w:r w:rsidRPr="006C4358">
        <w:rPr>
          <w:vertAlign w:val="subscript"/>
        </w:rPr>
        <w:t>i</w:t>
      </w:r>
      <w:r>
        <w:tab/>
        <w:t>–</w:t>
      </w:r>
      <w:r>
        <w:tab/>
        <w:t>исходное барометрическое давление в кПа;</w:t>
      </w:r>
    </w:p>
    <w:p w14:paraId="07DC69C5" w14:textId="77777777" w:rsidR="00214E18" w:rsidRPr="00573C7D" w:rsidRDefault="00214E18" w:rsidP="00214E18">
      <w:pPr>
        <w:keepNext/>
        <w:keepLines/>
        <w:tabs>
          <w:tab w:val="left" w:pos="3119"/>
        </w:tabs>
        <w:spacing w:after="120" w:line="240" w:lineRule="auto"/>
        <w:ind w:left="3402" w:right="1134" w:hanging="1134"/>
      </w:pPr>
      <w:r>
        <w:t>k</w:t>
      </w:r>
      <w:r>
        <w:tab/>
        <w:t>–</w:t>
      </w:r>
      <w:r>
        <w:tab/>
        <w:t>17,6».</w:t>
      </w:r>
    </w:p>
    <w:p w14:paraId="2DD26C94" w14:textId="77777777" w:rsidR="00214E18" w:rsidRPr="00573C7D" w:rsidRDefault="00214E18" w:rsidP="00214E18">
      <w:pPr>
        <w:pStyle w:val="SingleTxtG"/>
      </w:pPr>
      <w:r>
        <w:rPr>
          <w:i/>
          <w:iCs/>
        </w:rPr>
        <w:t>Приложение 11, пункт 2.2 изменить следующим образом:</w:t>
      </w:r>
      <w:r>
        <w:tab/>
      </w:r>
    </w:p>
    <w:p w14:paraId="7C9C4493" w14:textId="77777777" w:rsidR="00214E18" w:rsidRPr="00573C7D" w:rsidRDefault="00214E18" w:rsidP="00214E18">
      <w:pPr>
        <w:pStyle w:val="SingleTxtG"/>
        <w:ind w:left="2268" w:hanging="1122"/>
      </w:pPr>
      <w:r>
        <w:t>«2.2</w:t>
      </w:r>
      <w:r>
        <w:tab/>
      </w:r>
      <w:r>
        <w:tab/>
      </w:r>
      <w:r w:rsidR="00EA44A7">
        <w:t>"</w:t>
      </w:r>
      <w:r>
        <w:t>тип транспортного средства</w:t>
      </w:r>
      <w:r w:rsidR="00EA44A7">
        <w:t>"</w:t>
      </w:r>
      <w:r>
        <w:t xml:space="preserve"> означает категорию механических транспортных средств, не имеющих между собой существенных различий в отношении характеристик двигателя и БД-системы;»</w:t>
      </w:r>
      <w:r>
        <w:br/>
        <w:t>(К тексту на русском языке не относится.)</w:t>
      </w:r>
    </w:p>
    <w:p w14:paraId="11FFC14D" w14:textId="77777777" w:rsidR="00214E18" w:rsidRPr="00573C7D" w:rsidRDefault="00214E18" w:rsidP="00214E18">
      <w:pPr>
        <w:pStyle w:val="SingleTxtG"/>
        <w:rPr>
          <w:i/>
        </w:rPr>
      </w:pPr>
      <w:r w:rsidRPr="00BB3007">
        <w:rPr>
          <w:i/>
          <w:iCs/>
        </w:rPr>
        <w:t>Приложение 11, добавление 1, пункт 6.5.3.5</w:t>
      </w:r>
      <w:r>
        <w:t xml:space="preserve"> изменить следующим образом:</w:t>
      </w:r>
    </w:p>
    <w:p w14:paraId="1BA7713B" w14:textId="77777777" w:rsidR="00214E18" w:rsidRDefault="00214E18" w:rsidP="00214E18">
      <w:pPr>
        <w:pStyle w:val="SingleTxtG"/>
        <w:spacing w:line="240" w:lineRule="auto"/>
        <w:ind w:left="2268" w:hanging="1134"/>
      </w:pPr>
      <w:r>
        <w:t xml:space="preserve">«6.5.3.5 </w:t>
      </w:r>
      <w:r>
        <w:tab/>
        <w:t xml:space="preserve">Интерфейс связи между транспортным средством и диагностическим тестером должен быть стандартизирован и должен отвечать всем требованиям стандарта ISO DIS 15031-3 </w:t>
      </w:r>
      <w:r w:rsidR="00EA44A7">
        <w:t>"</w:t>
      </w:r>
      <w:r>
        <w:t>Дорожные транспортные средства − Связь между транспортным средством и внешним испытательным оборудованием для связанной с выбросами диагностики − Часть 3: Диагностический разъем и смежные электрические цепи: спецификации и использование</w:t>
      </w:r>
      <w:r w:rsidR="00EA44A7">
        <w:t>"</w:t>
      </w:r>
      <w:r>
        <w:t xml:space="preserve"> от 1 ноября</w:t>
      </w:r>
      <w:r>
        <w:br/>
        <w:t xml:space="preserve">2001 года. Место установки должно определяться по договоренности с органом по официальному утверждению типа таким образом, чтобы к нему обеспечивался незатруднительный доступ для обслуживающего </w:t>
      </w:r>
      <w:proofErr w:type="gramStart"/>
      <w:r>
        <w:t>персонала</w:t>
      </w:r>
      <w:proofErr w:type="gramEnd"/>
      <w:r>
        <w:t xml:space="preserve"> и чтобы при этом оно было защищено от доступа со стороны неквалифицированного персонала».</w:t>
      </w:r>
    </w:p>
    <w:p w14:paraId="01AF9823" w14:textId="77777777" w:rsidR="00214E18" w:rsidRPr="00214E18" w:rsidRDefault="00214E18" w:rsidP="00214E18">
      <w:pPr>
        <w:pStyle w:val="SingleTxtG"/>
        <w:spacing w:before="240" w:after="0" w:line="240" w:lineRule="auto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4E18" w:rsidRPr="00214E18" w:rsidSect="00214E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2E30" w14:textId="77777777" w:rsidR="00BD5A9F" w:rsidRPr="00A312BC" w:rsidRDefault="00BD5A9F" w:rsidP="00A312BC"/>
  </w:endnote>
  <w:endnote w:type="continuationSeparator" w:id="0">
    <w:p w14:paraId="09C62791" w14:textId="77777777" w:rsidR="00BD5A9F" w:rsidRPr="00A312BC" w:rsidRDefault="00BD5A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79D4" w14:textId="77777777" w:rsidR="00214E18" w:rsidRPr="00214E18" w:rsidRDefault="00214E18">
    <w:pPr>
      <w:pStyle w:val="Footer"/>
    </w:pPr>
    <w:r w:rsidRPr="00214E18">
      <w:rPr>
        <w:b/>
        <w:sz w:val="18"/>
      </w:rPr>
      <w:fldChar w:fldCharType="begin"/>
    </w:r>
    <w:r w:rsidRPr="00214E18">
      <w:rPr>
        <w:b/>
        <w:sz w:val="18"/>
      </w:rPr>
      <w:instrText xml:space="preserve"> PAGE  \* MERGEFORMAT </w:instrText>
    </w:r>
    <w:r w:rsidRPr="00214E18">
      <w:rPr>
        <w:b/>
        <w:sz w:val="18"/>
      </w:rPr>
      <w:fldChar w:fldCharType="separate"/>
    </w:r>
    <w:r w:rsidRPr="00214E18">
      <w:rPr>
        <w:b/>
        <w:noProof/>
        <w:sz w:val="18"/>
      </w:rPr>
      <w:t>2</w:t>
    </w:r>
    <w:r w:rsidRPr="00214E18">
      <w:rPr>
        <w:b/>
        <w:sz w:val="18"/>
      </w:rPr>
      <w:fldChar w:fldCharType="end"/>
    </w:r>
    <w:r>
      <w:rPr>
        <w:b/>
        <w:sz w:val="18"/>
      </w:rPr>
      <w:tab/>
    </w:r>
    <w:r>
      <w:t>GE.19-06213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4B87" w14:textId="77777777" w:rsidR="00214E18" w:rsidRPr="00214E18" w:rsidRDefault="00214E18" w:rsidP="00214E1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GE.19-06213</w:t>
    </w:r>
    <w:r>
      <w:tab/>
    </w:r>
    <w:r w:rsidRPr="00214E18">
      <w:rPr>
        <w:b/>
        <w:sz w:val="18"/>
      </w:rPr>
      <w:fldChar w:fldCharType="begin"/>
    </w:r>
    <w:r w:rsidRPr="00214E18">
      <w:rPr>
        <w:b/>
        <w:sz w:val="18"/>
      </w:rPr>
      <w:instrText xml:space="preserve"> PAGE  \* MERGEFORMAT </w:instrText>
    </w:r>
    <w:r w:rsidRPr="00214E18">
      <w:rPr>
        <w:b/>
        <w:sz w:val="18"/>
      </w:rPr>
      <w:fldChar w:fldCharType="separate"/>
    </w:r>
    <w:r w:rsidRPr="00214E18">
      <w:rPr>
        <w:b/>
        <w:noProof/>
        <w:sz w:val="18"/>
      </w:rPr>
      <w:t>3</w:t>
    </w:r>
    <w:r w:rsidRPr="00214E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14DA" w14:textId="77777777" w:rsidR="00042B72" w:rsidRPr="00214E18" w:rsidRDefault="00214E18" w:rsidP="00214E1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342E4D" wp14:editId="03E0E6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06213  (</w:t>
    </w:r>
    <w:proofErr w:type="gramEnd"/>
    <w:r>
      <w:t>R)</w:t>
    </w:r>
    <w:r>
      <w:rPr>
        <w:lang w:val="en-US"/>
      </w:rPr>
      <w:t xml:space="preserve">  070519  070519</w:t>
    </w:r>
    <w:r>
      <w:br/>
    </w:r>
    <w:r w:rsidRPr="00214E18">
      <w:rPr>
        <w:rFonts w:ascii="C39T30Lfz" w:hAnsi="C39T30Lfz"/>
        <w:kern w:val="14"/>
        <w:sz w:val="56"/>
      </w:rPr>
      <w:t></w:t>
    </w:r>
    <w:r w:rsidRPr="00214E18">
      <w:rPr>
        <w:rFonts w:ascii="C39T30Lfz" w:hAnsi="C39T30Lfz"/>
        <w:kern w:val="14"/>
        <w:sz w:val="56"/>
      </w:rPr>
      <w:t></w:t>
    </w:r>
    <w:r w:rsidRPr="00214E18">
      <w:rPr>
        <w:rFonts w:ascii="C39T30Lfz" w:hAnsi="C39T30Lfz"/>
        <w:kern w:val="14"/>
        <w:sz w:val="56"/>
      </w:rPr>
      <w:t></w:t>
    </w:r>
    <w:r w:rsidRPr="00214E18">
      <w:rPr>
        <w:rFonts w:ascii="C39T30Lfz" w:hAnsi="C39T30Lfz"/>
        <w:kern w:val="14"/>
        <w:sz w:val="56"/>
      </w:rPr>
      <w:t></w:t>
    </w:r>
    <w:r w:rsidRPr="00214E18">
      <w:rPr>
        <w:rFonts w:ascii="C39T30Lfz" w:hAnsi="C39T30Lfz"/>
        <w:kern w:val="14"/>
        <w:sz w:val="56"/>
      </w:rPr>
      <w:t></w:t>
    </w:r>
    <w:r w:rsidRPr="00214E18">
      <w:rPr>
        <w:rFonts w:ascii="C39T30Lfz" w:hAnsi="C39T30Lfz"/>
        <w:kern w:val="14"/>
        <w:sz w:val="56"/>
      </w:rPr>
      <w:t></w:t>
    </w:r>
    <w:r w:rsidRPr="00214E18">
      <w:rPr>
        <w:rFonts w:ascii="C39T30Lfz" w:hAnsi="C39T30Lfz"/>
        <w:kern w:val="14"/>
        <w:sz w:val="56"/>
      </w:rPr>
      <w:t></w:t>
    </w:r>
    <w:r w:rsidRPr="00214E18">
      <w:rPr>
        <w:rFonts w:ascii="C39T30Lfz" w:hAnsi="C39T30Lfz"/>
        <w:kern w:val="14"/>
        <w:sz w:val="56"/>
      </w:rPr>
      <w:t></w:t>
    </w:r>
    <w:r w:rsidRPr="00214E1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F71652" wp14:editId="53202F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50D3" w14:textId="77777777" w:rsidR="00BD5A9F" w:rsidRPr="001075E9" w:rsidRDefault="00BD5A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247E09" w14:textId="77777777" w:rsidR="00BD5A9F" w:rsidRDefault="00BD5A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36D6E9" w14:textId="77777777" w:rsidR="00214E18" w:rsidRDefault="00214E18" w:rsidP="00214E18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5492" w14:textId="23A20C41" w:rsidR="00214E18" w:rsidRPr="00214E18" w:rsidRDefault="00214E18">
    <w:pPr>
      <w:pStyle w:val="Header"/>
    </w:pPr>
    <w:fldSimple w:instr=" TITLE  \* MERGEFORMAT ">
      <w:r w:rsidR="00A04738">
        <w:t>ECE/TRANS/WP.29/2019/42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0F4C" w14:textId="59484F30" w:rsidR="00214E18" w:rsidRPr="00214E18" w:rsidRDefault="00214E18" w:rsidP="00214E18">
    <w:pPr>
      <w:pStyle w:val="Header"/>
      <w:jc w:val="right"/>
    </w:pPr>
    <w:fldSimple w:instr=" TITLE  \* MERGEFORMAT ">
      <w:r w:rsidR="00A04738">
        <w:t>ECE/TRANS/WP.29/2019/42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F"/>
    <w:rsid w:val="00033EE1"/>
    <w:rsid w:val="00042B72"/>
    <w:rsid w:val="000558BD"/>
    <w:rsid w:val="000B57E7"/>
    <w:rsid w:val="000B6373"/>
    <w:rsid w:val="000E4E5B"/>
    <w:rsid w:val="000F09DF"/>
    <w:rsid w:val="000F61B2"/>
    <w:rsid w:val="000F711E"/>
    <w:rsid w:val="001075E9"/>
    <w:rsid w:val="0014152F"/>
    <w:rsid w:val="00180183"/>
    <w:rsid w:val="0018024D"/>
    <w:rsid w:val="0018649F"/>
    <w:rsid w:val="00196389"/>
    <w:rsid w:val="001B3EF6"/>
    <w:rsid w:val="001C7A89"/>
    <w:rsid w:val="00214E18"/>
    <w:rsid w:val="0024181F"/>
    <w:rsid w:val="00251FC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455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58C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779"/>
    <w:rsid w:val="00A0473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099F"/>
    <w:rsid w:val="00BC18B2"/>
    <w:rsid w:val="00BD33EE"/>
    <w:rsid w:val="00BD5A9F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973"/>
    <w:rsid w:val="00DD78D1"/>
    <w:rsid w:val="00DE32CD"/>
    <w:rsid w:val="00DF5767"/>
    <w:rsid w:val="00DF71B9"/>
    <w:rsid w:val="00E12C5F"/>
    <w:rsid w:val="00E4480F"/>
    <w:rsid w:val="00E73F76"/>
    <w:rsid w:val="00EA2C9F"/>
    <w:rsid w:val="00EA420E"/>
    <w:rsid w:val="00EA44A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A2CA9"/>
  <w15:docId w15:val="{EF6DE2E9-D575-4187-B42E-15375BC1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214E18"/>
    <w:rPr>
      <w:lang w:val="ru-RU" w:eastAsia="en-US"/>
    </w:rPr>
  </w:style>
  <w:style w:type="character" w:customStyle="1" w:styleId="HChGChar">
    <w:name w:val="_ H _Ch_G Char"/>
    <w:link w:val="HChG"/>
    <w:locked/>
    <w:rsid w:val="00214E1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14E18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214E18"/>
  </w:style>
  <w:style w:type="paragraph" w:customStyle="1" w:styleId="para">
    <w:name w:val="para"/>
    <w:basedOn w:val="Normal"/>
    <w:link w:val="paraChar"/>
    <w:qFormat/>
    <w:rsid w:val="00214E1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ECE/TRANS/WP.29/2019/42</vt:lpstr>
      <vt:lpstr>ECE/TRANS/WP.29/2019/42</vt:lpstr>
      <vt:lpstr>A/</vt:lpstr>
    </vt:vector>
  </TitlesOfParts>
  <Company>DCM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ECE/TRANS/WP.29/2019/42</dc:title>
  <dc:subject/>
  <dc:creator>Anna KISSELEVA</dc:creator>
  <cp:keywords/>
  <cp:lastModifiedBy>Marie-Claude Collet</cp:lastModifiedBy>
  <cp:revision>3</cp:revision>
  <cp:lastPrinted>2019-05-08T09:04:00Z</cp:lastPrinted>
  <dcterms:created xsi:type="dcterms:W3CDTF">2019-05-08T09:04:00Z</dcterms:created>
  <dcterms:modified xsi:type="dcterms:W3CDTF">2019-05-08T09:04:00Z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