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298605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A165EB3" w14:textId="77777777" w:rsidR="00F35BAF" w:rsidRPr="00DB58B5" w:rsidRDefault="00F35BAF" w:rsidP="00E001E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73BB965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440C4B" w14:textId="77777777" w:rsidR="00F35BAF" w:rsidRPr="00DB58B5" w:rsidRDefault="00E001EF" w:rsidP="00E001EF">
            <w:pPr>
              <w:jc w:val="right"/>
            </w:pPr>
            <w:r w:rsidRPr="00E001EF">
              <w:rPr>
                <w:sz w:val="40"/>
              </w:rPr>
              <w:t>ECE</w:t>
            </w:r>
            <w:r>
              <w:t>/TRANS/WP.29/2019/83</w:t>
            </w:r>
          </w:p>
        </w:tc>
      </w:tr>
      <w:tr w:rsidR="00F35BAF" w:rsidRPr="00DB58B5" w14:paraId="3FA6896F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B5450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05521A2" wp14:editId="0CF844C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24BE7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AC5858" w14:textId="77777777" w:rsidR="00F35BAF" w:rsidRDefault="00E001EF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79C5CB68" w14:textId="77777777" w:rsidR="00E001EF" w:rsidRDefault="00E001EF" w:rsidP="00E001EF">
            <w:pPr>
              <w:spacing w:line="240" w:lineRule="exact"/>
            </w:pPr>
            <w:r>
              <w:t>29 août 2019</w:t>
            </w:r>
          </w:p>
          <w:p w14:paraId="341951C3" w14:textId="77777777" w:rsidR="00E001EF" w:rsidRDefault="00E001EF" w:rsidP="00E001EF">
            <w:pPr>
              <w:spacing w:line="240" w:lineRule="exact"/>
            </w:pPr>
            <w:r>
              <w:t>Français</w:t>
            </w:r>
          </w:p>
          <w:p w14:paraId="4A627EC8" w14:textId="77777777" w:rsidR="00E001EF" w:rsidRPr="00DB58B5" w:rsidRDefault="00E001EF" w:rsidP="00E001EF">
            <w:pPr>
              <w:spacing w:line="240" w:lineRule="exact"/>
            </w:pPr>
            <w:r>
              <w:t>Original : anglais</w:t>
            </w:r>
          </w:p>
        </w:tc>
      </w:tr>
    </w:tbl>
    <w:p w14:paraId="72F34BC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C5E3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AAFE79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9537553" w14:textId="77777777" w:rsidR="00E001EF" w:rsidRDefault="00E001E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AC5E3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21C8CE4A" w14:textId="77777777" w:rsidR="00E001EF" w:rsidRDefault="00E001EF" w:rsidP="00AF0CB5">
      <w:pPr>
        <w:spacing w:before="120" w:line="240" w:lineRule="exact"/>
        <w:rPr>
          <w:b/>
        </w:rPr>
      </w:pPr>
      <w:r w:rsidRPr="00E001EF">
        <w:rPr>
          <w:b/>
        </w:rPr>
        <w:t>179</w:t>
      </w:r>
      <w:r w:rsidRPr="00E001EF">
        <w:rPr>
          <w:b/>
          <w:vertAlign w:val="superscript"/>
        </w:rPr>
        <w:t>e</w:t>
      </w:r>
      <w:r>
        <w:rPr>
          <w:b/>
        </w:rPr>
        <w:t xml:space="preserve"> session</w:t>
      </w:r>
    </w:p>
    <w:p w14:paraId="2F9EBE42" w14:textId="77777777" w:rsidR="00E001EF" w:rsidRDefault="00E001EF" w:rsidP="00AF0CB5">
      <w:pPr>
        <w:spacing w:line="240" w:lineRule="exact"/>
      </w:pPr>
      <w:r>
        <w:t xml:space="preserve">Genève, </w:t>
      </w:r>
      <w:r w:rsidRPr="00E001EF">
        <w:t>12-14 novembre 2019</w:t>
      </w:r>
    </w:p>
    <w:p w14:paraId="77F5A77D" w14:textId="77777777" w:rsidR="00E001EF" w:rsidRDefault="00E001EF" w:rsidP="00AF0CB5">
      <w:pPr>
        <w:spacing w:line="240" w:lineRule="exact"/>
      </w:pPr>
      <w:r>
        <w:t xml:space="preserve">Point </w:t>
      </w:r>
      <w:r w:rsidRPr="00E001EF">
        <w:t>4.6.6 de l</w:t>
      </w:r>
      <w:r w:rsidR="00AC5E31">
        <w:t>’</w:t>
      </w:r>
      <w:r w:rsidRPr="00E001EF">
        <w:t>ordre du jour provisoire</w:t>
      </w:r>
    </w:p>
    <w:p w14:paraId="26276B7C" w14:textId="77777777" w:rsidR="00E001EF" w:rsidRPr="00E001EF" w:rsidRDefault="00E001EF" w:rsidP="00E001EF">
      <w:pPr>
        <w:rPr>
          <w:b/>
        </w:rPr>
      </w:pPr>
      <w:r w:rsidRPr="00E001EF">
        <w:rPr>
          <w:b/>
        </w:rPr>
        <w:t>Accord de 1958 :</w:t>
      </w:r>
      <w:r w:rsidRPr="00E001EF">
        <w:rPr>
          <w:b/>
        </w:rPr>
        <w:br/>
        <w:t>Examen de projets d</w:t>
      </w:r>
      <w:r w:rsidR="00AC5E31">
        <w:rPr>
          <w:b/>
        </w:rPr>
        <w:t>’</w:t>
      </w:r>
      <w:r w:rsidRPr="00E001EF">
        <w:rPr>
          <w:b/>
        </w:rPr>
        <w:t xml:space="preserve">amendements à des Règlements ONU </w:t>
      </w:r>
      <w:r>
        <w:rPr>
          <w:b/>
        </w:rPr>
        <w:br/>
      </w:r>
      <w:r w:rsidRPr="00E001EF">
        <w:rPr>
          <w:b/>
        </w:rPr>
        <w:t xml:space="preserve">existants, soumis par le GRE </w:t>
      </w:r>
    </w:p>
    <w:p w14:paraId="51533E4D" w14:textId="77777777" w:rsidR="00E001EF" w:rsidRPr="00A12533" w:rsidRDefault="00E001EF" w:rsidP="00E001EF">
      <w:pPr>
        <w:pStyle w:val="HChG"/>
      </w:pPr>
      <w:r w:rsidRPr="00A12533">
        <w:tab/>
      </w:r>
      <w:r w:rsidRPr="00A12533">
        <w:tab/>
        <w:t>Proposition de</w:t>
      </w:r>
      <w:bookmarkStart w:id="1" w:name="_Hlk19714986"/>
      <w:r w:rsidRPr="00A12533">
        <w:t xml:space="preserve"> complément 1 au Règlement ONU </w:t>
      </w:r>
      <w:r w:rsidR="00496AC4">
        <w:br/>
      </w:r>
      <w:r w:rsidRPr="00A12533">
        <w:t>n</w:t>
      </w:r>
      <w:r w:rsidRPr="00A12533">
        <w:rPr>
          <w:vertAlign w:val="superscript"/>
        </w:rPr>
        <w:t>o</w:t>
      </w:r>
      <w:r w:rsidRPr="00A12533">
        <w:t> [150] (</w:t>
      </w:r>
      <w:r>
        <w:t>D</w:t>
      </w:r>
      <w:r w:rsidRPr="00A12533">
        <w:t>ispositifs rétroréfléchissants)</w:t>
      </w:r>
      <w:bookmarkEnd w:id="1"/>
      <w:r w:rsidRPr="00A12533">
        <w:t xml:space="preserve"> </w:t>
      </w:r>
    </w:p>
    <w:p w14:paraId="0189EA0A" w14:textId="77777777" w:rsidR="00E001EF" w:rsidRPr="00A12533" w:rsidRDefault="00E001EF" w:rsidP="00E001EF">
      <w:pPr>
        <w:pStyle w:val="H1G"/>
      </w:pPr>
      <w:r>
        <w:tab/>
      </w:r>
      <w:r>
        <w:tab/>
      </w:r>
      <w:r w:rsidRPr="00E001EF">
        <w:t>Communication</w:t>
      </w:r>
      <w:r w:rsidRPr="00A12533">
        <w:t xml:space="preserve"> du Groupe de travail de l</w:t>
      </w:r>
      <w:r w:rsidR="00AC5E31">
        <w:t>’</w:t>
      </w:r>
      <w:r w:rsidRPr="00A12533">
        <w:t xml:space="preserve">éclairage </w:t>
      </w:r>
      <w:r>
        <w:br/>
      </w:r>
      <w:r w:rsidRPr="00A12533">
        <w:t>et de la signalisation lumineuse</w:t>
      </w:r>
      <w:r w:rsidRPr="00E001E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2E441D9" w14:textId="77777777" w:rsidR="00E001EF" w:rsidRPr="00A12533" w:rsidRDefault="00E001EF" w:rsidP="00E001EF">
      <w:pPr>
        <w:pStyle w:val="SingleTxtG"/>
      </w:pPr>
      <w:r>
        <w:tab/>
      </w:r>
      <w:r w:rsidRPr="00A12533">
        <w:t>Le texte ci-après a été adopté par le Groupe de travail de l</w:t>
      </w:r>
      <w:r w:rsidR="00AC5E31">
        <w:t>’</w:t>
      </w:r>
      <w:r w:rsidRPr="00A12533">
        <w:t>éclairage et de la signalisation lumineuse (GRE) à sa quatre-vingtième session (ECE/TRANS/WP.29/</w:t>
      </w:r>
      <w:r>
        <w:t xml:space="preserve"> </w:t>
      </w:r>
      <w:r w:rsidRPr="00A12533">
        <w:t>GRE/80, par.</w:t>
      </w:r>
      <w:r w:rsidR="00496AC4">
        <w:t> </w:t>
      </w:r>
      <w:r w:rsidRPr="00A12533">
        <w:t>11). Il est fondé sur le document ECE/TRANS/WP.29/GRE/2018/38. Il est soumis au Forum mondial de l</w:t>
      </w:r>
      <w:r w:rsidR="00AC5E31">
        <w:t>’</w:t>
      </w:r>
      <w:r w:rsidRPr="00A12533">
        <w:t>harmonisation des Règlements concernant les véhicules (WP.29) et au Comité d</w:t>
      </w:r>
      <w:r w:rsidR="00AC5E31">
        <w:t>’</w:t>
      </w:r>
      <w:r w:rsidRPr="00A12533">
        <w:t>administration de l</w:t>
      </w:r>
      <w:r w:rsidR="00AC5E31">
        <w:t>’</w:t>
      </w:r>
      <w:r w:rsidRPr="00A12533">
        <w:t xml:space="preserve">Accord de 1958 (AC.1) pour examen à leurs sessions de novembre 2019. </w:t>
      </w:r>
    </w:p>
    <w:p w14:paraId="29BEEEDC" w14:textId="77777777" w:rsidR="00E001EF" w:rsidRPr="00A12533" w:rsidRDefault="00E001EF" w:rsidP="00AC5E31">
      <w:pPr>
        <w:pStyle w:val="HChG"/>
      </w:pPr>
      <w:bookmarkStart w:id="2" w:name="_Toc354410587"/>
      <w:r w:rsidRPr="00A12533">
        <w:br w:type="page"/>
      </w:r>
      <w:r w:rsidRPr="00A12533">
        <w:lastRenderedPageBreak/>
        <w:tab/>
      </w:r>
      <w:bookmarkEnd w:id="2"/>
      <w:r w:rsidRPr="00A12533">
        <w:tab/>
        <w:t>Complément 1 au Règlement ONU n</w:t>
      </w:r>
      <w:r w:rsidRPr="00A12533">
        <w:rPr>
          <w:vertAlign w:val="superscript"/>
        </w:rPr>
        <w:t>o</w:t>
      </w:r>
      <w:r w:rsidRPr="00A12533">
        <w:t xml:space="preserve"> [150] </w:t>
      </w:r>
      <w:r w:rsidR="00496AC4">
        <w:br/>
      </w:r>
      <w:r w:rsidRPr="00A12533">
        <w:t>(</w:t>
      </w:r>
      <w:r>
        <w:t>D</w:t>
      </w:r>
      <w:r w:rsidRPr="00A12533">
        <w:t>ispositifs rétroréfléchissants)</w:t>
      </w:r>
    </w:p>
    <w:p w14:paraId="1CDE48C6" w14:textId="77777777" w:rsidR="00E001EF" w:rsidRPr="00AC5E31" w:rsidRDefault="00E001EF" w:rsidP="00AC5E31">
      <w:pPr>
        <w:pStyle w:val="SingleTxtG"/>
      </w:pPr>
      <w:r w:rsidRPr="00AC5E31">
        <w:rPr>
          <w:i/>
          <w:lang w:eastAsia="it-IT"/>
        </w:rPr>
        <w:t>Paragraphe</w:t>
      </w:r>
      <w:r w:rsidRPr="00AC5E31">
        <w:rPr>
          <w:i/>
        </w:rPr>
        <w:t xml:space="preserve"> 2.1</w:t>
      </w:r>
      <w:r w:rsidRPr="00A12533">
        <w:t>, lire :</w:t>
      </w:r>
    </w:p>
    <w:p w14:paraId="169AA3C5" w14:textId="77777777" w:rsidR="00E001EF" w:rsidRPr="00A12533" w:rsidRDefault="00E001EF" w:rsidP="00AC5E31">
      <w:pPr>
        <w:pStyle w:val="SingleTxtG"/>
        <w:ind w:left="2268" w:hanging="1134"/>
      </w:pPr>
      <w:r w:rsidRPr="00A12533">
        <w:t>« 2.1</w:t>
      </w:r>
      <w:r w:rsidRPr="00A12533">
        <w:tab/>
        <w:t xml:space="preserve">Sauf indication contraire dans le présent </w:t>
      </w:r>
      <w:r w:rsidRPr="00AC5E31">
        <w:t>Règlement</w:t>
      </w:r>
      <w:r w:rsidRPr="00A12533">
        <w:t xml:space="preserve"> ou dans les Règlements ONU n</w:t>
      </w:r>
      <w:r w:rsidRPr="00A12533">
        <w:rPr>
          <w:vertAlign w:val="superscript"/>
        </w:rPr>
        <w:t>os</w:t>
      </w:r>
      <w:r w:rsidRPr="00A12533">
        <w:t> 53, 74 et 86 concernant l</w:t>
      </w:r>
      <w:r w:rsidR="00AC5E31">
        <w:t>’</w:t>
      </w:r>
      <w:r w:rsidRPr="00A12533">
        <w:t>installation, toutes les définitions figurant dans la dernière série d</w:t>
      </w:r>
      <w:r w:rsidR="00AC5E31">
        <w:t>’</w:t>
      </w:r>
      <w:r w:rsidRPr="00A12533">
        <w:t>amendements au Règlement ONU</w:t>
      </w:r>
      <w:r w:rsidR="00496AC4">
        <w:t xml:space="preserve"> </w:t>
      </w:r>
      <w:r w:rsidRPr="00A12533">
        <w:rPr>
          <w:rFonts w:eastAsia="MS Mincho"/>
        </w:rPr>
        <w:t>n</w:t>
      </w:r>
      <w:r w:rsidRPr="00A12533">
        <w:rPr>
          <w:rFonts w:eastAsia="MS Mincho"/>
          <w:vertAlign w:val="superscript"/>
        </w:rPr>
        <w:t>o</w:t>
      </w:r>
      <w:r w:rsidRPr="00A12533">
        <w:rPr>
          <w:rFonts w:eastAsia="MS Mincho"/>
        </w:rPr>
        <w:t> </w:t>
      </w:r>
      <w:r w:rsidRPr="00A12533">
        <w:t>48 en vigueur à la date de la demande d</w:t>
      </w:r>
      <w:r w:rsidR="00AC5E31">
        <w:t>’</w:t>
      </w:r>
      <w:r w:rsidRPr="00A12533">
        <w:t>homologation de type s</w:t>
      </w:r>
      <w:r w:rsidR="00AC5E31">
        <w:t>’</w:t>
      </w:r>
      <w:r w:rsidRPr="00A12533">
        <w:t>appliquent. »</w:t>
      </w:r>
      <w:r w:rsidR="00496AC4">
        <w:t>.</w:t>
      </w:r>
    </w:p>
    <w:p w14:paraId="45897181" w14:textId="77777777" w:rsidR="00E001EF" w:rsidRPr="00AC5E31" w:rsidRDefault="00E001EF" w:rsidP="00AC5E31">
      <w:pPr>
        <w:pStyle w:val="SingleTxtG"/>
      </w:pPr>
      <w:r w:rsidRPr="00AC5E31">
        <w:rPr>
          <w:i/>
        </w:rPr>
        <w:t>Paragraphe 4.1.6</w:t>
      </w:r>
      <w:r w:rsidRPr="00A12533">
        <w:t>, lire :</w:t>
      </w:r>
    </w:p>
    <w:p w14:paraId="44D43525" w14:textId="77777777" w:rsidR="00E001EF" w:rsidRPr="00A12533" w:rsidRDefault="00E001EF" w:rsidP="00AC5E31">
      <w:pPr>
        <w:pStyle w:val="SingleTxtG"/>
        <w:ind w:left="2268" w:hanging="1134"/>
      </w:pPr>
      <w:r w:rsidRPr="00A12533">
        <w:t>« 4.1.6</w:t>
      </w:r>
      <w:r w:rsidRPr="00A12533">
        <w:tab/>
        <w:t>Dans le cas des catadioptres</w:t>
      </w:r>
    </w:p>
    <w:p w14:paraId="1C07B558" w14:textId="77777777" w:rsidR="00E001EF" w:rsidRPr="00A12533" w:rsidRDefault="00E001EF" w:rsidP="00AC5E31">
      <w:pPr>
        <w:pStyle w:val="SingleTxtG"/>
        <w:ind w:left="2268" w:hanging="1134"/>
      </w:pPr>
      <w:r w:rsidRPr="00A12533">
        <w:t>4.1.6.1</w:t>
      </w:r>
      <w:r w:rsidRPr="00A12533">
        <w:tab/>
        <w:t xml:space="preserve">Les dispositifs </w:t>
      </w:r>
      <w:r w:rsidRPr="00AC5E31">
        <w:t>rétroréfléchissants</w:t>
      </w:r>
      <w:r w:rsidRPr="00A12533">
        <w:t xml:space="preserve"> peuvent être composés d</w:t>
      </w:r>
      <w:r w:rsidR="00AC5E31">
        <w:t>’</w:t>
      </w:r>
      <w:r w:rsidRPr="00A12533">
        <w:t>une optique catadioptrique associée à un filtre, qui doivent être indissociables par construction dans les conditions normales d</w:t>
      </w:r>
      <w:r w:rsidR="00AC5E31">
        <w:t>’</w:t>
      </w:r>
      <w:r w:rsidRPr="00A12533">
        <w:t>utilisation.</w:t>
      </w:r>
    </w:p>
    <w:p w14:paraId="6EC4AFD5" w14:textId="77777777" w:rsidR="00E001EF" w:rsidRPr="00A12533" w:rsidRDefault="00E001EF" w:rsidP="00AC5E31">
      <w:pPr>
        <w:pStyle w:val="SingleTxtG"/>
      </w:pPr>
      <w:r w:rsidRPr="00A12533">
        <w:rPr>
          <w:i/>
        </w:rPr>
        <w:t>Le paragraphe 4.1.7</w:t>
      </w:r>
      <w:r w:rsidRPr="00A12533">
        <w:t xml:space="preserve"> devient le paragraphe 4.1.6.2</w:t>
      </w:r>
      <w:r w:rsidR="00496AC4">
        <w:t>.</w:t>
      </w:r>
    </w:p>
    <w:p w14:paraId="0A9A676F" w14:textId="77777777" w:rsidR="00E001EF" w:rsidRPr="00A12533" w:rsidRDefault="00E001EF" w:rsidP="00AC5E31">
      <w:pPr>
        <w:pStyle w:val="SingleTxtG"/>
      </w:pPr>
      <w:r w:rsidRPr="00AC5E31">
        <w:rPr>
          <w:i/>
        </w:rPr>
        <w:t>Paragraphe 5.4</w:t>
      </w:r>
      <w:r w:rsidRPr="00A12533">
        <w:t xml:space="preserve">, </w:t>
      </w:r>
      <w:r w:rsidRPr="00AC5E31">
        <w:t>lire</w:t>
      </w:r>
      <w:r w:rsidR="008407A0">
        <w:t> </w:t>
      </w:r>
      <w:r w:rsidRPr="00A12533">
        <w:t>:</w:t>
      </w:r>
    </w:p>
    <w:p w14:paraId="607EB3E9" w14:textId="77777777" w:rsidR="00F9573C" w:rsidRDefault="00E001EF" w:rsidP="00AC5E31">
      <w:pPr>
        <w:pStyle w:val="SingleTxtG"/>
        <w:ind w:left="2268" w:hanging="1134"/>
      </w:pPr>
      <w:r w:rsidRPr="00A12533">
        <w:t>« 5.4</w:t>
      </w:r>
      <w:r w:rsidRPr="00A12533">
        <w:tab/>
        <w:t xml:space="preserve">PRESCRIPTIONS TECHNIQUES CONCERNANT LES MARQUAGES RÉTRORÉFLÉCHISSANTS DES CLASSES C ET F (SYMBOLES </w:t>
      </w:r>
      <w:r w:rsidR="00433595" w:rsidRPr="00792C6A">
        <w:rPr>
          <w:bCs/>
        </w:rPr>
        <w:t>“</w:t>
      </w:r>
      <w:r w:rsidRPr="00A12533">
        <w:t> C </w:t>
      </w:r>
      <w:r w:rsidR="00433595" w:rsidRPr="00792C6A">
        <w:rPr>
          <w:bCs/>
        </w:rPr>
        <w:t>”</w:t>
      </w:r>
      <w:r w:rsidRPr="00A12533">
        <w:t xml:space="preserve"> ET </w:t>
      </w:r>
      <w:r w:rsidR="00433595" w:rsidRPr="00792C6A">
        <w:rPr>
          <w:bCs/>
        </w:rPr>
        <w:t>“</w:t>
      </w:r>
      <w:r w:rsidRPr="00A12533">
        <w:t> F </w:t>
      </w:r>
      <w:r w:rsidR="00433595" w:rsidRPr="00792C6A">
        <w:rPr>
          <w:bCs/>
        </w:rPr>
        <w:t>”</w:t>
      </w:r>
      <w:r w:rsidRPr="00A12533">
        <w:t>) »</w:t>
      </w:r>
      <w:r w:rsidR="00AC5E31">
        <w:t>.</w:t>
      </w:r>
    </w:p>
    <w:p w14:paraId="77C8E063" w14:textId="77777777" w:rsidR="00AC5E31" w:rsidRPr="00AC5E31" w:rsidRDefault="00AC5E31" w:rsidP="00AC5E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C5E31" w:rsidRPr="00AC5E31" w:rsidSect="00E001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5CFA" w14:textId="77777777" w:rsidR="003B76CC" w:rsidRDefault="003B76CC" w:rsidP="00F95C08">
      <w:pPr>
        <w:spacing w:line="240" w:lineRule="auto"/>
      </w:pPr>
    </w:p>
  </w:endnote>
  <w:endnote w:type="continuationSeparator" w:id="0">
    <w:p w14:paraId="2D707A61" w14:textId="77777777" w:rsidR="003B76CC" w:rsidRPr="00AC3823" w:rsidRDefault="003B76CC" w:rsidP="00AC3823">
      <w:pPr>
        <w:pStyle w:val="Footer"/>
      </w:pPr>
    </w:p>
  </w:endnote>
  <w:endnote w:type="continuationNotice" w:id="1">
    <w:p w14:paraId="407E644D" w14:textId="77777777" w:rsidR="003B76CC" w:rsidRDefault="003B76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48F8" w14:textId="77777777" w:rsidR="00E001EF" w:rsidRPr="00E001EF" w:rsidRDefault="00E001EF" w:rsidP="00E001EF">
    <w:pPr>
      <w:pStyle w:val="Footer"/>
      <w:tabs>
        <w:tab w:val="right" w:pos="9638"/>
      </w:tabs>
    </w:pPr>
    <w:r w:rsidRPr="00E001EF">
      <w:rPr>
        <w:b/>
        <w:sz w:val="18"/>
      </w:rPr>
      <w:fldChar w:fldCharType="begin"/>
    </w:r>
    <w:r w:rsidRPr="00E001EF">
      <w:rPr>
        <w:b/>
        <w:sz w:val="18"/>
      </w:rPr>
      <w:instrText xml:space="preserve"> PAGE  \* MERGEFORMAT </w:instrText>
    </w:r>
    <w:r w:rsidRPr="00E001EF">
      <w:rPr>
        <w:b/>
        <w:sz w:val="18"/>
      </w:rPr>
      <w:fldChar w:fldCharType="separate"/>
    </w:r>
    <w:r w:rsidRPr="00E001EF">
      <w:rPr>
        <w:b/>
        <w:noProof/>
        <w:sz w:val="18"/>
      </w:rPr>
      <w:t>2</w:t>
    </w:r>
    <w:r w:rsidRPr="00E001EF">
      <w:rPr>
        <w:b/>
        <w:sz w:val="18"/>
      </w:rPr>
      <w:fldChar w:fldCharType="end"/>
    </w:r>
    <w:r>
      <w:rPr>
        <w:b/>
        <w:sz w:val="18"/>
      </w:rPr>
      <w:tab/>
    </w:r>
    <w:r>
      <w:t>GE.19-14710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33EF" w14:textId="77777777" w:rsidR="00E001EF" w:rsidRPr="00E001EF" w:rsidRDefault="00E001EF" w:rsidP="00E001EF">
    <w:pPr>
      <w:pStyle w:val="Footer"/>
      <w:tabs>
        <w:tab w:val="right" w:pos="9638"/>
      </w:tabs>
      <w:rPr>
        <w:b/>
        <w:sz w:val="18"/>
      </w:rPr>
    </w:pPr>
    <w:r>
      <w:t>GE.19-14710</w:t>
    </w:r>
    <w:r>
      <w:tab/>
    </w:r>
    <w:r w:rsidRPr="00E001EF">
      <w:rPr>
        <w:b/>
        <w:sz w:val="18"/>
      </w:rPr>
      <w:fldChar w:fldCharType="begin"/>
    </w:r>
    <w:r w:rsidRPr="00E001EF">
      <w:rPr>
        <w:b/>
        <w:sz w:val="18"/>
      </w:rPr>
      <w:instrText xml:space="preserve"> PAGE  \* MERGEFORMAT </w:instrText>
    </w:r>
    <w:r w:rsidRPr="00E001EF">
      <w:rPr>
        <w:b/>
        <w:sz w:val="18"/>
      </w:rPr>
      <w:fldChar w:fldCharType="separate"/>
    </w:r>
    <w:r w:rsidRPr="00E001EF">
      <w:rPr>
        <w:b/>
        <w:noProof/>
        <w:sz w:val="18"/>
      </w:rPr>
      <w:t>3</w:t>
    </w:r>
    <w:r w:rsidRPr="00E001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4A031" w14:textId="77777777" w:rsidR="007F20FA" w:rsidRPr="00E001EF" w:rsidRDefault="00E001EF" w:rsidP="00E001E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6785E71C" wp14:editId="17000B0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14710  (</w:t>
    </w:r>
    <w:proofErr w:type="gramEnd"/>
    <w:r>
      <w:rPr>
        <w:sz w:val="20"/>
      </w:rPr>
      <w:t>F)    180919    230919</w:t>
    </w:r>
    <w:r>
      <w:rPr>
        <w:sz w:val="20"/>
      </w:rPr>
      <w:br/>
    </w:r>
    <w:r w:rsidRPr="00E001EF">
      <w:rPr>
        <w:rFonts w:ascii="C39T30Lfz" w:hAnsi="C39T30Lfz"/>
        <w:sz w:val="56"/>
      </w:rPr>
      <w:t></w:t>
    </w:r>
    <w:r w:rsidRPr="00E001EF">
      <w:rPr>
        <w:rFonts w:ascii="C39T30Lfz" w:hAnsi="C39T30Lfz"/>
        <w:sz w:val="56"/>
      </w:rPr>
      <w:t></w:t>
    </w:r>
    <w:r w:rsidRPr="00E001EF">
      <w:rPr>
        <w:rFonts w:ascii="C39T30Lfz" w:hAnsi="C39T30Lfz"/>
        <w:sz w:val="56"/>
      </w:rPr>
      <w:t></w:t>
    </w:r>
    <w:r w:rsidRPr="00E001EF">
      <w:rPr>
        <w:rFonts w:ascii="C39T30Lfz" w:hAnsi="C39T30Lfz"/>
        <w:sz w:val="56"/>
      </w:rPr>
      <w:t></w:t>
    </w:r>
    <w:r w:rsidRPr="00E001EF">
      <w:rPr>
        <w:rFonts w:ascii="C39T30Lfz" w:hAnsi="C39T30Lfz"/>
        <w:sz w:val="56"/>
      </w:rPr>
      <w:t></w:t>
    </w:r>
    <w:r w:rsidRPr="00E001EF">
      <w:rPr>
        <w:rFonts w:ascii="C39T30Lfz" w:hAnsi="C39T30Lfz"/>
        <w:sz w:val="56"/>
      </w:rPr>
      <w:t></w:t>
    </w:r>
    <w:r w:rsidRPr="00E001EF">
      <w:rPr>
        <w:rFonts w:ascii="C39T30Lfz" w:hAnsi="C39T30Lfz"/>
        <w:sz w:val="56"/>
      </w:rPr>
      <w:t></w:t>
    </w:r>
    <w:r w:rsidRPr="00E001EF">
      <w:rPr>
        <w:rFonts w:ascii="C39T30Lfz" w:hAnsi="C39T30Lfz"/>
        <w:sz w:val="56"/>
      </w:rPr>
      <w:t></w:t>
    </w:r>
    <w:r w:rsidRPr="00E001E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28DF8BB" wp14:editId="0B8BEEB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8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323AC" w14:textId="77777777" w:rsidR="003B76CC" w:rsidRPr="00AC3823" w:rsidRDefault="003B76C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6F6E03" w14:textId="77777777" w:rsidR="003B76CC" w:rsidRPr="00AC3823" w:rsidRDefault="003B76C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6D6319F" w14:textId="77777777" w:rsidR="003B76CC" w:rsidRPr="00AC3823" w:rsidRDefault="003B76CC">
      <w:pPr>
        <w:spacing w:line="240" w:lineRule="auto"/>
        <w:rPr>
          <w:sz w:val="2"/>
          <w:szCs w:val="2"/>
        </w:rPr>
      </w:pPr>
    </w:p>
  </w:footnote>
  <w:footnote w:id="2">
    <w:p w14:paraId="12516841" w14:textId="77777777" w:rsidR="00E001EF" w:rsidRPr="00E001EF" w:rsidRDefault="00E001EF">
      <w:pPr>
        <w:pStyle w:val="FootnoteText"/>
      </w:pPr>
      <w:r>
        <w:rPr>
          <w:rStyle w:val="FootnoteReference"/>
        </w:rPr>
        <w:tab/>
      </w:r>
      <w:r w:rsidRPr="00E001E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001EF">
        <w:t>Conformément au programme de travail du Comité des transports intérieurs pour la période 2018</w:t>
      </w:r>
      <w:r>
        <w:noBreakHyphen/>
      </w:r>
      <w:r w:rsidRPr="00E001EF">
        <w:t>2019 (ECE/TRANS/274, par.</w:t>
      </w:r>
      <w:r w:rsidR="00496AC4">
        <w:t> </w:t>
      </w:r>
      <w:r w:rsidRPr="00E001EF">
        <w:t>123, et ECE/TRANS/2018/21/Add.1, module</w:t>
      </w:r>
      <w:r w:rsidR="00496AC4">
        <w:t> </w:t>
      </w:r>
      <w:r w:rsidRPr="00E001EF">
        <w:t>3.1), le Forum mondial a pour mission d</w:t>
      </w:r>
      <w:r w:rsidR="00AC5E31">
        <w:t>’</w:t>
      </w:r>
      <w:r w:rsidRPr="00E001EF">
        <w:t>élaborer, d</w:t>
      </w:r>
      <w:r w:rsidR="00AC5E31">
        <w:t>’</w:t>
      </w:r>
      <w:r w:rsidRPr="00E001EF">
        <w:t>harmoniser et de mettre à jour les Règlements ONU en vue d</w:t>
      </w:r>
      <w:r w:rsidR="00AC5E31">
        <w:t>’</w:t>
      </w:r>
      <w:r w:rsidRPr="00E001EF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E833" w14:textId="6E2E3183" w:rsidR="00E001EF" w:rsidRPr="00E001EF" w:rsidRDefault="00A93F8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2BCF" w14:textId="7A06CBEF" w:rsidR="00E001EF" w:rsidRPr="00E001EF" w:rsidRDefault="00A93F8A" w:rsidP="00E001E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ECE/TRANS/WP.29/2019/83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CC"/>
    <w:rsid w:val="00017F94"/>
    <w:rsid w:val="00023842"/>
    <w:rsid w:val="000334F9"/>
    <w:rsid w:val="00045FEB"/>
    <w:rsid w:val="0007796D"/>
    <w:rsid w:val="00085B90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A34A8"/>
    <w:rsid w:val="002D7C93"/>
    <w:rsid w:val="00305801"/>
    <w:rsid w:val="003916DE"/>
    <w:rsid w:val="003B76CC"/>
    <w:rsid w:val="003D0A68"/>
    <w:rsid w:val="00421996"/>
    <w:rsid w:val="00427F83"/>
    <w:rsid w:val="00433595"/>
    <w:rsid w:val="00441C3B"/>
    <w:rsid w:val="00446FE5"/>
    <w:rsid w:val="00452396"/>
    <w:rsid w:val="004837D8"/>
    <w:rsid w:val="00496AC4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1589D"/>
    <w:rsid w:val="008407A0"/>
    <w:rsid w:val="00871C75"/>
    <w:rsid w:val="008776DC"/>
    <w:rsid w:val="009446C0"/>
    <w:rsid w:val="009705C8"/>
    <w:rsid w:val="009C1CF4"/>
    <w:rsid w:val="009F6B74"/>
    <w:rsid w:val="00A3029F"/>
    <w:rsid w:val="00A30353"/>
    <w:rsid w:val="00A93F8A"/>
    <w:rsid w:val="00AC3823"/>
    <w:rsid w:val="00AC5E31"/>
    <w:rsid w:val="00AE323C"/>
    <w:rsid w:val="00AF0CB5"/>
    <w:rsid w:val="00B00181"/>
    <w:rsid w:val="00B00B0D"/>
    <w:rsid w:val="00B45F2E"/>
    <w:rsid w:val="00B765F7"/>
    <w:rsid w:val="00B83246"/>
    <w:rsid w:val="00BA0CA9"/>
    <w:rsid w:val="00C02897"/>
    <w:rsid w:val="00C97039"/>
    <w:rsid w:val="00D3439C"/>
    <w:rsid w:val="00D44DA4"/>
    <w:rsid w:val="00DB1831"/>
    <w:rsid w:val="00DD3BFD"/>
    <w:rsid w:val="00DF6678"/>
    <w:rsid w:val="00E001EF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6779D1"/>
  <w15:docId w15:val="{E878CB6C-A07C-4890-B74E-2A9C78DE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001EF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E001E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E001E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ECE/TRANS/WP.29/2019/83</vt:lpstr>
      <vt:lpstr>ECE/TRANS/WP.29/2019/83</vt:lpstr>
    </vt:vector>
  </TitlesOfParts>
  <Company>DCM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ECE/TRANS/WP.29/2019/83</dc:title>
  <dc:subject/>
  <dc:creator>Isabelle VIGNY</dc:creator>
  <cp:keywords/>
  <cp:lastModifiedBy>Marie-Claude Collet</cp:lastModifiedBy>
  <cp:revision>3</cp:revision>
  <cp:lastPrinted>2019-09-24T08:20:00Z</cp:lastPrinted>
  <dcterms:created xsi:type="dcterms:W3CDTF">2019-09-24T08:19:00Z</dcterms:created>
  <dcterms:modified xsi:type="dcterms:W3CDTF">2019-09-24T08:20:00Z</dcterms:modified>
</cp:coreProperties>
</file>