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1FE2DC" w14:textId="77777777" w:rsidTr="00C97039">
        <w:trPr>
          <w:trHeight w:hRule="exact" w:val="851"/>
        </w:trPr>
        <w:tc>
          <w:tcPr>
            <w:tcW w:w="1276" w:type="dxa"/>
            <w:tcBorders>
              <w:bottom w:val="single" w:sz="4" w:space="0" w:color="auto"/>
            </w:tcBorders>
          </w:tcPr>
          <w:p w14:paraId="38649E83" w14:textId="77777777" w:rsidR="00F35BAF" w:rsidRPr="00DB58B5" w:rsidRDefault="00F35BAF" w:rsidP="00120BB7">
            <w:bookmarkStart w:id="0" w:name="_GoBack"/>
            <w:bookmarkEnd w:id="0"/>
          </w:p>
        </w:tc>
        <w:tc>
          <w:tcPr>
            <w:tcW w:w="2268" w:type="dxa"/>
            <w:tcBorders>
              <w:bottom w:val="single" w:sz="4" w:space="0" w:color="auto"/>
            </w:tcBorders>
            <w:vAlign w:val="bottom"/>
          </w:tcPr>
          <w:p w14:paraId="0721D60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1D1E4B" w14:textId="77777777" w:rsidR="00F35BAF" w:rsidRPr="00DB58B5" w:rsidRDefault="00120BB7" w:rsidP="00120BB7">
            <w:pPr>
              <w:jc w:val="right"/>
            </w:pPr>
            <w:r w:rsidRPr="00120BB7">
              <w:rPr>
                <w:sz w:val="40"/>
              </w:rPr>
              <w:t>ECE</w:t>
            </w:r>
            <w:r>
              <w:t>/TRANS/WP.29/2018/110/Rev.1</w:t>
            </w:r>
          </w:p>
        </w:tc>
      </w:tr>
      <w:tr w:rsidR="00F35BAF" w:rsidRPr="00DB58B5" w14:paraId="474E9ECA" w14:textId="77777777" w:rsidTr="00C97039">
        <w:trPr>
          <w:trHeight w:hRule="exact" w:val="2835"/>
        </w:trPr>
        <w:tc>
          <w:tcPr>
            <w:tcW w:w="1276" w:type="dxa"/>
            <w:tcBorders>
              <w:top w:val="single" w:sz="4" w:space="0" w:color="auto"/>
              <w:bottom w:val="single" w:sz="12" w:space="0" w:color="auto"/>
            </w:tcBorders>
          </w:tcPr>
          <w:p w14:paraId="724EF3ED" w14:textId="77777777" w:rsidR="00F35BAF" w:rsidRPr="00DB58B5" w:rsidRDefault="00F35BAF" w:rsidP="00C97039">
            <w:pPr>
              <w:spacing w:before="120"/>
              <w:jc w:val="center"/>
            </w:pPr>
            <w:r>
              <w:rPr>
                <w:noProof/>
                <w:lang w:val="en-GB" w:eastAsia="zh-CN"/>
              </w:rPr>
              <w:drawing>
                <wp:inline distT="0" distB="0" distL="0" distR="0" wp14:anchorId="5D5D4406" wp14:editId="5E0791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F0BB6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52B624" w14:textId="77777777" w:rsidR="00F35BAF" w:rsidRDefault="00120BB7" w:rsidP="00C97039">
            <w:pPr>
              <w:spacing w:before="240"/>
            </w:pPr>
            <w:r>
              <w:t>Distr. générale</w:t>
            </w:r>
          </w:p>
          <w:p w14:paraId="17223462" w14:textId="77777777" w:rsidR="00120BB7" w:rsidRDefault="00120BB7" w:rsidP="00120BB7">
            <w:pPr>
              <w:spacing w:line="240" w:lineRule="exact"/>
            </w:pPr>
            <w:r>
              <w:t>1</w:t>
            </w:r>
            <w:r w:rsidRPr="00A23B89">
              <w:rPr>
                <w:vertAlign w:val="superscript"/>
              </w:rPr>
              <w:t>er</w:t>
            </w:r>
            <w:r>
              <w:t xml:space="preserve"> octobre 201</w:t>
            </w:r>
            <w:r w:rsidR="00A23B89">
              <w:t>8</w:t>
            </w:r>
          </w:p>
          <w:p w14:paraId="16405B03" w14:textId="77777777" w:rsidR="00120BB7" w:rsidRDefault="00120BB7" w:rsidP="00120BB7">
            <w:pPr>
              <w:spacing w:line="240" w:lineRule="exact"/>
            </w:pPr>
            <w:r>
              <w:t>Français</w:t>
            </w:r>
          </w:p>
          <w:p w14:paraId="3DF0508A" w14:textId="77777777" w:rsidR="00120BB7" w:rsidRPr="00DB58B5" w:rsidRDefault="00120BB7" w:rsidP="00120BB7">
            <w:pPr>
              <w:spacing w:line="240" w:lineRule="exact"/>
            </w:pPr>
            <w:r>
              <w:t>Original : anglais</w:t>
            </w:r>
          </w:p>
        </w:tc>
      </w:tr>
    </w:tbl>
    <w:p w14:paraId="2E2E915D" w14:textId="77777777" w:rsidR="007F20FA" w:rsidRPr="000312C0" w:rsidRDefault="007F20FA" w:rsidP="007F20FA">
      <w:pPr>
        <w:spacing w:before="120"/>
        <w:rPr>
          <w:b/>
          <w:sz w:val="28"/>
          <w:szCs w:val="28"/>
        </w:rPr>
      </w:pPr>
      <w:r w:rsidRPr="000312C0">
        <w:rPr>
          <w:b/>
          <w:sz w:val="28"/>
          <w:szCs w:val="28"/>
        </w:rPr>
        <w:t>Commission économique pour l’Europe</w:t>
      </w:r>
    </w:p>
    <w:p w14:paraId="4B8B586D" w14:textId="77777777" w:rsidR="007F20FA" w:rsidRDefault="007F20FA" w:rsidP="007F20FA">
      <w:pPr>
        <w:spacing w:before="120"/>
        <w:rPr>
          <w:sz w:val="28"/>
          <w:szCs w:val="28"/>
        </w:rPr>
      </w:pPr>
      <w:r w:rsidRPr="00685843">
        <w:rPr>
          <w:sz w:val="28"/>
          <w:szCs w:val="28"/>
        </w:rPr>
        <w:t>Comité des transports intérieurs</w:t>
      </w:r>
    </w:p>
    <w:p w14:paraId="3BCC3DEA" w14:textId="77777777" w:rsidR="007D63AB" w:rsidRPr="005B0D23" w:rsidRDefault="007D63AB" w:rsidP="007D63AB">
      <w:pPr>
        <w:spacing w:before="120"/>
        <w:rPr>
          <w:b/>
          <w:sz w:val="24"/>
          <w:szCs w:val="24"/>
        </w:rPr>
      </w:pPr>
      <w:r w:rsidRPr="005B0D23">
        <w:rPr>
          <w:b/>
          <w:sz w:val="24"/>
          <w:szCs w:val="24"/>
        </w:rPr>
        <w:t>Forum mondial de l’harmonisation</w:t>
      </w:r>
      <w:r w:rsidRPr="005B0D23">
        <w:rPr>
          <w:b/>
          <w:sz w:val="24"/>
          <w:szCs w:val="24"/>
        </w:rPr>
        <w:br/>
        <w:t>des Règlements concernant les véhicules</w:t>
      </w:r>
    </w:p>
    <w:p w14:paraId="25701E90" w14:textId="77777777" w:rsidR="007D63AB" w:rsidRPr="0042206A" w:rsidRDefault="007D63AB" w:rsidP="007D63AB">
      <w:pPr>
        <w:tabs>
          <w:tab w:val="center" w:pos="4819"/>
        </w:tabs>
        <w:spacing w:before="120"/>
        <w:rPr>
          <w:b/>
        </w:rPr>
      </w:pPr>
      <w:r w:rsidRPr="0042206A">
        <w:rPr>
          <w:b/>
        </w:rPr>
        <w:t>176</w:t>
      </w:r>
      <w:r w:rsidRPr="0042206A">
        <w:rPr>
          <w:b/>
          <w:vertAlign w:val="superscript"/>
        </w:rPr>
        <w:t>e</w:t>
      </w:r>
      <w:r w:rsidRPr="0042206A">
        <w:rPr>
          <w:b/>
        </w:rPr>
        <w:t xml:space="preserve"> session</w:t>
      </w:r>
    </w:p>
    <w:p w14:paraId="59514B02" w14:textId="77777777" w:rsidR="007D63AB" w:rsidRPr="0042206A" w:rsidRDefault="007D63AB" w:rsidP="007D63AB">
      <w:pPr>
        <w:spacing w:line="240" w:lineRule="auto"/>
      </w:pPr>
      <w:r w:rsidRPr="0042206A">
        <w:t>Genève, 13-16 novembre 2018</w:t>
      </w:r>
    </w:p>
    <w:p w14:paraId="1EB77D9F" w14:textId="77777777" w:rsidR="007D63AB" w:rsidRPr="0042206A" w:rsidRDefault="007D63AB" w:rsidP="007D63AB">
      <w:pPr>
        <w:spacing w:line="240" w:lineRule="auto"/>
      </w:pPr>
      <w:r w:rsidRPr="0042206A">
        <w:t>Point 4.6.28 de l</w:t>
      </w:r>
      <w:r>
        <w:t>’</w:t>
      </w:r>
      <w:r w:rsidRPr="0042206A">
        <w:t>ordre du jour provisoire</w:t>
      </w:r>
    </w:p>
    <w:p w14:paraId="005AF3D7" w14:textId="77777777" w:rsidR="007D63AB" w:rsidRPr="0042206A" w:rsidRDefault="007D63AB" w:rsidP="007D63AB">
      <w:pPr>
        <w:spacing w:line="240" w:lineRule="auto"/>
      </w:pPr>
      <w:r w:rsidRPr="0042206A">
        <w:rPr>
          <w:b/>
          <w:bCs/>
        </w:rPr>
        <w:t>Accord de 1958 :</w:t>
      </w:r>
      <w:r w:rsidRPr="0042206A">
        <w:rPr>
          <w:b/>
          <w:bCs/>
        </w:rPr>
        <w:br/>
        <w:t>Examen de projets d</w:t>
      </w:r>
      <w:r>
        <w:rPr>
          <w:b/>
          <w:bCs/>
        </w:rPr>
        <w:t>’</w:t>
      </w:r>
      <w:r w:rsidRPr="0042206A">
        <w:rPr>
          <w:b/>
          <w:bCs/>
        </w:rPr>
        <w:t>amendements à des Règlements ONU</w:t>
      </w:r>
      <w:r w:rsidRPr="0042206A">
        <w:rPr>
          <w:b/>
          <w:bCs/>
        </w:rPr>
        <w:br/>
        <w:t>existants, soumis par le GRE</w:t>
      </w:r>
      <w:r w:rsidRPr="0042206A">
        <w:rPr>
          <w:b/>
        </w:rPr>
        <w:t xml:space="preserve"> </w:t>
      </w:r>
    </w:p>
    <w:p w14:paraId="3C491FA0" w14:textId="77777777" w:rsidR="007D63AB" w:rsidRPr="0042206A" w:rsidRDefault="007D63AB" w:rsidP="007D63AB">
      <w:pPr>
        <w:pStyle w:val="HChG"/>
      </w:pPr>
      <w:r w:rsidRPr="0042206A">
        <w:tab/>
      </w:r>
      <w:r w:rsidRPr="0042206A">
        <w:tab/>
        <w:t>Proposition de complément 1 à la série 01 d</w:t>
      </w:r>
      <w:r>
        <w:t>’</w:t>
      </w:r>
      <w:r w:rsidRPr="0042206A">
        <w:t xml:space="preserve">amendements </w:t>
      </w:r>
      <w:r>
        <w:br/>
      </w:r>
      <w:r w:rsidRPr="0042206A">
        <w:t>au Règlement ONU n</w:t>
      </w:r>
      <w:r w:rsidRPr="0042206A">
        <w:rPr>
          <w:vertAlign w:val="superscript"/>
        </w:rPr>
        <w:t>o</w:t>
      </w:r>
      <w:r w:rsidRPr="0042206A">
        <w:t> 86 (Installation des dispositifs d</w:t>
      </w:r>
      <w:r>
        <w:t>’</w:t>
      </w:r>
      <w:r w:rsidRPr="0042206A">
        <w:t xml:space="preserve">éclairage et de signalisation lumineuse </w:t>
      </w:r>
      <w:r w:rsidR="005B0D23">
        <w:br/>
      </w:r>
      <w:r w:rsidRPr="0042206A">
        <w:t>sur les véhicules agricoles)</w:t>
      </w:r>
    </w:p>
    <w:p w14:paraId="5C4F1085" w14:textId="77777777" w:rsidR="007D63AB" w:rsidRPr="0042206A" w:rsidRDefault="007D63AB" w:rsidP="007D63AB">
      <w:pPr>
        <w:pStyle w:val="H1G"/>
      </w:pPr>
      <w:r>
        <w:tab/>
      </w:r>
      <w:r>
        <w:tab/>
      </w:r>
      <w:r w:rsidRPr="0042206A">
        <w:t>Communication du Groupe de travail de l</w:t>
      </w:r>
      <w:r>
        <w:t>’</w:t>
      </w:r>
      <w:r w:rsidRPr="0042206A">
        <w:t xml:space="preserve">éclairage </w:t>
      </w:r>
      <w:r w:rsidRPr="0042206A">
        <w:br/>
        <w:t>et de la signalisation lumineuse</w:t>
      </w:r>
      <w:r w:rsidRPr="007D63AB">
        <w:rPr>
          <w:rStyle w:val="FootnoteReference"/>
          <w:b w:val="0"/>
          <w:sz w:val="20"/>
          <w:vertAlign w:val="baseline"/>
        </w:rPr>
        <w:footnoteReference w:customMarkFollows="1" w:id="2"/>
        <w:t>*</w:t>
      </w:r>
    </w:p>
    <w:p w14:paraId="6039ACE9" w14:textId="77777777" w:rsidR="007D63AB" w:rsidRPr="0042206A" w:rsidRDefault="007D63AB" w:rsidP="005B0D23">
      <w:pPr>
        <w:pStyle w:val="H23G"/>
      </w:pPr>
      <w:r w:rsidRPr="0042206A">
        <w:tab/>
      </w:r>
      <w:r w:rsidRPr="0042206A">
        <w:tab/>
        <w:t>Révision 1</w:t>
      </w:r>
    </w:p>
    <w:p w14:paraId="1FAB4462" w14:textId="77777777" w:rsidR="007D63AB" w:rsidRPr="0042206A" w:rsidRDefault="005B0D23" w:rsidP="005B0D23">
      <w:pPr>
        <w:pStyle w:val="SingleTxtG"/>
      </w:pPr>
      <w:r>
        <w:tab/>
      </w:r>
      <w:r w:rsidR="007D63AB" w:rsidRPr="007D63AB">
        <w:t>Le texte ci-après, adopté par le Groupe de travail de l’éclairage et de la signalisation lumineuse (GRE) à sa soixante-dix-neuvième session (ECE/TRANS/WP.29/GRE/79, par.</w:t>
      </w:r>
      <w:r w:rsidR="007D63AB">
        <w:t> </w:t>
      </w:r>
      <w:r w:rsidR="007D63AB" w:rsidRPr="007D63AB">
        <w:t>9), est fondé sur les documents ECE/TRANS/WP.29/GRE/2018/9 et ECE/TRANS/WP.29/</w:t>
      </w:r>
      <w:r w:rsidR="007D63AB" w:rsidRPr="0042206A">
        <w:t xml:space="preserve">GRE/2018/12 et sur les annexes III et VII du rapport. </w:t>
      </w:r>
      <w:r w:rsidR="007D63AB">
        <w:t>Il concerne les</w:t>
      </w:r>
      <w:r w:rsidR="007D63AB" w:rsidRPr="0042206A">
        <w:t xml:space="preserve"> trois nouveaux Règlements ONU simplifiés</w:t>
      </w:r>
      <w:r w:rsidR="007D63AB" w:rsidRPr="00DE4E55">
        <w:t>, qui portent respectivement sur les dispositifs de signalisation lumineuse, les dispositifs d</w:t>
      </w:r>
      <w:r w:rsidR="007D63AB">
        <w:t>’</w:t>
      </w:r>
      <w:r w:rsidR="007D63AB" w:rsidRPr="00DE4E55">
        <w:t xml:space="preserve">éclairage de la route et les dispositifs </w:t>
      </w:r>
      <w:proofErr w:type="spellStart"/>
      <w:r w:rsidR="007D63AB" w:rsidRPr="00DE4E55">
        <w:t>rétroréfléchissants</w:t>
      </w:r>
      <w:proofErr w:type="spellEnd"/>
      <w:r w:rsidR="007D63AB" w:rsidRPr="00DE4E55">
        <w:t xml:space="preserve">, </w:t>
      </w:r>
      <w:r w:rsidR="007D63AB" w:rsidRPr="00DE4E55">
        <w:rPr>
          <w:lang w:val="fr-FR"/>
        </w:rPr>
        <w:t>provisoirement désignés par les sigles [LSD]</w:t>
      </w:r>
      <w:r w:rsidR="007D63AB" w:rsidRPr="00DE4E55">
        <w:t xml:space="preserve">, </w:t>
      </w:r>
      <w:r w:rsidR="007D63AB" w:rsidRPr="00DE4E55">
        <w:rPr>
          <w:lang w:val="fr-FR"/>
        </w:rPr>
        <w:t>[RID] et [RRD]</w:t>
      </w:r>
      <w:r w:rsidR="007D63AB" w:rsidRPr="00DE4E55">
        <w:t xml:space="preserve"> (voir les documents ECE/TRANS/WP.29/2018/157, ECE/TRANS/WP.29/2018/158 et ECE/TRANS/WP.29/2018/159).</w:t>
      </w:r>
      <w:r w:rsidR="007D63AB">
        <w:t xml:space="preserve"> </w:t>
      </w:r>
      <w:r w:rsidR="007D63AB" w:rsidRPr="0042206A">
        <w:t>Il est soumis au Forum mondial de l</w:t>
      </w:r>
      <w:r w:rsidR="007D63AB">
        <w:t>’</w:t>
      </w:r>
      <w:r w:rsidR="007D63AB" w:rsidRPr="0042206A">
        <w:t>harmonisation des Règlements concernant les véhicules (WP.29) et au Comité d</w:t>
      </w:r>
      <w:r w:rsidR="007D63AB">
        <w:t>’</w:t>
      </w:r>
      <w:r w:rsidR="007D63AB" w:rsidRPr="0042206A">
        <w:t>administration (AC.1) pour examen à leurs sessions de novembre 2018.</w:t>
      </w:r>
      <w:bookmarkStart w:id="1" w:name="_Toc354410587"/>
    </w:p>
    <w:p w14:paraId="086B1FFF" w14:textId="77777777" w:rsidR="007D63AB" w:rsidRPr="0042206A" w:rsidRDefault="007D63AB" w:rsidP="005B0D23">
      <w:pPr>
        <w:pStyle w:val="HChG"/>
      </w:pPr>
      <w:r w:rsidRPr="0042206A">
        <w:br w:type="page"/>
      </w:r>
      <w:r w:rsidRPr="0042206A">
        <w:lastRenderedPageBreak/>
        <w:tab/>
      </w:r>
      <w:bookmarkStart w:id="2" w:name="_Toc473483449"/>
      <w:bookmarkEnd w:id="1"/>
      <w:r w:rsidRPr="0042206A">
        <w:tab/>
        <w:t>Complément 1 à la série 01 d</w:t>
      </w:r>
      <w:r>
        <w:t>’</w:t>
      </w:r>
      <w:r w:rsidRPr="0042206A">
        <w:t xml:space="preserve">amendements au Règlement ONU </w:t>
      </w:r>
      <w:r w:rsidRPr="0042206A">
        <w:rPr>
          <w:rFonts w:eastAsia="MS Mincho"/>
        </w:rPr>
        <w:t>n</w:t>
      </w:r>
      <w:r w:rsidRPr="0042206A">
        <w:rPr>
          <w:rFonts w:eastAsia="MS Mincho"/>
          <w:vertAlign w:val="superscript"/>
        </w:rPr>
        <w:t>o</w:t>
      </w:r>
      <w:r w:rsidRPr="0042206A">
        <w:t> 86 (Installation des dispositifs d</w:t>
      </w:r>
      <w:r>
        <w:t>’</w:t>
      </w:r>
      <w:r w:rsidRPr="0042206A">
        <w:t xml:space="preserve">éclairage </w:t>
      </w:r>
      <w:r w:rsidR="005B0D23">
        <w:br/>
      </w:r>
      <w:r w:rsidRPr="0042206A">
        <w:t>et de signalisation lumineuse</w:t>
      </w:r>
      <w:r>
        <w:t xml:space="preserve"> </w:t>
      </w:r>
      <w:r w:rsidRPr="00DE4E55">
        <w:t>sur les véhicules agricoles</w:t>
      </w:r>
      <w:r w:rsidRPr="0042206A">
        <w:t xml:space="preserve">) </w:t>
      </w:r>
    </w:p>
    <w:bookmarkEnd w:id="2"/>
    <w:p w14:paraId="10B73C8D" w14:textId="77777777" w:rsidR="007D63AB" w:rsidRPr="0042206A" w:rsidRDefault="007D63AB" w:rsidP="007D63AB">
      <w:pPr>
        <w:pStyle w:val="SingleTxtG"/>
      </w:pPr>
      <w:r w:rsidRPr="007D63AB">
        <w:rPr>
          <w:i/>
        </w:rPr>
        <w:t>Paragraphe 2</w:t>
      </w:r>
      <w:r w:rsidRPr="0042206A">
        <w:t>, lire :</w:t>
      </w:r>
    </w:p>
    <w:p w14:paraId="609AA890" w14:textId="77777777" w:rsidR="007D63AB" w:rsidRPr="0042206A" w:rsidRDefault="007D63AB" w:rsidP="005B0D23">
      <w:pPr>
        <w:pStyle w:val="SingleTxtG"/>
        <w:ind w:left="2268" w:hanging="1134"/>
        <w:rPr>
          <w:lang w:eastAsia="fr-FR"/>
        </w:rPr>
      </w:pPr>
      <w:bookmarkStart w:id="3" w:name="_Toc418079222"/>
      <w:r>
        <w:t>« </w:t>
      </w:r>
      <w:r w:rsidRPr="005B0D23">
        <w:rPr>
          <w:b/>
          <w:sz w:val="28"/>
          <w:szCs w:val="28"/>
          <w:lang w:eastAsia="fr-FR"/>
        </w:rPr>
        <w:t>2.</w:t>
      </w:r>
      <w:r w:rsidRPr="005B0D23">
        <w:rPr>
          <w:b/>
          <w:sz w:val="28"/>
          <w:szCs w:val="28"/>
          <w:lang w:eastAsia="fr-FR"/>
        </w:rPr>
        <w:tab/>
      </w:r>
      <w:bookmarkEnd w:id="3"/>
      <w:r w:rsidRPr="005B0D23">
        <w:rPr>
          <w:b/>
          <w:sz w:val="28"/>
          <w:szCs w:val="28"/>
          <w:lang w:eastAsia="fr-FR"/>
        </w:rPr>
        <w:t>Définitions</w:t>
      </w:r>
    </w:p>
    <w:p w14:paraId="2841971F" w14:textId="77777777" w:rsidR="007D63AB" w:rsidRPr="0042206A" w:rsidRDefault="007D63AB" w:rsidP="007D63AB">
      <w:pPr>
        <w:pStyle w:val="para"/>
        <w:ind w:firstLine="0"/>
        <w:rPr>
          <w:lang w:val="fr-CH"/>
        </w:rPr>
      </w:pPr>
      <w:r w:rsidRPr="0042206A">
        <w:rPr>
          <w:lang w:val="fr-CH"/>
        </w:rPr>
        <w:t>Au sens du présent Règlement, étant entendu que, sauf disposition contraire énoncée dans le présent Règlement, les définitions qui figurent dans la dernière série d</w:t>
      </w:r>
      <w:r>
        <w:rPr>
          <w:lang w:val="fr-CH"/>
        </w:rPr>
        <w:t>’</w:t>
      </w:r>
      <w:r w:rsidRPr="0042206A">
        <w:rPr>
          <w:lang w:val="fr-CH"/>
        </w:rPr>
        <w:t>amendements au Règlement n</w:t>
      </w:r>
      <w:r w:rsidRPr="0042206A">
        <w:rPr>
          <w:vertAlign w:val="superscript"/>
          <w:lang w:val="fr-CH"/>
        </w:rPr>
        <w:t>o</w:t>
      </w:r>
      <w:r w:rsidRPr="0042206A">
        <w:rPr>
          <w:lang w:val="fr-CH"/>
        </w:rPr>
        <w:t> 48 en vigueur au moment de la demande d</w:t>
      </w:r>
      <w:r>
        <w:rPr>
          <w:lang w:val="fr-CH"/>
        </w:rPr>
        <w:t>’</w:t>
      </w:r>
      <w:r w:rsidRPr="0042206A">
        <w:rPr>
          <w:lang w:val="fr-CH"/>
        </w:rPr>
        <w:t>homologation de type s</w:t>
      </w:r>
      <w:r>
        <w:rPr>
          <w:lang w:val="fr-CH"/>
        </w:rPr>
        <w:t>’</w:t>
      </w:r>
      <w:r w:rsidRPr="0042206A">
        <w:rPr>
          <w:lang w:val="fr-CH"/>
        </w:rPr>
        <w:t>appliquent, on entend par :</w:t>
      </w:r>
    </w:p>
    <w:p w14:paraId="774F4EEF" w14:textId="77777777" w:rsidR="007D63AB" w:rsidRPr="0042206A" w:rsidRDefault="007D63AB" w:rsidP="007D63AB">
      <w:pPr>
        <w:pStyle w:val="para"/>
        <w:rPr>
          <w:lang w:val="fr-CH"/>
        </w:rPr>
      </w:pPr>
      <w:r w:rsidRPr="0042206A">
        <w:rPr>
          <w:lang w:val="fr-CH"/>
        </w:rPr>
        <w:t>2.1</w:t>
      </w:r>
      <w:r w:rsidRPr="0042206A">
        <w:rPr>
          <w:lang w:val="fr-CH"/>
        </w:rPr>
        <w:tab/>
      </w:r>
      <w:r w:rsidRPr="00F628C6">
        <w:rPr>
          <w:lang w:val="fr-CH"/>
        </w:rPr>
        <w:t>“</w:t>
      </w:r>
      <w:r w:rsidRPr="0042206A">
        <w:rPr>
          <w:i/>
          <w:lang w:val="fr-CH"/>
        </w:rPr>
        <w:t>Type de véhicule en ce qui concerne l</w:t>
      </w:r>
      <w:r>
        <w:rPr>
          <w:i/>
          <w:lang w:val="fr-CH"/>
        </w:rPr>
        <w:t>’</w:t>
      </w:r>
      <w:r w:rsidRPr="0042206A">
        <w:rPr>
          <w:i/>
          <w:lang w:val="fr-CH"/>
        </w:rPr>
        <w:t>installation des dispositifs d</w:t>
      </w:r>
      <w:r>
        <w:rPr>
          <w:i/>
          <w:lang w:val="fr-CH"/>
        </w:rPr>
        <w:t>’</w:t>
      </w:r>
      <w:r w:rsidRPr="0042206A">
        <w:rPr>
          <w:i/>
          <w:lang w:val="fr-CH"/>
        </w:rPr>
        <w:t>éclairage et de signalisation lumineuse</w:t>
      </w:r>
      <w:r w:rsidRPr="00F628C6">
        <w:rPr>
          <w:lang w:val="fr-CH"/>
        </w:rPr>
        <w:t>”</w:t>
      </w:r>
      <w:r w:rsidRPr="0042206A">
        <w:rPr>
          <w:lang w:val="fr-CH"/>
        </w:rPr>
        <w:t>, des véhicules ne différant pas entre eux quant à des aspects essentiels tels que :</w:t>
      </w:r>
    </w:p>
    <w:p w14:paraId="38941C63" w14:textId="77777777" w:rsidR="007D63AB" w:rsidRPr="0042206A" w:rsidRDefault="007D63AB" w:rsidP="007D63AB">
      <w:pPr>
        <w:pStyle w:val="para"/>
        <w:rPr>
          <w:lang w:val="fr-CH"/>
        </w:rPr>
      </w:pPr>
      <w:r w:rsidRPr="0042206A">
        <w:rPr>
          <w:lang w:val="fr-CH"/>
        </w:rPr>
        <w:t>2.1.1</w:t>
      </w:r>
      <w:r w:rsidRPr="0042206A">
        <w:rPr>
          <w:lang w:val="fr-CH"/>
        </w:rPr>
        <w:tab/>
        <w:t>Les dimensions et la forme extérieure du véhicule ;</w:t>
      </w:r>
    </w:p>
    <w:p w14:paraId="2511DBA8" w14:textId="77777777" w:rsidR="007D63AB" w:rsidRPr="0042206A" w:rsidRDefault="007D63AB" w:rsidP="007D63AB">
      <w:pPr>
        <w:pStyle w:val="para"/>
        <w:rPr>
          <w:lang w:val="fr-CH"/>
        </w:rPr>
      </w:pPr>
      <w:r w:rsidRPr="0042206A">
        <w:rPr>
          <w:lang w:val="fr-CH"/>
        </w:rPr>
        <w:t>2.1.2</w:t>
      </w:r>
      <w:r w:rsidRPr="0042206A">
        <w:rPr>
          <w:lang w:val="fr-CH"/>
        </w:rPr>
        <w:tab/>
        <w:t>Le nombre et l</w:t>
      </w:r>
      <w:r>
        <w:rPr>
          <w:lang w:val="fr-CH"/>
        </w:rPr>
        <w:t>’</w:t>
      </w:r>
      <w:r w:rsidRPr="0042206A">
        <w:rPr>
          <w:lang w:val="fr-CH"/>
        </w:rPr>
        <w:t>emplacement des dispositifs.</w:t>
      </w:r>
    </w:p>
    <w:p w14:paraId="39247FC4" w14:textId="77777777" w:rsidR="007D63AB" w:rsidRPr="0042206A" w:rsidRDefault="007D63AB" w:rsidP="007D63AB">
      <w:pPr>
        <w:pStyle w:val="para"/>
        <w:rPr>
          <w:lang w:val="fr-CH"/>
        </w:rPr>
      </w:pPr>
      <w:r w:rsidRPr="0042206A">
        <w:rPr>
          <w:lang w:val="fr-CH"/>
        </w:rPr>
        <w:t>2.1.3</w:t>
      </w:r>
      <w:r w:rsidRPr="0042206A">
        <w:rPr>
          <w:lang w:val="fr-CH"/>
        </w:rPr>
        <w:tab/>
        <w:t>Ne sont pas à cet égard considérés comme véhicules d</w:t>
      </w:r>
      <w:r>
        <w:rPr>
          <w:lang w:val="fr-CH"/>
        </w:rPr>
        <w:t>’</w:t>
      </w:r>
      <w:r w:rsidRPr="0042206A">
        <w:rPr>
          <w:lang w:val="fr-CH"/>
        </w:rPr>
        <w:t>un type différent :</w:t>
      </w:r>
    </w:p>
    <w:p w14:paraId="484663D6" w14:textId="77777777" w:rsidR="007D63AB" w:rsidRPr="0042206A" w:rsidRDefault="007D63AB" w:rsidP="007D63AB">
      <w:pPr>
        <w:pStyle w:val="para"/>
        <w:ind w:firstLine="0"/>
        <w:rPr>
          <w:lang w:val="fr-CH"/>
        </w:rPr>
      </w:pPr>
      <w:r w:rsidRPr="0042206A">
        <w:rPr>
          <w:lang w:val="fr-CH"/>
        </w:rPr>
        <w:t>Les véhicules qui diffèrent au sens des paragraphes 2.1.1 et 2.1.2 ci-dessus, mais sans qu</w:t>
      </w:r>
      <w:r>
        <w:rPr>
          <w:lang w:val="fr-CH"/>
        </w:rPr>
        <w:t>’</w:t>
      </w:r>
      <w:r w:rsidRPr="0042206A">
        <w:rPr>
          <w:lang w:val="fr-CH"/>
        </w:rPr>
        <w:t>il y ait pour autant de modification du type, du nombre, de l</w:t>
      </w:r>
      <w:r>
        <w:rPr>
          <w:lang w:val="fr-CH"/>
        </w:rPr>
        <w:t>’</w:t>
      </w:r>
      <w:r w:rsidRPr="0042206A">
        <w:rPr>
          <w:lang w:val="fr-CH"/>
        </w:rPr>
        <w:t>emplacement et de la visibilité géométrique des feux prescrits pour le type de véhicule considéré ;</w:t>
      </w:r>
    </w:p>
    <w:p w14:paraId="4F70D638" w14:textId="77777777" w:rsidR="007D63AB" w:rsidRPr="0042206A" w:rsidRDefault="007D63AB" w:rsidP="007D63AB">
      <w:pPr>
        <w:pStyle w:val="para"/>
        <w:ind w:firstLine="0"/>
        <w:rPr>
          <w:lang w:val="fr-CH"/>
        </w:rPr>
      </w:pPr>
      <w:r w:rsidRPr="0042206A">
        <w:rPr>
          <w:lang w:val="fr-CH"/>
        </w:rPr>
        <w:t>Les véhicules sur lesquels des feux facultatifs sont montés ou sont omis ;</w:t>
      </w:r>
    </w:p>
    <w:p w14:paraId="36D6F524" w14:textId="77777777" w:rsidR="007D63AB" w:rsidRPr="0042206A" w:rsidRDefault="007D63AB" w:rsidP="007D63AB">
      <w:pPr>
        <w:pStyle w:val="para"/>
        <w:ind w:firstLine="0"/>
        <w:rPr>
          <w:lang w:val="fr-CH"/>
        </w:rPr>
      </w:pPr>
      <w:r w:rsidRPr="0042206A">
        <w:rPr>
          <w:lang w:val="fr-CH"/>
        </w:rPr>
        <w:t>Les véhicules équipés de feux dont la position varie selon le sens de circulation dans le pays d</w:t>
      </w:r>
      <w:r>
        <w:rPr>
          <w:lang w:val="fr-CH"/>
        </w:rPr>
        <w:t>’</w:t>
      </w:r>
      <w:r w:rsidRPr="0042206A">
        <w:rPr>
          <w:lang w:val="fr-CH"/>
        </w:rPr>
        <w:t>immatriculation.</w:t>
      </w:r>
    </w:p>
    <w:p w14:paraId="6F8734E6" w14:textId="77777777" w:rsidR="007D63AB" w:rsidRPr="0042206A" w:rsidRDefault="007D63AB" w:rsidP="007D63AB">
      <w:pPr>
        <w:pStyle w:val="para"/>
        <w:rPr>
          <w:lang w:val="fr-CH"/>
        </w:rPr>
      </w:pPr>
      <w:r w:rsidRPr="0042206A">
        <w:rPr>
          <w:lang w:val="fr-CH"/>
        </w:rPr>
        <w:t>2.3</w:t>
      </w:r>
      <w:r w:rsidRPr="0042206A">
        <w:rPr>
          <w:lang w:val="fr-CH"/>
        </w:rPr>
        <w:tab/>
        <w:t>“</w:t>
      </w:r>
      <w:r w:rsidRPr="0042206A">
        <w:rPr>
          <w:i/>
          <w:lang w:val="fr-CH"/>
        </w:rPr>
        <w:t>Feu</w:t>
      </w:r>
      <w:r w:rsidRPr="0042206A">
        <w:rPr>
          <w:lang w:val="fr-CH"/>
        </w:rPr>
        <w:t>”, un dispositif destiné à éclairer la route ou à émettre un signal lumineux. Les dispositifs d</w:t>
      </w:r>
      <w:r>
        <w:rPr>
          <w:lang w:val="fr-CH"/>
        </w:rPr>
        <w:t>’</w:t>
      </w:r>
      <w:r w:rsidRPr="0042206A">
        <w:rPr>
          <w:lang w:val="fr-CH"/>
        </w:rPr>
        <w:t>éclairage de la plaque d</w:t>
      </w:r>
      <w:r>
        <w:rPr>
          <w:lang w:val="fr-CH"/>
        </w:rPr>
        <w:t>’</w:t>
      </w:r>
      <w:r w:rsidRPr="0042206A">
        <w:rPr>
          <w:lang w:val="fr-CH"/>
        </w:rPr>
        <w:t>immatriculation arrière et les catadioptres sont également considérés comme des feux.</w:t>
      </w:r>
    </w:p>
    <w:p w14:paraId="31055F0E" w14:textId="77777777" w:rsidR="007D63AB" w:rsidRPr="0042206A" w:rsidRDefault="007D63AB" w:rsidP="007D63AB">
      <w:pPr>
        <w:pStyle w:val="para"/>
        <w:rPr>
          <w:lang w:val="fr-CH"/>
        </w:rPr>
      </w:pPr>
      <w:r w:rsidRPr="0042206A">
        <w:rPr>
          <w:lang w:val="fr-CH"/>
        </w:rPr>
        <w:t>2.3.1</w:t>
      </w:r>
      <w:r w:rsidRPr="0042206A">
        <w:rPr>
          <w:lang w:val="fr-CH"/>
        </w:rPr>
        <w:tab/>
        <w:t>“</w:t>
      </w:r>
      <w:r w:rsidRPr="0042206A">
        <w:rPr>
          <w:i/>
          <w:lang w:val="fr-CH"/>
        </w:rPr>
        <w:t>Feux équivalents</w:t>
      </w:r>
      <w:r w:rsidRPr="0042206A">
        <w:rPr>
          <w:lang w:val="fr-CH"/>
        </w:rPr>
        <w:t>”, des feux ayant la même fonction et autorisés dans le pays dans lequel le véhicule est immatriculé ; ces feux peuvent avoir des caractéristiques différentes de celles des feux équipant le véhicule lors de son homologation à condition qu</w:t>
      </w:r>
      <w:r>
        <w:rPr>
          <w:lang w:val="fr-CH"/>
        </w:rPr>
        <w:t>’</w:t>
      </w:r>
      <w:r w:rsidRPr="0042206A">
        <w:rPr>
          <w:lang w:val="fr-CH"/>
        </w:rPr>
        <w:t>ils satisfassent aux dispositions formulées dans le présent Règlement.</w:t>
      </w:r>
    </w:p>
    <w:p w14:paraId="361C6D89" w14:textId="77777777" w:rsidR="007D63AB" w:rsidRPr="0042206A" w:rsidRDefault="007D63AB" w:rsidP="007D63AB">
      <w:pPr>
        <w:pStyle w:val="para"/>
        <w:rPr>
          <w:lang w:val="fr-CH"/>
        </w:rPr>
      </w:pPr>
      <w:r w:rsidRPr="0042206A">
        <w:rPr>
          <w:lang w:val="fr-CH"/>
        </w:rPr>
        <w:t>2.3.2</w:t>
      </w:r>
      <w:r w:rsidRPr="0042206A">
        <w:rPr>
          <w:lang w:val="fr-CH"/>
        </w:rPr>
        <w:tab/>
        <w:t>“</w:t>
      </w:r>
      <w:r w:rsidRPr="0042206A">
        <w:rPr>
          <w:i/>
          <w:lang w:val="fr-CH"/>
        </w:rPr>
        <w:t>Feux indépendants</w:t>
      </w:r>
      <w:r w:rsidRPr="0042206A">
        <w:rPr>
          <w:lang w:val="fr-CH"/>
        </w:rPr>
        <w:t>”, des dispositifs ayant des surfaces apparentes distinctes dans la direction de l</w:t>
      </w:r>
      <w:r>
        <w:rPr>
          <w:lang w:val="fr-CH"/>
        </w:rPr>
        <w:t>’</w:t>
      </w:r>
      <w:r w:rsidRPr="0042206A">
        <w:rPr>
          <w:lang w:val="fr-CH"/>
        </w:rPr>
        <w:t>axe de référence, des sources lumineuses distinctes et des boîtiers distincts.</w:t>
      </w:r>
    </w:p>
    <w:p w14:paraId="7BA2E540" w14:textId="77777777" w:rsidR="007D63AB" w:rsidRPr="0042206A" w:rsidRDefault="007D63AB" w:rsidP="007D63AB">
      <w:pPr>
        <w:pStyle w:val="para"/>
        <w:rPr>
          <w:lang w:val="fr-CH"/>
        </w:rPr>
      </w:pPr>
      <w:r w:rsidRPr="0042206A">
        <w:rPr>
          <w:lang w:val="fr-CH"/>
        </w:rPr>
        <w:t>2.3.3</w:t>
      </w:r>
      <w:r w:rsidRPr="0042206A">
        <w:rPr>
          <w:lang w:val="fr-CH"/>
        </w:rPr>
        <w:tab/>
        <w:t>“</w:t>
      </w:r>
      <w:r w:rsidRPr="0042206A">
        <w:rPr>
          <w:i/>
          <w:lang w:val="fr-CH"/>
        </w:rPr>
        <w:t>Feux groupés</w:t>
      </w:r>
      <w:r w:rsidRPr="0042206A">
        <w:rPr>
          <w:lang w:val="fr-CH"/>
        </w:rPr>
        <w:t>”, des dispositifs ayant des lentilles et des sources lumineuses distinctes, mais un même boîtier.</w:t>
      </w:r>
    </w:p>
    <w:p w14:paraId="3341C934" w14:textId="77777777" w:rsidR="007D63AB" w:rsidRPr="0042206A" w:rsidRDefault="007D63AB" w:rsidP="007D63AB">
      <w:pPr>
        <w:pStyle w:val="para"/>
        <w:rPr>
          <w:lang w:val="fr-CH"/>
        </w:rPr>
      </w:pPr>
      <w:r w:rsidRPr="0042206A">
        <w:rPr>
          <w:lang w:val="fr-CH"/>
        </w:rPr>
        <w:t>2.3.4</w:t>
      </w:r>
      <w:r w:rsidRPr="0042206A">
        <w:rPr>
          <w:lang w:val="fr-CH"/>
        </w:rPr>
        <w:tab/>
        <w:t>“</w:t>
      </w:r>
      <w:r w:rsidRPr="0042206A">
        <w:rPr>
          <w:i/>
          <w:lang w:val="fr-CH"/>
        </w:rPr>
        <w:t>Feux combinés</w:t>
      </w:r>
      <w:r w:rsidRPr="0042206A">
        <w:rPr>
          <w:lang w:val="fr-CH"/>
        </w:rPr>
        <w:t>”, des dispositifs ayant des surfaces apparentes distinctes dans la direction de l</w:t>
      </w:r>
      <w:r>
        <w:rPr>
          <w:lang w:val="fr-CH"/>
        </w:rPr>
        <w:t>’</w:t>
      </w:r>
      <w:r w:rsidRPr="0042206A">
        <w:rPr>
          <w:lang w:val="fr-CH"/>
        </w:rPr>
        <w:t>axe de référence, mais une même source lumineuse et un même boîtier.</w:t>
      </w:r>
    </w:p>
    <w:p w14:paraId="7DD09A97" w14:textId="77777777" w:rsidR="007D63AB" w:rsidRPr="0042206A" w:rsidRDefault="007D63AB" w:rsidP="007D63AB">
      <w:pPr>
        <w:pStyle w:val="para"/>
        <w:rPr>
          <w:lang w:val="fr-CH"/>
        </w:rPr>
      </w:pPr>
      <w:r w:rsidRPr="0042206A">
        <w:rPr>
          <w:lang w:val="fr-CH"/>
        </w:rPr>
        <w:t>2.3.5</w:t>
      </w:r>
      <w:r w:rsidRPr="0042206A">
        <w:rPr>
          <w:lang w:val="fr-CH"/>
        </w:rPr>
        <w:tab/>
        <w:t>“</w:t>
      </w:r>
      <w:r w:rsidRPr="0042206A">
        <w:rPr>
          <w:i/>
          <w:lang w:val="fr-CH"/>
        </w:rPr>
        <w:t>Feux mutuellement incorporés</w:t>
      </w:r>
      <w:r w:rsidRPr="0042206A">
        <w:rPr>
          <w:lang w:val="fr-CH"/>
        </w:rPr>
        <w:t>”, des dispositifs ayant des sources lumineuses distinctes ou une source lumineuse unique fonctionnant dans des conditions différentes (différences optiques, mécaniques ou électriques, par exemple), des surfaces apparentes totalement ou partiellement communes dans la direction de l</w:t>
      </w:r>
      <w:r>
        <w:rPr>
          <w:lang w:val="fr-CH"/>
        </w:rPr>
        <w:t>’</w:t>
      </w:r>
      <w:r w:rsidRPr="0042206A">
        <w:rPr>
          <w:lang w:val="fr-CH"/>
        </w:rPr>
        <w:t>axe de référence et un même boîtier.</w:t>
      </w:r>
    </w:p>
    <w:p w14:paraId="46C796BB" w14:textId="77777777" w:rsidR="007D63AB" w:rsidRPr="0042206A" w:rsidRDefault="007D63AB" w:rsidP="007D63AB">
      <w:pPr>
        <w:pStyle w:val="para"/>
        <w:rPr>
          <w:lang w:val="fr-CH"/>
        </w:rPr>
      </w:pPr>
      <w:r w:rsidRPr="0042206A">
        <w:rPr>
          <w:lang w:val="fr-CH"/>
        </w:rPr>
        <w:t>2.3.6</w:t>
      </w:r>
      <w:r w:rsidRPr="0042206A">
        <w:rPr>
          <w:lang w:val="fr-CH"/>
        </w:rPr>
        <w:tab/>
        <w:t>“</w:t>
      </w:r>
      <w:r w:rsidRPr="0042206A">
        <w:rPr>
          <w:i/>
          <w:lang w:val="fr-CH"/>
        </w:rPr>
        <w:t>Feu d</w:t>
      </w:r>
      <w:r>
        <w:rPr>
          <w:i/>
          <w:lang w:val="fr-CH"/>
        </w:rPr>
        <w:t>’</w:t>
      </w:r>
      <w:r w:rsidRPr="0042206A">
        <w:rPr>
          <w:i/>
          <w:lang w:val="fr-CH"/>
        </w:rPr>
        <w:t>éclairage occultable</w:t>
      </w:r>
      <w:r w:rsidRPr="0042206A">
        <w:rPr>
          <w:lang w:val="fr-CH"/>
        </w:rPr>
        <w:t>”, un projecteur pouvant être dissimulé partiellement ou totalement lorsqu</w:t>
      </w:r>
      <w:r>
        <w:rPr>
          <w:lang w:val="fr-CH"/>
        </w:rPr>
        <w:t>’</w:t>
      </w:r>
      <w:r w:rsidRPr="0042206A">
        <w:rPr>
          <w:lang w:val="fr-CH"/>
        </w:rPr>
        <w:t>il n</w:t>
      </w:r>
      <w:r>
        <w:rPr>
          <w:lang w:val="fr-CH"/>
        </w:rPr>
        <w:t>’</w:t>
      </w:r>
      <w:r w:rsidRPr="0042206A">
        <w:rPr>
          <w:lang w:val="fr-CH"/>
        </w:rPr>
        <w:t>est pas utilisé. Ce résultat peut être obtenu soit par emploi d</w:t>
      </w:r>
      <w:r>
        <w:rPr>
          <w:lang w:val="fr-CH"/>
        </w:rPr>
        <w:t>’</w:t>
      </w:r>
      <w:r w:rsidRPr="0042206A">
        <w:rPr>
          <w:lang w:val="fr-CH"/>
        </w:rPr>
        <w:t>un couvercle mobile, soit par déplacement du feu, soit par tout autre moyen adéquat. On appelle plus particulièrement “feu escamotable” un feu occultable dont le déplacement lui permet de rentrer dans la carrosserie.</w:t>
      </w:r>
    </w:p>
    <w:p w14:paraId="71EE51C8" w14:textId="77777777" w:rsidR="007D63AB" w:rsidRPr="0042206A" w:rsidRDefault="007D63AB" w:rsidP="007D63AB">
      <w:pPr>
        <w:pStyle w:val="para"/>
        <w:rPr>
          <w:lang w:val="fr-CH"/>
        </w:rPr>
      </w:pPr>
      <w:r w:rsidRPr="0042206A">
        <w:rPr>
          <w:lang w:val="fr-CH"/>
        </w:rPr>
        <w:lastRenderedPageBreak/>
        <w:t>2.3.7</w:t>
      </w:r>
      <w:r w:rsidRPr="0042206A">
        <w:rPr>
          <w:lang w:val="fr-CH"/>
        </w:rPr>
        <w:tab/>
        <w:t>“</w:t>
      </w:r>
      <w:r w:rsidRPr="0042206A">
        <w:rPr>
          <w:i/>
          <w:lang w:val="fr-CH"/>
        </w:rPr>
        <w:t>Feux à position variable</w:t>
      </w:r>
      <w:r w:rsidRPr="0042206A">
        <w:rPr>
          <w:lang w:val="fr-CH"/>
        </w:rPr>
        <w:t>”, des feux montés sur le véhicule qui peuvent se déplacer par rapport à lui, sans pouvoir être détachés.</w:t>
      </w:r>
    </w:p>
    <w:p w14:paraId="5EC45B4B" w14:textId="77777777" w:rsidR="007D63AB" w:rsidRPr="0042206A" w:rsidRDefault="007D63AB" w:rsidP="007D63AB">
      <w:pPr>
        <w:pStyle w:val="para"/>
        <w:rPr>
          <w:lang w:val="fr-CH"/>
        </w:rPr>
      </w:pPr>
      <w:r w:rsidRPr="0042206A">
        <w:rPr>
          <w:lang w:val="fr-CH"/>
        </w:rPr>
        <w:t>2.3.8</w:t>
      </w:r>
      <w:r w:rsidRPr="0042206A">
        <w:rPr>
          <w:lang w:val="fr-CH"/>
        </w:rPr>
        <w:tab/>
        <w:t>“</w:t>
      </w:r>
      <w:r w:rsidRPr="0042206A">
        <w:rPr>
          <w:i/>
          <w:lang w:val="fr-CH"/>
        </w:rPr>
        <w:t>Feu de brouillard avant</w:t>
      </w:r>
      <w:r w:rsidRPr="0042206A">
        <w:rPr>
          <w:lang w:val="fr-CH"/>
        </w:rPr>
        <w:t>”, le feu servant à améliorer l</w:t>
      </w:r>
      <w:r>
        <w:rPr>
          <w:lang w:val="fr-CH"/>
        </w:rPr>
        <w:t>’</w:t>
      </w:r>
      <w:r w:rsidRPr="0042206A">
        <w:rPr>
          <w:lang w:val="fr-CH"/>
        </w:rPr>
        <w:t>éclairage de la route en cas de brouillard, de chute de neige, de très forte pluie ou de nuage de poussière.</w:t>
      </w:r>
    </w:p>
    <w:p w14:paraId="2DEF2CFB" w14:textId="77777777" w:rsidR="007D63AB" w:rsidRPr="0042206A" w:rsidRDefault="007D63AB" w:rsidP="007D63AB">
      <w:pPr>
        <w:pStyle w:val="para"/>
        <w:rPr>
          <w:lang w:val="fr-CH"/>
        </w:rPr>
      </w:pPr>
      <w:r w:rsidRPr="0042206A">
        <w:rPr>
          <w:lang w:val="fr-CH"/>
        </w:rPr>
        <w:t>2.3.9</w:t>
      </w:r>
      <w:r w:rsidRPr="0042206A">
        <w:rPr>
          <w:lang w:val="fr-CH"/>
        </w:rPr>
        <w:tab/>
        <w:t>“</w:t>
      </w:r>
      <w:r w:rsidRPr="0042206A">
        <w:rPr>
          <w:i/>
          <w:lang w:val="fr-CH"/>
        </w:rPr>
        <w:t>Feu indicateur de direction</w:t>
      </w:r>
      <w:r w:rsidRPr="0042206A">
        <w:rPr>
          <w:lang w:val="fr-CH"/>
        </w:rPr>
        <w:t>”, le feu servant à indiquer aux autres usagers de la route que le conducteur a l</w:t>
      </w:r>
      <w:r>
        <w:rPr>
          <w:lang w:val="fr-CH"/>
        </w:rPr>
        <w:t>’</w:t>
      </w:r>
      <w:r w:rsidRPr="0042206A">
        <w:rPr>
          <w:lang w:val="fr-CH"/>
        </w:rPr>
        <w:t>intention de changer de direction vers la droite ou vers la gauche.</w:t>
      </w:r>
    </w:p>
    <w:p w14:paraId="4B9D5FC4" w14:textId="77777777" w:rsidR="007D63AB" w:rsidRPr="0042206A" w:rsidRDefault="007D63AB" w:rsidP="007D63AB">
      <w:pPr>
        <w:pStyle w:val="para"/>
        <w:rPr>
          <w:lang w:val="fr-CH"/>
        </w:rPr>
      </w:pPr>
      <w:r w:rsidRPr="0042206A">
        <w:rPr>
          <w:lang w:val="fr-CH"/>
        </w:rPr>
        <w:t>2.3.10</w:t>
      </w:r>
      <w:r w:rsidRPr="0042206A">
        <w:rPr>
          <w:lang w:val="fr-CH"/>
        </w:rPr>
        <w:tab/>
        <w:t>“</w:t>
      </w:r>
      <w:r w:rsidRPr="0042206A">
        <w:rPr>
          <w:i/>
          <w:lang w:val="fr-CH"/>
        </w:rPr>
        <w:t>Feu de gabarit</w:t>
      </w:r>
      <w:r w:rsidRPr="0042206A">
        <w:rPr>
          <w:lang w:val="fr-CH"/>
        </w:rPr>
        <w:t>”, le feu installé à l</w:t>
      </w:r>
      <w:r>
        <w:rPr>
          <w:lang w:val="fr-CH"/>
        </w:rPr>
        <w:t>’</w:t>
      </w:r>
      <w:r w:rsidRPr="0042206A">
        <w:rPr>
          <w:lang w:val="fr-CH"/>
        </w:rPr>
        <w:t>extrémité extérieure aussi près que possible du point le plus haut du véhicule et destiné à bien signaler sa largeur hors tout. Ce type de feu a pour but de compléter sur certains véhicules les feux de position avant et arrière en attirant particulièrement l</w:t>
      </w:r>
      <w:r>
        <w:rPr>
          <w:lang w:val="fr-CH"/>
        </w:rPr>
        <w:t>’</w:t>
      </w:r>
      <w:r w:rsidRPr="0042206A">
        <w:rPr>
          <w:lang w:val="fr-CH"/>
        </w:rPr>
        <w:t>attention sur l</w:t>
      </w:r>
      <w:r>
        <w:rPr>
          <w:lang w:val="fr-CH"/>
        </w:rPr>
        <w:t>’</w:t>
      </w:r>
      <w:r w:rsidRPr="0042206A">
        <w:rPr>
          <w:lang w:val="fr-CH"/>
        </w:rPr>
        <w:t>encombrement du véhicule.</w:t>
      </w:r>
    </w:p>
    <w:p w14:paraId="6F6FC016" w14:textId="77777777" w:rsidR="007D63AB" w:rsidRPr="0042206A" w:rsidRDefault="007D63AB" w:rsidP="007D63AB">
      <w:pPr>
        <w:pStyle w:val="para"/>
        <w:rPr>
          <w:lang w:val="fr-CH"/>
        </w:rPr>
      </w:pPr>
      <w:r w:rsidRPr="0042206A">
        <w:rPr>
          <w:lang w:val="fr-CH"/>
        </w:rPr>
        <w:t>2.3.11</w:t>
      </w:r>
      <w:r w:rsidRPr="0042206A">
        <w:rPr>
          <w:lang w:val="fr-CH"/>
        </w:rPr>
        <w:tab/>
        <w:t>“</w:t>
      </w:r>
      <w:r w:rsidRPr="0042206A">
        <w:rPr>
          <w:i/>
          <w:lang w:val="fr-CH"/>
        </w:rPr>
        <w:t>Projecteur de travail</w:t>
      </w:r>
      <w:r w:rsidRPr="0042206A">
        <w:rPr>
          <w:lang w:val="fr-CH"/>
        </w:rPr>
        <w:t>”, un dispositif destiné à éclairer un lieu de travail ou une opération en cours.</w:t>
      </w:r>
    </w:p>
    <w:p w14:paraId="2D28FCB0" w14:textId="77777777" w:rsidR="007D63AB" w:rsidRPr="0042206A" w:rsidRDefault="007D63AB" w:rsidP="007D63AB">
      <w:pPr>
        <w:pStyle w:val="para"/>
        <w:rPr>
          <w:lang w:val="fr-CH"/>
        </w:rPr>
      </w:pPr>
      <w:r w:rsidRPr="0042206A">
        <w:rPr>
          <w:lang w:val="fr-CH"/>
        </w:rPr>
        <w:t>2.3.12</w:t>
      </w:r>
      <w:r w:rsidRPr="0042206A">
        <w:rPr>
          <w:lang w:val="fr-CH"/>
        </w:rPr>
        <w:tab/>
        <w:t>“</w:t>
      </w:r>
      <w:r w:rsidRPr="0042206A">
        <w:rPr>
          <w:i/>
          <w:lang w:val="fr-CH"/>
        </w:rPr>
        <w:t>Catadioptre</w:t>
      </w:r>
      <w:r w:rsidRPr="0042206A">
        <w:rPr>
          <w:lang w:val="fr-CH"/>
        </w:rPr>
        <w:t>”, un dispositif servant à indiquer la présence d</w:t>
      </w:r>
      <w:r>
        <w:rPr>
          <w:lang w:val="fr-CH"/>
        </w:rPr>
        <w:t>’</w:t>
      </w:r>
      <w:r w:rsidRPr="0042206A">
        <w:rPr>
          <w:lang w:val="fr-CH"/>
        </w:rPr>
        <w:t>un véhicule par réflexion de la lumière émanant d</w:t>
      </w:r>
      <w:r>
        <w:rPr>
          <w:lang w:val="fr-CH"/>
        </w:rPr>
        <w:t>’</w:t>
      </w:r>
      <w:r w:rsidRPr="0042206A">
        <w:rPr>
          <w:lang w:val="fr-CH"/>
        </w:rPr>
        <w:t>une source lumineuse indépendante de ce véhicule, pour un observateur placé près de ladite source. Au sens du présent Règlement, ne sont pas considérés comme catadioptres :</w:t>
      </w:r>
    </w:p>
    <w:p w14:paraId="1872A69C" w14:textId="77777777" w:rsidR="007D63AB" w:rsidRPr="0042206A" w:rsidRDefault="007D63AB" w:rsidP="007D63AB">
      <w:pPr>
        <w:pStyle w:val="para"/>
        <w:rPr>
          <w:lang w:val="fr-CH"/>
        </w:rPr>
      </w:pPr>
      <w:r w:rsidRPr="0042206A">
        <w:rPr>
          <w:lang w:val="fr-CH"/>
        </w:rPr>
        <w:t>2.3.12.1</w:t>
      </w:r>
      <w:r w:rsidRPr="0042206A">
        <w:rPr>
          <w:lang w:val="fr-CH"/>
        </w:rPr>
        <w:tab/>
        <w:t>Les plaques d</w:t>
      </w:r>
      <w:r>
        <w:rPr>
          <w:lang w:val="fr-CH"/>
        </w:rPr>
        <w:t>’</w:t>
      </w:r>
      <w:r w:rsidRPr="0042206A">
        <w:rPr>
          <w:lang w:val="fr-CH"/>
        </w:rPr>
        <w:t>immatriculation réfléchissantes ;</w:t>
      </w:r>
    </w:p>
    <w:p w14:paraId="016E6AC5" w14:textId="77777777" w:rsidR="007D63AB" w:rsidRPr="0042206A" w:rsidRDefault="007D63AB" w:rsidP="007D63AB">
      <w:pPr>
        <w:pStyle w:val="para"/>
        <w:rPr>
          <w:lang w:val="fr-CH"/>
        </w:rPr>
      </w:pPr>
      <w:r w:rsidRPr="0042206A">
        <w:rPr>
          <w:lang w:val="fr-CH"/>
        </w:rPr>
        <w:t>2.3.12.2</w:t>
      </w:r>
      <w:r w:rsidRPr="0042206A">
        <w:rPr>
          <w:lang w:val="fr-CH"/>
        </w:rPr>
        <w:tab/>
        <w:t>Les autres plaques et signaux réfléchissants imposés par une Partie contractante pour certaines catégories de véhicules ou certaines conditions d</w:t>
      </w:r>
      <w:r>
        <w:rPr>
          <w:lang w:val="fr-CH"/>
        </w:rPr>
        <w:t>’</w:t>
      </w:r>
      <w:r w:rsidRPr="0042206A">
        <w:rPr>
          <w:lang w:val="fr-CH"/>
        </w:rPr>
        <w:t>utilisation.</w:t>
      </w:r>
    </w:p>
    <w:p w14:paraId="0402AE9C" w14:textId="77777777" w:rsidR="007D63AB" w:rsidRPr="0042206A" w:rsidRDefault="007D63AB" w:rsidP="007D63AB">
      <w:pPr>
        <w:pStyle w:val="para"/>
        <w:rPr>
          <w:lang w:val="fr-CH"/>
        </w:rPr>
      </w:pPr>
      <w:r w:rsidRPr="0042206A">
        <w:rPr>
          <w:lang w:val="fr-CH"/>
        </w:rPr>
        <w:t>2.4</w:t>
      </w:r>
      <w:r w:rsidRPr="0042206A">
        <w:rPr>
          <w:lang w:val="fr-CH"/>
        </w:rPr>
        <w:tab/>
        <w:t>“</w:t>
      </w:r>
      <w:r w:rsidRPr="0042206A">
        <w:rPr>
          <w:i/>
          <w:lang w:val="fr-CH"/>
        </w:rPr>
        <w:t>Source lumineuse</w:t>
      </w:r>
      <w:r w:rsidRPr="0042206A">
        <w:rPr>
          <w:lang w:val="fr-CH"/>
        </w:rPr>
        <w:t>”, un ou plusieurs éléments émettant un rayonnement optique visible, qui peuvent être constitués d</w:t>
      </w:r>
      <w:r>
        <w:rPr>
          <w:lang w:val="fr-CH"/>
        </w:rPr>
        <w:t>’</w:t>
      </w:r>
      <w:r w:rsidRPr="0042206A">
        <w:rPr>
          <w:lang w:val="fr-CH"/>
        </w:rPr>
        <w:t>une ou de plusieurs enveloppe(s) transparente(s) et d</w:t>
      </w:r>
      <w:r>
        <w:rPr>
          <w:lang w:val="fr-CH"/>
        </w:rPr>
        <w:t>’</w:t>
      </w:r>
      <w:r w:rsidRPr="0042206A">
        <w:rPr>
          <w:lang w:val="fr-CH"/>
        </w:rPr>
        <w:t xml:space="preserve">un culot pour le montage mécanique et le raccordement électrique. </w:t>
      </w:r>
    </w:p>
    <w:p w14:paraId="75F13C22" w14:textId="77777777" w:rsidR="007D63AB" w:rsidRPr="0042206A" w:rsidRDefault="007D63AB" w:rsidP="007D63AB">
      <w:pPr>
        <w:pStyle w:val="para"/>
        <w:rPr>
          <w:lang w:val="fr-CH"/>
        </w:rPr>
      </w:pPr>
      <w:r w:rsidRPr="0042206A">
        <w:rPr>
          <w:lang w:val="fr-CH"/>
        </w:rPr>
        <w:tab/>
        <w:t>Une source lumineuse peut également être constituée par l</w:t>
      </w:r>
      <w:r>
        <w:rPr>
          <w:lang w:val="fr-CH"/>
        </w:rPr>
        <w:t>’</w:t>
      </w:r>
      <w:r w:rsidRPr="0042206A">
        <w:rPr>
          <w:lang w:val="fr-CH"/>
        </w:rPr>
        <w:t>extrémité d</w:t>
      </w:r>
      <w:r>
        <w:rPr>
          <w:lang w:val="fr-CH"/>
        </w:rPr>
        <w:t>’</w:t>
      </w:r>
      <w:r w:rsidRPr="0042206A">
        <w:rPr>
          <w:lang w:val="fr-CH"/>
        </w:rPr>
        <w:t>un guide de lumière faisant partie d</w:t>
      </w:r>
      <w:r>
        <w:rPr>
          <w:lang w:val="fr-CH"/>
        </w:rPr>
        <w:t>’</w:t>
      </w:r>
      <w:r w:rsidRPr="0042206A">
        <w:rPr>
          <w:lang w:val="fr-CH"/>
        </w:rPr>
        <w:t>un système d</w:t>
      </w:r>
      <w:r>
        <w:rPr>
          <w:lang w:val="fr-CH"/>
        </w:rPr>
        <w:t>’</w:t>
      </w:r>
      <w:r w:rsidRPr="0042206A">
        <w:rPr>
          <w:lang w:val="fr-CH"/>
        </w:rPr>
        <w:t>éclairage ou de signalisation lumineuse à fibres optiques non pourvu d</w:t>
      </w:r>
      <w:r>
        <w:rPr>
          <w:lang w:val="fr-CH"/>
        </w:rPr>
        <w:t>’</w:t>
      </w:r>
      <w:r w:rsidRPr="0042206A">
        <w:rPr>
          <w:lang w:val="fr-CH"/>
        </w:rPr>
        <w:t>une lentille extérieure intégrée.</w:t>
      </w:r>
    </w:p>
    <w:p w14:paraId="429CE928" w14:textId="77777777" w:rsidR="007D63AB" w:rsidRPr="0042206A" w:rsidRDefault="007D63AB" w:rsidP="007D63AB">
      <w:pPr>
        <w:pStyle w:val="para"/>
        <w:rPr>
          <w:lang w:val="fr-CH"/>
        </w:rPr>
      </w:pPr>
      <w:r w:rsidRPr="0042206A">
        <w:rPr>
          <w:lang w:val="fr-CH"/>
        </w:rPr>
        <w:t>2.5</w:t>
      </w:r>
      <w:r w:rsidRPr="0042206A">
        <w:rPr>
          <w:lang w:val="fr-CH"/>
        </w:rPr>
        <w:tab/>
        <w:t>“</w:t>
      </w:r>
      <w:r w:rsidRPr="0042206A">
        <w:rPr>
          <w:i/>
          <w:lang w:val="fr-CH"/>
        </w:rPr>
        <w:t>Plage éclairante</w:t>
      </w:r>
      <w:r w:rsidRPr="0042206A">
        <w:rPr>
          <w:lang w:val="fr-CH"/>
        </w:rPr>
        <w:t>” (voir annexe 3).</w:t>
      </w:r>
    </w:p>
    <w:p w14:paraId="18A9876A" w14:textId="77777777" w:rsidR="007D63AB" w:rsidRPr="0042206A" w:rsidRDefault="007D63AB" w:rsidP="007D63AB">
      <w:pPr>
        <w:pStyle w:val="para"/>
        <w:rPr>
          <w:lang w:val="fr-CH"/>
        </w:rPr>
      </w:pPr>
      <w:r w:rsidRPr="0042206A">
        <w:rPr>
          <w:lang w:val="fr-CH"/>
        </w:rPr>
        <w:t>2.5.1</w:t>
      </w:r>
      <w:r w:rsidRPr="0042206A">
        <w:rPr>
          <w:lang w:val="fr-CH"/>
        </w:rPr>
        <w:tab/>
        <w:t>“</w:t>
      </w:r>
      <w:r w:rsidRPr="0042206A">
        <w:rPr>
          <w:i/>
          <w:lang w:val="fr-CH"/>
        </w:rPr>
        <w:t>Plage éclairante d</w:t>
      </w:r>
      <w:r>
        <w:rPr>
          <w:i/>
          <w:lang w:val="fr-CH"/>
        </w:rPr>
        <w:t>’</w:t>
      </w:r>
      <w:r w:rsidRPr="0042206A">
        <w:rPr>
          <w:i/>
          <w:lang w:val="fr-CH"/>
        </w:rPr>
        <w:t>un dispositif d</w:t>
      </w:r>
      <w:r>
        <w:rPr>
          <w:i/>
          <w:lang w:val="fr-CH"/>
        </w:rPr>
        <w:t>’</w:t>
      </w:r>
      <w:r w:rsidRPr="0042206A">
        <w:rPr>
          <w:i/>
          <w:lang w:val="fr-CH"/>
        </w:rPr>
        <w:t>éclairage</w:t>
      </w:r>
      <w:r w:rsidRPr="0042206A">
        <w:rPr>
          <w:lang w:val="fr-CH"/>
        </w:rPr>
        <w:t>” (feu de route, feu de croisement, feu de brouillard avant, feu de marche arrière et feu d</w:t>
      </w:r>
      <w:r>
        <w:rPr>
          <w:lang w:val="fr-CH"/>
        </w:rPr>
        <w:t>’</w:t>
      </w:r>
      <w:r w:rsidRPr="0042206A">
        <w:rPr>
          <w:lang w:val="fr-CH"/>
        </w:rPr>
        <w:t>angle), la projection orthogonale de la totalité du réflecteur ou, dans le cas de projecteurs à réflecteur ellipsoïdal, de la “lentille”, sur un plan transversal. Si le dispositif d</w:t>
      </w:r>
      <w:r>
        <w:rPr>
          <w:lang w:val="fr-CH"/>
        </w:rPr>
        <w:t>’</w:t>
      </w:r>
      <w:r w:rsidRPr="0042206A">
        <w:rPr>
          <w:lang w:val="fr-CH"/>
        </w:rPr>
        <w:t>éclairage est dépourvu de réflecteur, c</w:t>
      </w:r>
      <w:r>
        <w:rPr>
          <w:lang w:val="fr-CH"/>
        </w:rPr>
        <w:t>’</w:t>
      </w:r>
      <w:r w:rsidRPr="0042206A">
        <w:rPr>
          <w:lang w:val="fr-CH"/>
        </w:rPr>
        <w:t>est la définition du paragraphe 2.5.2 qui doit s</w:t>
      </w:r>
      <w:r>
        <w:rPr>
          <w:lang w:val="fr-CH"/>
        </w:rPr>
        <w:t>’</w:t>
      </w:r>
      <w:r w:rsidRPr="0042206A">
        <w:rPr>
          <w:lang w:val="fr-CH"/>
        </w:rPr>
        <w:t>appliquer. Si la surface de sortie de la lumière du feu n</w:t>
      </w:r>
      <w:r>
        <w:rPr>
          <w:lang w:val="fr-CH"/>
        </w:rPr>
        <w:t>’</w:t>
      </w:r>
      <w:r w:rsidRPr="0042206A">
        <w:rPr>
          <w:lang w:val="fr-CH"/>
        </w:rPr>
        <w:t>occupe qu</w:t>
      </w:r>
      <w:r>
        <w:rPr>
          <w:lang w:val="fr-CH"/>
        </w:rPr>
        <w:t>’</w:t>
      </w:r>
      <w:r w:rsidRPr="0042206A">
        <w:rPr>
          <w:lang w:val="fr-CH"/>
        </w:rPr>
        <w:t>une partie du réflecteur, on ne considère que la projection de cette partie.</w:t>
      </w:r>
    </w:p>
    <w:p w14:paraId="3ABCA5DB" w14:textId="77777777" w:rsidR="007D63AB" w:rsidRPr="0042206A" w:rsidRDefault="007D63AB" w:rsidP="005B0D23">
      <w:pPr>
        <w:pStyle w:val="para"/>
        <w:ind w:firstLine="0"/>
        <w:rPr>
          <w:lang w:val="fr-CH"/>
        </w:rPr>
      </w:pPr>
      <w:r w:rsidRPr="0042206A">
        <w:rPr>
          <w:lang w:val="fr-CH"/>
        </w:rPr>
        <w:tab/>
        <w:t>Dans le cas d</w:t>
      </w:r>
      <w:r>
        <w:rPr>
          <w:lang w:val="fr-CH"/>
        </w:rPr>
        <w:t>’</w:t>
      </w:r>
      <w:r w:rsidRPr="0042206A">
        <w:rPr>
          <w:lang w:val="fr-CH"/>
        </w:rPr>
        <w:t>un feu de croisement, la plage éclairante est limitée par la trace apparente de la ligne de coupure sur la glace. Si le miroir et la glace sont réglables l</w:t>
      </w:r>
      <w:r>
        <w:rPr>
          <w:lang w:val="fr-CH"/>
        </w:rPr>
        <w:t>’</w:t>
      </w:r>
      <w:r w:rsidRPr="0042206A">
        <w:rPr>
          <w:lang w:val="fr-CH"/>
        </w:rPr>
        <w:t>un par rapport à l</w:t>
      </w:r>
      <w:r>
        <w:rPr>
          <w:lang w:val="fr-CH"/>
        </w:rPr>
        <w:t>’</w:t>
      </w:r>
      <w:r w:rsidRPr="0042206A">
        <w:rPr>
          <w:lang w:val="fr-CH"/>
        </w:rPr>
        <w:t>autre, il faut utiliser la position de réglage moyenne.</w:t>
      </w:r>
    </w:p>
    <w:p w14:paraId="72338CCF" w14:textId="77777777" w:rsidR="007D63AB" w:rsidRPr="0042206A" w:rsidRDefault="007D63AB" w:rsidP="007D63AB">
      <w:pPr>
        <w:pStyle w:val="para"/>
        <w:rPr>
          <w:lang w:val="fr-CH"/>
        </w:rPr>
      </w:pPr>
      <w:r w:rsidRPr="0042206A">
        <w:rPr>
          <w:lang w:val="fr-CH"/>
        </w:rPr>
        <w:t>2.5.2</w:t>
      </w:r>
      <w:r w:rsidRPr="0042206A">
        <w:rPr>
          <w:lang w:val="fr-CH"/>
        </w:rPr>
        <w:tab/>
        <w:t>“</w:t>
      </w:r>
      <w:r w:rsidRPr="0042206A">
        <w:rPr>
          <w:i/>
          <w:lang w:val="fr-CH"/>
        </w:rPr>
        <w:t>Plage éclairante d</w:t>
      </w:r>
      <w:r>
        <w:rPr>
          <w:i/>
          <w:lang w:val="fr-CH"/>
        </w:rPr>
        <w:t>’</w:t>
      </w:r>
      <w:r w:rsidRPr="0042206A">
        <w:rPr>
          <w:i/>
          <w:lang w:val="fr-CH"/>
        </w:rPr>
        <w:t>un dispositif de signalisation lumineuse autre qu</w:t>
      </w:r>
      <w:r>
        <w:rPr>
          <w:i/>
          <w:lang w:val="fr-CH"/>
        </w:rPr>
        <w:t>’</w:t>
      </w:r>
      <w:r w:rsidRPr="0042206A">
        <w:rPr>
          <w:i/>
          <w:lang w:val="fr-CH"/>
        </w:rPr>
        <w:t>un catadioptre</w:t>
      </w:r>
      <w:r w:rsidRPr="0042206A">
        <w:rPr>
          <w:lang w:val="fr-CH"/>
        </w:rPr>
        <w:t>” (feu indicateur de direction, signal de détresse, feu stop, dispositif d</w:t>
      </w:r>
      <w:r>
        <w:rPr>
          <w:lang w:val="fr-CH"/>
        </w:rPr>
        <w:t>’</w:t>
      </w:r>
      <w:r w:rsidRPr="0042206A">
        <w:rPr>
          <w:lang w:val="fr-CH"/>
        </w:rPr>
        <w:t>éclairage de la plaque d</w:t>
      </w:r>
      <w:r>
        <w:rPr>
          <w:lang w:val="fr-CH"/>
        </w:rPr>
        <w:t>’</w:t>
      </w:r>
      <w:r w:rsidRPr="0042206A">
        <w:rPr>
          <w:lang w:val="fr-CH"/>
        </w:rPr>
        <w:t>immatriculation arrière, feu de position avant, feu de position arrière, feu de brouillard arrière, feu de stationnement, feu de gabarit, feu de position latéral, feu de circulation diurne), la projection orthogonale du feu sur un plan perpendiculaire à son axe de référence et en contact avec la surface extérieure de sortie de la lumière du feu, cette projection étant limitée par les bords d</w:t>
      </w:r>
      <w:r>
        <w:rPr>
          <w:lang w:val="fr-CH"/>
        </w:rPr>
        <w:t>’</w:t>
      </w:r>
      <w:r w:rsidRPr="0042206A">
        <w:rPr>
          <w:lang w:val="fr-CH"/>
        </w:rPr>
        <w:t>écrans situés dans ce plan et ne laissant subsister individuellement que 98 % de l</w:t>
      </w:r>
      <w:r>
        <w:rPr>
          <w:lang w:val="fr-CH"/>
        </w:rPr>
        <w:t>’</w:t>
      </w:r>
      <w:r w:rsidRPr="0042206A">
        <w:rPr>
          <w:lang w:val="fr-CH"/>
        </w:rPr>
        <w:t>intensité totale du feu dans la direction de l</w:t>
      </w:r>
      <w:r>
        <w:rPr>
          <w:lang w:val="fr-CH"/>
        </w:rPr>
        <w:t>’</w:t>
      </w:r>
      <w:r w:rsidRPr="0042206A">
        <w:rPr>
          <w:lang w:val="fr-CH"/>
        </w:rPr>
        <w:t>axe de référence.</w:t>
      </w:r>
    </w:p>
    <w:p w14:paraId="3EADE1A0" w14:textId="77777777" w:rsidR="007D63AB" w:rsidRPr="0042206A" w:rsidRDefault="007D63AB" w:rsidP="005B0D23">
      <w:pPr>
        <w:pStyle w:val="para"/>
        <w:ind w:firstLine="0"/>
        <w:rPr>
          <w:lang w:val="fr-CH"/>
        </w:rPr>
      </w:pPr>
      <w:r w:rsidRPr="0042206A">
        <w:rPr>
          <w:lang w:val="fr-CH"/>
        </w:rPr>
        <w:lastRenderedPageBreak/>
        <w:tab/>
        <w:t>Pour déterminer les bords inférieur, supérieur et latéraux de la plage éclairante, on ne doit utiliser que des écrans à bords horizontaux ou verticaux, de façon à vérifier la distance jusqu</w:t>
      </w:r>
      <w:r>
        <w:rPr>
          <w:lang w:val="fr-CH"/>
        </w:rPr>
        <w:t>’</w:t>
      </w:r>
      <w:r w:rsidRPr="0042206A">
        <w:rPr>
          <w:lang w:val="fr-CH"/>
        </w:rPr>
        <w:t>aux extrémités du véhicule et la hauteur au-dessus du sol.</w:t>
      </w:r>
    </w:p>
    <w:p w14:paraId="2FB59DDA" w14:textId="77777777" w:rsidR="007D63AB" w:rsidRPr="0042206A" w:rsidRDefault="007D63AB" w:rsidP="005B0D23">
      <w:pPr>
        <w:pStyle w:val="para"/>
        <w:ind w:firstLine="0"/>
        <w:rPr>
          <w:lang w:val="fr-CH"/>
        </w:rPr>
      </w:pPr>
      <w:r w:rsidRPr="0042206A">
        <w:rPr>
          <w:lang w:val="fr-CH"/>
        </w:rPr>
        <w:tab/>
        <w:t>Pour d</w:t>
      </w:r>
      <w:r>
        <w:rPr>
          <w:lang w:val="fr-CH"/>
        </w:rPr>
        <w:t>’</w:t>
      </w:r>
      <w:r w:rsidRPr="0042206A">
        <w:rPr>
          <w:lang w:val="fr-CH"/>
        </w:rPr>
        <w:t>autres applications de la plage éclairante (distance entre deux feux ou fonctions, par exemple), il faut utiliser la forme de cette plage éclairante. Les écrans doivent rester parallèles, mais on peut utiliser d</w:t>
      </w:r>
      <w:r>
        <w:rPr>
          <w:lang w:val="fr-CH"/>
        </w:rPr>
        <w:t>’</w:t>
      </w:r>
      <w:r w:rsidRPr="0042206A">
        <w:rPr>
          <w:lang w:val="fr-CH"/>
        </w:rPr>
        <w:t>autres orientations.</w:t>
      </w:r>
    </w:p>
    <w:p w14:paraId="65758F28" w14:textId="77777777" w:rsidR="007D63AB" w:rsidRPr="0042206A" w:rsidRDefault="007D63AB" w:rsidP="005B0D23">
      <w:pPr>
        <w:pStyle w:val="para"/>
        <w:ind w:firstLine="0"/>
        <w:rPr>
          <w:lang w:val="fr-CH"/>
        </w:rPr>
      </w:pPr>
      <w:r w:rsidRPr="0042206A">
        <w:rPr>
          <w:lang w:val="fr-CH"/>
        </w:rPr>
        <w:tab/>
        <w:t>Dans le cas d</w:t>
      </w:r>
      <w:r>
        <w:rPr>
          <w:lang w:val="fr-CH"/>
        </w:rPr>
        <w:t>’</w:t>
      </w:r>
      <w:r w:rsidRPr="0042206A">
        <w:rPr>
          <w:lang w:val="fr-CH"/>
        </w:rPr>
        <w:t>un dispositif de signalisation lumineuse dont la plage éclairante recoupe en totalité ou partiellement la plage éclairante d</w:t>
      </w:r>
      <w:r>
        <w:rPr>
          <w:lang w:val="fr-CH"/>
        </w:rPr>
        <w:t>’</w:t>
      </w:r>
      <w:r w:rsidRPr="0042206A">
        <w:rPr>
          <w:lang w:val="fr-CH"/>
        </w:rPr>
        <w:t>une autre fonction ou une plage non éclairante, on peut considérer que la plage éclairante se limite à la surface de sortie de la lumière (voir annexe 3, par exemple).</w:t>
      </w:r>
    </w:p>
    <w:p w14:paraId="6A01DF00" w14:textId="77777777" w:rsidR="007D63AB" w:rsidRPr="0042206A" w:rsidRDefault="007D63AB" w:rsidP="007D63AB">
      <w:pPr>
        <w:pStyle w:val="para"/>
        <w:rPr>
          <w:lang w:val="fr-CH"/>
        </w:rPr>
      </w:pPr>
      <w:r w:rsidRPr="0042206A">
        <w:rPr>
          <w:lang w:val="fr-CH"/>
        </w:rPr>
        <w:t>2.5.3</w:t>
      </w:r>
      <w:r w:rsidRPr="0042206A">
        <w:rPr>
          <w:lang w:val="fr-CH"/>
        </w:rPr>
        <w:tab/>
        <w:t>“</w:t>
      </w:r>
      <w:r w:rsidRPr="0042206A">
        <w:rPr>
          <w:i/>
          <w:lang w:val="fr-CH"/>
        </w:rPr>
        <w:t>Plage éclairante d</w:t>
      </w:r>
      <w:r>
        <w:rPr>
          <w:i/>
          <w:lang w:val="fr-CH"/>
        </w:rPr>
        <w:t>’</w:t>
      </w:r>
      <w:r w:rsidRPr="0042206A">
        <w:rPr>
          <w:i/>
          <w:lang w:val="fr-CH"/>
        </w:rPr>
        <w:t>un catadioptre</w:t>
      </w:r>
      <w:r w:rsidRPr="0042206A">
        <w:rPr>
          <w:lang w:val="fr-CH"/>
        </w:rPr>
        <w:t>” (catadioptre), la projection orthogonale d</w:t>
      </w:r>
      <w:r>
        <w:rPr>
          <w:lang w:val="fr-CH"/>
        </w:rPr>
        <w:t>’</w:t>
      </w:r>
      <w:r w:rsidRPr="0042206A">
        <w:rPr>
          <w:lang w:val="fr-CH"/>
        </w:rPr>
        <w:t>un catadioptre dans un plan perpendiculaire à son axe de référence, délimitée par des plans parallèles à cet axe et contigus aux parties extrêmes de la surface de l</w:t>
      </w:r>
      <w:r>
        <w:rPr>
          <w:lang w:val="fr-CH"/>
        </w:rPr>
        <w:t>’</w:t>
      </w:r>
      <w:r w:rsidRPr="0042206A">
        <w:rPr>
          <w:lang w:val="fr-CH"/>
        </w:rPr>
        <w:t>optique catadioptrique, indiquée par le demandeur lors de la procédure d</w:t>
      </w:r>
      <w:r>
        <w:rPr>
          <w:lang w:val="fr-CH"/>
        </w:rPr>
        <w:t>’</w:t>
      </w:r>
      <w:r w:rsidRPr="0042206A">
        <w:rPr>
          <w:lang w:val="fr-CH"/>
        </w:rPr>
        <w:t>homologation de l</w:t>
      </w:r>
      <w:r>
        <w:rPr>
          <w:lang w:val="fr-CH"/>
        </w:rPr>
        <w:t>’</w:t>
      </w:r>
      <w:r w:rsidRPr="0042206A">
        <w:rPr>
          <w:lang w:val="fr-CH"/>
        </w:rPr>
        <w:t>entité élément. Pour déterminer les bords inférieur, supérieur et latéraux du dispositif, on ne doit considérer que les plans horizontaux et verticaux.</w:t>
      </w:r>
    </w:p>
    <w:p w14:paraId="64D4EB4C" w14:textId="77777777" w:rsidR="007D63AB" w:rsidRPr="0042206A" w:rsidRDefault="007D63AB" w:rsidP="007D63AB">
      <w:pPr>
        <w:pStyle w:val="para"/>
        <w:rPr>
          <w:lang w:val="fr-CH"/>
        </w:rPr>
      </w:pPr>
      <w:r w:rsidRPr="0042206A">
        <w:rPr>
          <w:lang w:val="fr-CH"/>
        </w:rPr>
        <w:t>2.6</w:t>
      </w:r>
      <w:r w:rsidRPr="0042206A">
        <w:rPr>
          <w:lang w:val="fr-CH"/>
        </w:rPr>
        <w:tab/>
        <w:t>“</w:t>
      </w:r>
      <w:r w:rsidRPr="0042206A">
        <w:rPr>
          <w:i/>
          <w:lang w:val="fr-CH"/>
        </w:rPr>
        <w:t>Surface apparente</w:t>
      </w:r>
      <w:r w:rsidRPr="0042206A">
        <w:rPr>
          <w:lang w:val="fr-CH"/>
        </w:rPr>
        <w:t>”, dans une direction d</w:t>
      </w:r>
      <w:r>
        <w:rPr>
          <w:lang w:val="fr-CH"/>
        </w:rPr>
        <w:t>’</w:t>
      </w:r>
      <w:r w:rsidRPr="0042206A">
        <w:rPr>
          <w:lang w:val="fr-CH"/>
        </w:rPr>
        <w:t>observation donnée, sur demande du fabricant ou de son représentant dûment accrédité, la projection orthogonale :</w:t>
      </w:r>
    </w:p>
    <w:p w14:paraId="5753BCD1" w14:textId="77777777" w:rsidR="007D63AB" w:rsidRPr="0042206A" w:rsidRDefault="007D63AB" w:rsidP="005B0D23">
      <w:pPr>
        <w:pStyle w:val="para"/>
        <w:ind w:firstLine="0"/>
        <w:rPr>
          <w:lang w:val="fr-CH"/>
        </w:rPr>
      </w:pPr>
      <w:r w:rsidRPr="0042206A">
        <w:rPr>
          <w:lang w:val="fr-CH"/>
        </w:rPr>
        <w:tab/>
        <w:t>Soit de la limite de la plage éclairante projetée sur la surface extérieure de la glace ;</w:t>
      </w:r>
    </w:p>
    <w:p w14:paraId="427F8195" w14:textId="77777777" w:rsidR="007D63AB" w:rsidRPr="0042206A" w:rsidRDefault="007D63AB" w:rsidP="005B0D23">
      <w:pPr>
        <w:pStyle w:val="para"/>
        <w:ind w:firstLine="0"/>
        <w:rPr>
          <w:lang w:val="fr-CH"/>
        </w:rPr>
      </w:pPr>
      <w:r w:rsidRPr="0042206A">
        <w:rPr>
          <w:lang w:val="fr-CH"/>
        </w:rPr>
        <w:tab/>
        <w:t>Soit de la surface de sortie de la lumière ;</w:t>
      </w:r>
    </w:p>
    <w:p w14:paraId="309AFAEF" w14:textId="77777777" w:rsidR="007D63AB" w:rsidRPr="0042206A" w:rsidRDefault="007D63AB" w:rsidP="005B0D23">
      <w:pPr>
        <w:pStyle w:val="para"/>
        <w:ind w:firstLine="0"/>
        <w:rPr>
          <w:lang w:val="fr-CH"/>
        </w:rPr>
      </w:pPr>
      <w:r w:rsidRPr="0042206A">
        <w:rPr>
          <w:lang w:val="fr-CH"/>
        </w:rPr>
        <w:tab/>
        <w:t>Dans un plan perpendiculaire à la direction d</w:t>
      </w:r>
      <w:r>
        <w:rPr>
          <w:lang w:val="fr-CH"/>
        </w:rPr>
        <w:t>’</w:t>
      </w:r>
      <w:r w:rsidRPr="0042206A">
        <w:rPr>
          <w:lang w:val="fr-CH"/>
        </w:rPr>
        <w:t>observation et tangent à la limite extérieure de la lentille. On trouvera différents exemples d</w:t>
      </w:r>
      <w:r>
        <w:rPr>
          <w:lang w:val="fr-CH"/>
        </w:rPr>
        <w:t>’</w:t>
      </w:r>
      <w:r w:rsidRPr="0042206A">
        <w:rPr>
          <w:lang w:val="fr-CH"/>
        </w:rPr>
        <w:t>application de la surface apparente à l</w:t>
      </w:r>
      <w:r>
        <w:rPr>
          <w:lang w:val="fr-CH"/>
        </w:rPr>
        <w:t>’</w:t>
      </w:r>
      <w:r w:rsidRPr="0042206A">
        <w:rPr>
          <w:lang w:val="fr-CH"/>
        </w:rPr>
        <w:t>annexe 3 du présent Règlement.</w:t>
      </w:r>
    </w:p>
    <w:p w14:paraId="44997971" w14:textId="77777777" w:rsidR="007D63AB" w:rsidRPr="0042206A" w:rsidRDefault="007D63AB" w:rsidP="007D63AB">
      <w:pPr>
        <w:pStyle w:val="para"/>
        <w:rPr>
          <w:lang w:val="fr-CH"/>
        </w:rPr>
      </w:pPr>
      <w:r w:rsidRPr="0042206A">
        <w:rPr>
          <w:lang w:val="fr-CH"/>
        </w:rPr>
        <w:t>2.6.1</w:t>
      </w:r>
      <w:r w:rsidRPr="0042206A">
        <w:rPr>
          <w:lang w:val="fr-CH"/>
        </w:rPr>
        <w:tab/>
        <w:t>“</w:t>
      </w:r>
      <w:r w:rsidRPr="0042206A">
        <w:rPr>
          <w:i/>
          <w:lang w:val="fr-CH"/>
        </w:rPr>
        <w:t>Surface de sortie de la lumière</w:t>
      </w:r>
      <w:r w:rsidRPr="0042206A">
        <w:rPr>
          <w:lang w:val="fr-CH"/>
        </w:rPr>
        <w:t>” d</w:t>
      </w:r>
      <w:r>
        <w:rPr>
          <w:lang w:val="fr-CH"/>
        </w:rPr>
        <w:t>’</w:t>
      </w:r>
      <w:r w:rsidRPr="0042206A">
        <w:rPr>
          <w:lang w:val="fr-CH"/>
        </w:rPr>
        <w:t>un “</w:t>
      </w:r>
      <w:r w:rsidRPr="0042206A">
        <w:rPr>
          <w:i/>
          <w:lang w:val="fr-CH"/>
        </w:rPr>
        <w:t>dispositif d</w:t>
      </w:r>
      <w:r>
        <w:rPr>
          <w:i/>
          <w:lang w:val="fr-CH"/>
        </w:rPr>
        <w:t>’</w:t>
      </w:r>
      <w:r w:rsidRPr="0042206A">
        <w:rPr>
          <w:i/>
          <w:lang w:val="fr-CH"/>
        </w:rPr>
        <w:t>éclairage</w:t>
      </w:r>
      <w:r w:rsidRPr="0042206A">
        <w:rPr>
          <w:lang w:val="fr-CH"/>
        </w:rPr>
        <w:t>”, d</w:t>
      </w:r>
      <w:r>
        <w:rPr>
          <w:lang w:val="fr-CH"/>
        </w:rPr>
        <w:t>’</w:t>
      </w:r>
      <w:r w:rsidRPr="0042206A">
        <w:rPr>
          <w:lang w:val="fr-CH"/>
        </w:rPr>
        <w:t>un “</w:t>
      </w:r>
      <w:r w:rsidRPr="0042206A">
        <w:rPr>
          <w:i/>
          <w:lang w:val="fr-CH"/>
        </w:rPr>
        <w:t>dispositif de signalisation lumineuse</w:t>
      </w:r>
      <w:r w:rsidRPr="0042206A">
        <w:rPr>
          <w:lang w:val="fr-CH"/>
        </w:rPr>
        <w:t>” ou d</w:t>
      </w:r>
      <w:r>
        <w:rPr>
          <w:lang w:val="fr-CH"/>
        </w:rPr>
        <w:t>’</w:t>
      </w:r>
      <w:r w:rsidRPr="0042206A">
        <w:rPr>
          <w:lang w:val="fr-CH"/>
        </w:rPr>
        <w:t>un catadioptre, la surface indiquée sur le schéma de la demande d</w:t>
      </w:r>
      <w:r>
        <w:rPr>
          <w:lang w:val="fr-CH"/>
        </w:rPr>
        <w:t>’</w:t>
      </w:r>
      <w:r w:rsidRPr="0042206A">
        <w:rPr>
          <w:lang w:val="fr-CH"/>
        </w:rPr>
        <w:t xml:space="preserve">homologation présentée par le fabricant du dispositif (voir annexe 3). </w:t>
      </w:r>
    </w:p>
    <w:p w14:paraId="4ED4BCFD" w14:textId="77777777" w:rsidR="007D63AB" w:rsidRPr="0042206A" w:rsidRDefault="007D63AB" w:rsidP="005B0D23">
      <w:pPr>
        <w:pStyle w:val="para"/>
        <w:ind w:firstLine="0"/>
        <w:rPr>
          <w:lang w:val="fr-CH"/>
        </w:rPr>
      </w:pPr>
      <w:r w:rsidRPr="0042206A">
        <w:rPr>
          <w:lang w:val="fr-CH"/>
        </w:rPr>
        <w:tab/>
        <w:t xml:space="preserve">Cette indication doit se faire comme suit : </w:t>
      </w:r>
    </w:p>
    <w:p w14:paraId="5263270D" w14:textId="77777777" w:rsidR="007D63AB" w:rsidRPr="0042206A" w:rsidRDefault="007D63AB" w:rsidP="007D63AB">
      <w:pPr>
        <w:pStyle w:val="a"/>
        <w:rPr>
          <w:lang w:val="fr-CH"/>
        </w:rPr>
      </w:pPr>
      <w:r w:rsidRPr="0042206A">
        <w:rPr>
          <w:lang w:val="fr-CH"/>
        </w:rPr>
        <w:t>a)</w:t>
      </w:r>
      <w:r w:rsidRPr="0042206A">
        <w:rPr>
          <w:lang w:val="fr-CH"/>
        </w:rPr>
        <w:tab/>
        <w:t xml:space="preserve">Dans le cas où la glace extérieure est texturée, la surface de sortie de la lumière indiquée doit correspondre à tout ou partie de la surface extérieure de la glace extérieure ; </w:t>
      </w:r>
    </w:p>
    <w:p w14:paraId="40DE0234" w14:textId="77777777" w:rsidR="007D63AB" w:rsidRPr="0042206A" w:rsidRDefault="007D63AB" w:rsidP="007D63AB">
      <w:pPr>
        <w:pStyle w:val="a"/>
        <w:rPr>
          <w:lang w:val="fr-CH"/>
        </w:rPr>
      </w:pPr>
      <w:r w:rsidRPr="0042206A">
        <w:rPr>
          <w:lang w:val="fr-CH"/>
        </w:rPr>
        <w:t>b)</w:t>
      </w:r>
      <w:r w:rsidRPr="0042206A">
        <w:rPr>
          <w:lang w:val="fr-CH"/>
        </w:rPr>
        <w:tab/>
        <w:t>Dans le cas où la glace extérieure n</w:t>
      </w:r>
      <w:r>
        <w:rPr>
          <w:lang w:val="fr-CH"/>
        </w:rPr>
        <w:t>’</w:t>
      </w:r>
      <w:r w:rsidRPr="0042206A">
        <w:rPr>
          <w:lang w:val="fr-CH"/>
        </w:rPr>
        <w:t>est pas texturée elle peut être ignorée ; la surface de sortie de la lumière doit alors être celle qui est indiquée sur le schéma (voir annexe 3).</w:t>
      </w:r>
    </w:p>
    <w:p w14:paraId="20074E9F" w14:textId="77777777" w:rsidR="007D63AB" w:rsidRPr="0042206A" w:rsidRDefault="007D63AB" w:rsidP="007D63AB">
      <w:pPr>
        <w:pStyle w:val="para"/>
        <w:rPr>
          <w:lang w:val="fr-CH"/>
        </w:rPr>
      </w:pPr>
      <w:r w:rsidRPr="0042206A">
        <w:rPr>
          <w:lang w:val="fr-CH"/>
        </w:rPr>
        <w:t>2.7</w:t>
      </w:r>
      <w:r w:rsidRPr="0042206A">
        <w:rPr>
          <w:lang w:val="fr-CH"/>
        </w:rPr>
        <w:tab/>
        <w:t>“</w:t>
      </w:r>
      <w:r w:rsidRPr="0042206A">
        <w:rPr>
          <w:i/>
          <w:lang w:val="fr-CH"/>
        </w:rPr>
        <w:t>Axe de référence</w:t>
      </w:r>
      <w:r w:rsidRPr="0042206A">
        <w:rPr>
          <w:lang w:val="fr-CH"/>
        </w:rPr>
        <w:t>”, l</w:t>
      </w:r>
      <w:r>
        <w:rPr>
          <w:lang w:val="fr-CH"/>
        </w:rPr>
        <w:t>’</w:t>
      </w:r>
      <w:r w:rsidRPr="0042206A">
        <w:rPr>
          <w:lang w:val="fr-CH"/>
        </w:rPr>
        <w:t>axe caractéristique du feu, déterminé par le fabricant afin de servir de direction de référence (H = 0°, V = 0°) pour les mesures photométriques et pour l</w:t>
      </w:r>
      <w:r>
        <w:rPr>
          <w:lang w:val="fr-CH"/>
        </w:rPr>
        <w:t>’</w:t>
      </w:r>
      <w:r w:rsidRPr="0042206A">
        <w:rPr>
          <w:lang w:val="fr-CH"/>
        </w:rPr>
        <w:t>installation du feu sur le véhicule ;</w:t>
      </w:r>
    </w:p>
    <w:p w14:paraId="535FF969" w14:textId="77777777" w:rsidR="007D63AB" w:rsidRPr="0042206A" w:rsidRDefault="007D63AB" w:rsidP="007D63AB">
      <w:pPr>
        <w:pStyle w:val="para"/>
        <w:rPr>
          <w:lang w:val="fr-CH"/>
        </w:rPr>
      </w:pPr>
      <w:r w:rsidRPr="0042206A">
        <w:rPr>
          <w:lang w:val="fr-CH"/>
        </w:rPr>
        <w:t>2.8</w:t>
      </w:r>
      <w:r w:rsidRPr="0042206A">
        <w:rPr>
          <w:lang w:val="fr-CH"/>
        </w:rPr>
        <w:tab/>
        <w:t>“</w:t>
      </w:r>
      <w:r w:rsidRPr="0042206A">
        <w:rPr>
          <w:i/>
          <w:lang w:val="fr-CH"/>
        </w:rPr>
        <w:t>Centre de référence</w:t>
      </w:r>
      <w:r w:rsidRPr="0042206A">
        <w:rPr>
          <w:lang w:val="fr-CH"/>
        </w:rPr>
        <w:t>”, l</w:t>
      </w:r>
      <w:r>
        <w:rPr>
          <w:lang w:val="fr-CH"/>
        </w:rPr>
        <w:t>’</w:t>
      </w:r>
      <w:r w:rsidRPr="0042206A">
        <w:rPr>
          <w:lang w:val="fr-CH"/>
        </w:rPr>
        <w:t>intersection de l</w:t>
      </w:r>
      <w:r>
        <w:rPr>
          <w:lang w:val="fr-CH"/>
        </w:rPr>
        <w:t>’</w:t>
      </w:r>
      <w:r w:rsidRPr="0042206A">
        <w:rPr>
          <w:lang w:val="fr-CH"/>
        </w:rPr>
        <w:t>axe de référence avec la surface extérieure de sortie de la lumière, tel qu</w:t>
      </w:r>
      <w:r>
        <w:rPr>
          <w:lang w:val="fr-CH"/>
        </w:rPr>
        <w:t>’</w:t>
      </w:r>
      <w:r w:rsidRPr="0042206A">
        <w:rPr>
          <w:lang w:val="fr-CH"/>
        </w:rPr>
        <w:t>il est défini par le fabricant du feu ;</w:t>
      </w:r>
    </w:p>
    <w:p w14:paraId="23F00E35" w14:textId="77777777" w:rsidR="007D63AB" w:rsidRPr="0042206A" w:rsidRDefault="007D63AB" w:rsidP="007D63AB">
      <w:pPr>
        <w:pStyle w:val="para"/>
        <w:rPr>
          <w:lang w:val="fr-CH"/>
        </w:rPr>
      </w:pPr>
      <w:r w:rsidRPr="0042206A">
        <w:rPr>
          <w:lang w:val="fr-CH"/>
        </w:rPr>
        <w:t>2.9</w:t>
      </w:r>
      <w:r w:rsidRPr="0042206A">
        <w:rPr>
          <w:lang w:val="fr-CH"/>
        </w:rPr>
        <w:tab/>
        <w:t>“</w:t>
      </w:r>
      <w:r w:rsidRPr="0042206A">
        <w:rPr>
          <w:i/>
          <w:lang w:val="fr-CH"/>
        </w:rPr>
        <w:t>Extrémité de la largeur hors tout</w:t>
      </w:r>
      <w:r w:rsidRPr="0042206A">
        <w:rPr>
          <w:lang w:val="fr-CH"/>
        </w:rPr>
        <w:t>”, de chaque côté du véhicule, le plan parallèle au plan longitudinal médian du véhicule tangent à son bord extérieur latéral, compte non tenu de la ou des saillies ;</w:t>
      </w:r>
    </w:p>
    <w:p w14:paraId="4B5DD1A8" w14:textId="77777777" w:rsidR="007D63AB" w:rsidRPr="0042206A" w:rsidRDefault="007D63AB" w:rsidP="007D63AB">
      <w:pPr>
        <w:pStyle w:val="para"/>
        <w:rPr>
          <w:lang w:val="fr-CH"/>
        </w:rPr>
      </w:pPr>
      <w:r w:rsidRPr="0042206A">
        <w:rPr>
          <w:lang w:val="fr-CH"/>
        </w:rPr>
        <w:t>2.9.1</w:t>
      </w:r>
      <w:r w:rsidRPr="0042206A">
        <w:rPr>
          <w:lang w:val="fr-CH"/>
        </w:rPr>
        <w:tab/>
        <w:t>Des pneus près de leur point de contact avec le sol et à la hauteur du capteur de pression ou du raccord de gonflage/dégonflage ;</w:t>
      </w:r>
    </w:p>
    <w:p w14:paraId="69410208" w14:textId="77777777" w:rsidR="007D63AB" w:rsidRPr="0042206A" w:rsidRDefault="007D63AB" w:rsidP="007D63AB">
      <w:pPr>
        <w:pStyle w:val="para"/>
        <w:rPr>
          <w:lang w:val="fr-CH"/>
        </w:rPr>
      </w:pPr>
      <w:r w:rsidRPr="0042206A">
        <w:rPr>
          <w:lang w:val="fr-CH"/>
        </w:rPr>
        <w:t>2.9.2.</w:t>
      </w:r>
      <w:r w:rsidRPr="0042206A">
        <w:rPr>
          <w:lang w:val="fr-CH"/>
        </w:rPr>
        <w:tab/>
        <w:t>Des dispositifs antipatinage qui seraient montés sur les roues ;</w:t>
      </w:r>
    </w:p>
    <w:p w14:paraId="7DF7CB3D" w14:textId="77777777" w:rsidR="007D63AB" w:rsidRPr="0042206A" w:rsidRDefault="007D63AB" w:rsidP="007D63AB">
      <w:pPr>
        <w:pStyle w:val="para"/>
        <w:rPr>
          <w:lang w:val="fr-CH"/>
        </w:rPr>
      </w:pPr>
      <w:r w:rsidRPr="0042206A">
        <w:rPr>
          <w:lang w:val="fr-CH"/>
        </w:rPr>
        <w:t>2.9.3</w:t>
      </w:r>
      <w:r w:rsidRPr="0042206A">
        <w:rPr>
          <w:lang w:val="fr-CH"/>
        </w:rPr>
        <w:tab/>
        <w:t>Des dispositifs de vision indirecte ;</w:t>
      </w:r>
    </w:p>
    <w:p w14:paraId="263CD74D" w14:textId="77777777" w:rsidR="007D63AB" w:rsidRPr="0042206A" w:rsidRDefault="007D63AB" w:rsidP="007D63AB">
      <w:pPr>
        <w:pStyle w:val="para"/>
        <w:rPr>
          <w:lang w:val="fr-CH"/>
        </w:rPr>
      </w:pPr>
      <w:r w:rsidRPr="0042206A">
        <w:rPr>
          <w:lang w:val="fr-CH"/>
        </w:rPr>
        <w:lastRenderedPageBreak/>
        <w:t>2.9.4</w:t>
      </w:r>
      <w:r w:rsidRPr="0042206A">
        <w:rPr>
          <w:lang w:val="fr-CH"/>
        </w:rPr>
        <w:tab/>
        <w:t>Des feux indicateurs de direction latéraux, des feux de gabarit, des feux de position avant et arrière, des feux de stationnement et des catadioptres latéraux ;</w:t>
      </w:r>
    </w:p>
    <w:p w14:paraId="071C6D6F" w14:textId="77777777" w:rsidR="007D63AB" w:rsidRPr="0042206A" w:rsidRDefault="007D63AB" w:rsidP="007D63AB">
      <w:pPr>
        <w:pStyle w:val="para"/>
        <w:rPr>
          <w:lang w:val="fr-CH"/>
        </w:rPr>
      </w:pPr>
      <w:r w:rsidRPr="0042206A">
        <w:rPr>
          <w:lang w:val="fr-CH"/>
        </w:rPr>
        <w:t>2.9.5</w:t>
      </w:r>
      <w:r w:rsidRPr="0042206A">
        <w:rPr>
          <w:lang w:val="fr-CH"/>
        </w:rPr>
        <w:tab/>
        <w:t>Des scellés douaniers apposés sur le véhicule tracteur et des dispositifs de fixation et de protection de ces scellés ;</w:t>
      </w:r>
    </w:p>
    <w:p w14:paraId="689EE13C" w14:textId="77777777" w:rsidR="007D63AB" w:rsidRPr="0042206A" w:rsidRDefault="007D63AB" w:rsidP="007D63AB">
      <w:pPr>
        <w:pStyle w:val="para"/>
        <w:rPr>
          <w:lang w:val="fr-CH"/>
        </w:rPr>
      </w:pPr>
      <w:r w:rsidRPr="0042206A">
        <w:rPr>
          <w:lang w:val="fr-CH"/>
        </w:rPr>
        <w:t>2.10</w:t>
      </w:r>
      <w:r w:rsidRPr="0042206A">
        <w:rPr>
          <w:lang w:val="fr-CH"/>
        </w:rPr>
        <w:tab/>
        <w:t>Dimensions hors tout :</w:t>
      </w:r>
    </w:p>
    <w:p w14:paraId="3233B78E" w14:textId="77777777" w:rsidR="007D63AB" w:rsidRPr="0042206A" w:rsidRDefault="007D63AB" w:rsidP="007D63AB">
      <w:pPr>
        <w:pStyle w:val="para"/>
        <w:rPr>
          <w:lang w:val="fr-CH"/>
        </w:rPr>
      </w:pPr>
      <w:r w:rsidRPr="0042206A">
        <w:rPr>
          <w:lang w:val="fr-CH"/>
        </w:rPr>
        <w:t>2.10.1</w:t>
      </w:r>
      <w:r w:rsidRPr="0042206A">
        <w:rPr>
          <w:lang w:val="fr-CH"/>
        </w:rPr>
        <w:tab/>
        <w:t>“</w:t>
      </w:r>
      <w:r w:rsidRPr="0042206A">
        <w:rPr>
          <w:i/>
          <w:lang w:val="fr-CH"/>
        </w:rPr>
        <w:t>Largeur hors tout</w:t>
      </w:r>
      <w:r w:rsidRPr="0042206A">
        <w:rPr>
          <w:lang w:val="fr-CH"/>
        </w:rPr>
        <w:t>”, la distance entre les deux plans verticaux définis au paragraphe 2.9 ci-dessus ;</w:t>
      </w:r>
    </w:p>
    <w:p w14:paraId="051586A0" w14:textId="77777777" w:rsidR="007D63AB" w:rsidRPr="0042206A" w:rsidRDefault="007D63AB" w:rsidP="007D63AB">
      <w:pPr>
        <w:pStyle w:val="para"/>
        <w:rPr>
          <w:lang w:val="fr-CH"/>
        </w:rPr>
      </w:pPr>
      <w:r w:rsidRPr="0042206A">
        <w:rPr>
          <w:lang w:val="fr-CH"/>
        </w:rPr>
        <w:t>2.10.2</w:t>
      </w:r>
      <w:r w:rsidRPr="0042206A">
        <w:rPr>
          <w:lang w:val="fr-CH"/>
        </w:rPr>
        <w:tab/>
        <w:t>“Longueur hors tout”, la distance entre les deux plans verticaux perpendiculaires au plan longitudinal médian du véhicule et tangent à son bord extérieur avant et à son bord extérieur arrière, compte non tenu de la ou des saillies :</w:t>
      </w:r>
    </w:p>
    <w:p w14:paraId="25DA58E8" w14:textId="77777777" w:rsidR="007D63AB" w:rsidRPr="0042206A" w:rsidRDefault="007D63AB" w:rsidP="005B0D23">
      <w:pPr>
        <w:pStyle w:val="para"/>
        <w:ind w:firstLine="0"/>
        <w:rPr>
          <w:lang w:val="fr-CH"/>
        </w:rPr>
      </w:pPr>
      <w:r w:rsidRPr="0042206A">
        <w:rPr>
          <w:lang w:val="fr-CH"/>
        </w:rPr>
        <w:tab/>
        <w:t>a)</w:t>
      </w:r>
      <w:r w:rsidRPr="0042206A">
        <w:rPr>
          <w:lang w:val="fr-CH"/>
        </w:rPr>
        <w:tab/>
        <w:t xml:space="preserve">Des dispositifs de vision indirecte ; </w:t>
      </w:r>
    </w:p>
    <w:p w14:paraId="44917946" w14:textId="77777777" w:rsidR="007D63AB" w:rsidRPr="0042206A" w:rsidRDefault="007D63AB" w:rsidP="005B0D23">
      <w:pPr>
        <w:pStyle w:val="para"/>
        <w:ind w:firstLine="0"/>
        <w:rPr>
          <w:lang w:val="fr-CH"/>
        </w:rPr>
      </w:pPr>
      <w:r w:rsidRPr="0042206A">
        <w:rPr>
          <w:lang w:val="fr-CH"/>
        </w:rPr>
        <w:tab/>
        <w:t>b)</w:t>
      </w:r>
      <w:r w:rsidRPr="0042206A">
        <w:rPr>
          <w:lang w:val="fr-CH"/>
        </w:rPr>
        <w:tab/>
        <w:t xml:space="preserve">Des feux de gabarit ; </w:t>
      </w:r>
    </w:p>
    <w:p w14:paraId="1BE646BA" w14:textId="77777777" w:rsidR="007D63AB" w:rsidRPr="0042206A" w:rsidRDefault="007D63AB" w:rsidP="005B0D23">
      <w:pPr>
        <w:pStyle w:val="para"/>
        <w:ind w:firstLine="0"/>
        <w:rPr>
          <w:lang w:val="fr-CH"/>
        </w:rPr>
      </w:pPr>
      <w:r w:rsidRPr="0042206A">
        <w:rPr>
          <w:lang w:val="fr-CH"/>
        </w:rPr>
        <w:tab/>
        <w:t>c)</w:t>
      </w:r>
      <w:r w:rsidRPr="0042206A">
        <w:rPr>
          <w:lang w:val="fr-CH"/>
        </w:rPr>
        <w:tab/>
        <w:t>Des dispositifs d</w:t>
      </w:r>
      <w:r>
        <w:rPr>
          <w:lang w:val="fr-CH"/>
        </w:rPr>
        <w:t>’</w:t>
      </w:r>
      <w:r w:rsidRPr="0042206A">
        <w:rPr>
          <w:lang w:val="fr-CH"/>
        </w:rPr>
        <w:t>attelage, dans le cas des véhicules automobiles.</w:t>
      </w:r>
    </w:p>
    <w:p w14:paraId="6C340E4E" w14:textId="77777777" w:rsidR="007D63AB" w:rsidRPr="0042206A" w:rsidRDefault="007D63AB" w:rsidP="007D63AB">
      <w:pPr>
        <w:pStyle w:val="para"/>
        <w:rPr>
          <w:lang w:val="fr-CH"/>
        </w:rPr>
      </w:pPr>
      <w:r w:rsidRPr="0042206A">
        <w:rPr>
          <w:lang w:val="fr-CH"/>
        </w:rPr>
        <w:t>2.11</w:t>
      </w:r>
      <w:r w:rsidRPr="0042206A">
        <w:rPr>
          <w:lang w:val="fr-CH"/>
        </w:rPr>
        <w:tab/>
        <w:t>“</w:t>
      </w:r>
      <w:r w:rsidRPr="0042206A">
        <w:rPr>
          <w:i/>
          <w:lang w:val="fr-CH"/>
        </w:rPr>
        <w:t>Feu simple et feu multiple</w:t>
      </w:r>
      <w:r w:rsidRPr="0042206A">
        <w:rPr>
          <w:lang w:val="fr-CH"/>
        </w:rPr>
        <w:t>”</w:t>
      </w:r>
    </w:p>
    <w:p w14:paraId="2415C424" w14:textId="77777777" w:rsidR="007D63AB" w:rsidRPr="0042206A" w:rsidRDefault="007D63AB" w:rsidP="007D63AB">
      <w:pPr>
        <w:pStyle w:val="para"/>
        <w:rPr>
          <w:lang w:val="fr-CH"/>
        </w:rPr>
      </w:pPr>
      <w:r w:rsidRPr="0042206A">
        <w:rPr>
          <w:lang w:val="fr-CH"/>
        </w:rPr>
        <w:t>2.11.1</w:t>
      </w:r>
      <w:r w:rsidRPr="0042206A">
        <w:rPr>
          <w:lang w:val="fr-CH"/>
        </w:rPr>
        <w:tab/>
        <w:t>Par “</w:t>
      </w:r>
      <w:r w:rsidRPr="0042206A">
        <w:rPr>
          <w:i/>
          <w:lang w:val="fr-CH"/>
        </w:rPr>
        <w:t>feu simple</w:t>
      </w:r>
      <w:r w:rsidRPr="0042206A">
        <w:rPr>
          <w:lang w:val="fr-CH"/>
        </w:rPr>
        <w:t>” on entend :</w:t>
      </w:r>
    </w:p>
    <w:p w14:paraId="72127204" w14:textId="77777777" w:rsidR="007D63AB" w:rsidRPr="0042206A" w:rsidRDefault="007D63AB" w:rsidP="007D63AB">
      <w:pPr>
        <w:pStyle w:val="a"/>
        <w:rPr>
          <w:lang w:val="fr-CH"/>
        </w:rPr>
      </w:pPr>
      <w:r w:rsidRPr="0042206A">
        <w:rPr>
          <w:lang w:val="fr-CH"/>
        </w:rPr>
        <w:t>a)</w:t>
      </w:r>
      <w:r w:rsidRPr="0042206A">
        <w:rPr>
          <w:lang w:val="fr-CH"/>
        </w:rPr>
        <w:tab/>
        <w:t>Un dispositif ou une partie de dispositif ne possédant qu</w:t>
      </w:r>
      <w:r>
        <w:rPr>
          <w:lang w:val="fr-CH"/>
        </w:rPr>
        <w:t>’</w:t>
      </w:r>
      <w:r w:rsidRPr="0042206A">
        <w:rPr>
          <w:lang w:val="fr-CH"/>
        </w:rPr>
        <w:t>une fonction d</w:t>
      </w:r>
      <w:r>
        <w:rPr>
          <w:lang w:val="fr-CH"/>
        </w:rPr>
        <w:t>’</w:t>
      </w:r>
      <w:r w:rsidRPr="0042206A">
        <w:rPr>
          <w:lang w:val="fr-CH"/>
        </w:rPr>
        <w:t>éclairage ou de signalisation lumineuse, une ou plusieurs sources lumineuses et une surface apparente dans la direction de l</w:t>
      </w:r>
      <w:r>
        <w:rPr>
          <w:lang w:val="fr-CH"/>
        </w:rPr>
        <w:t>’</w:t>
      </w:r>
      <w:r w:rsidRPr="0042206A">
        <w:rPr>
          <w:lang w:val="fr-CH"/>
        </w:rPr>
        <w:t>axe de référence, qui peut être continue ou composée de deux parties distinctes ou plus ; ou</w:t>
      </w:r>
    </w:p>
    <w:p w14:paraId="48ACF498" w14:textId="77777777" w:rsidR="007D63AB" w:rsidRPr="0042206A" w:rsidRDefault="007D63AB" w:rsidP="007D63AB">
      <w:pPr>
        <w:pStyle w:val="a"/>
        <w:rPr>
          <w:lang w:val="fr-CH"/>
        </w:rPr>
      </w:pPr>
      <w:r w:rsidRPr="0042206A">
        <w:rPr>
          <w:lang w:val="fr-CH"/>
        </w:rPr>
        <w:t>b)</w:t>
      </w:r>
      <w:r w:rsidRPr="0042206A">
        <w:rPr>
          <w:lang w:val="fr-CH"/>
        </w:rPr>
        <w:tab/>
        <w:t>Tout assemblage de deux feux indépendants, identiques ou non, ayant la même fonction et homologués en tant que feux “D”, et installés de telle sorte :</w:t>
      </w:r>
    </w:p>
    <w:p w14:paraId="2E304FD9" w14:textId="77777777" w:rsidR="007D63AB" w:rsidRPr="0042206A" w:rsidRDefault="007D63AB" w:rsidP="007D63AB">
      <w:pPr>
        <w:pStyle w:val="i"/>
        <w:rPr>
          <w:lang w:val="fr-CH"/>
        </w:rPr>
      </w:pPr>
      <w:r w:rsidRPr="0042206A">
        <w:rPr>
          <w:lang w:val="fr-CH"/>
        </w:rPr>
        <w:t>i)</w:t>
      </w:r>
      <w:r w:rsidRPr="0042206A">
        <w:rPr>
          <w:lang w:val="fr-CH"/>
        </w:rPr>
        <w:tab/>
        <w:t>Que la projection de leurs surfaces apparentes dans la direction de l</w:t>
      </w:r>
      <w:r>
        <w:rPr>
          <w:lang w:val="fr-CH"/>
        </w:rPr>
        <w:t>’</w:t>
      </w:r>
      <w:r w:rsidRPr="0042206A">
        <w:rPr>
          <w:lang w:val="fr-CH"/>
        </w:rPr>
        <w:t>axe de référence occupe au moins 60 % du plus petit quadrilatère circonscrit à la projection de ces surfaces apparentes dans la direction de l</w:t>
      </w:r>
      <w:r>
        <w:rPr>
          <w:lang w:val="fr-CH"/>
        </w:rPr>
        <w:t>’</w:t>
      </w:r>
      <w:r w:rsidRPr="0042206A">
        <w:rPr>
          <w:lang w:val="fr-CH"/>
        </w:rPr>
        <w:t>axe de référence ; ou</w:t>
      </w:r>
    </w:p>
    <w:p w14:paraId="0E740F80" w14:textId="77777777" w:rsidR="007D63AB" w:rsidRPr="0042206A" w:rsidRDefault="007D63AB" w:rsidP="007D63AB">
      <w:pPr>
        <w:pStyle w:val="i"/>
        <w:rPr>
          <w:lang w:val="fr-CH"/>
        </w:rPr>
      </w:pPr>
      <w:r w:rsidRPr="0042206A">
        <w:rPr>
          <w:lang w:val="fr-CH"/>
        </w:rPr>
        <w:t>ii)</w:t>
      </w:r>
      <w:r w:rsidRPr="0042206A">
        <w:rPr>
          <w:lang w:val="fr-CH"/>
        </w:rPr>
        <w:tab/>
        <w:t>Que la distance entre deux parties adjacentes/tangentes distinctes, lorsqu</w:t>
      </w:r>
      <w:r>
        <w:rPr>
          <w:lang w:val="fr-CH"/>
        </w:rPr>
        <w:t>’</w:t>
      </w:r>
      <w:r w:rsidRPr="0042206A">
        <w:rPr>
          <w:lang w:val="fr-CH"/>
        </w:rPr>
        <w:t>elle est mesurée perpendiculairement à l</w:t>
      </w:r>
      <w:r>
        <w:rPr>
          <w:lang w:val="fr-CH"/>
        </w:rPr>
        <w:t>’</w:t>
      </w:r>
      <w:r w:rsidRPr="0042206A">
        <w:rPr>
          <w:lang w:val="fr-CH"/>
        </w:rPr>
        <w:t>axe de référence, ne dépasse pas 15 mm ; ou</w:t>
      </w:r>
    </w:p>
    <w:p w14:paraId="158368E9" w14:textId="77777777" w:rsidR="007D63AB" w:rsidRPr="0042206A" w:rsidRDefault="007D63AB" w:rsidP="007D63AB">
      <w:pPr>
        <w:pStyle w:val="a"/>
        <w:rPr>
          <w:lang w:val="fr-CH"/>
        </w:rPr>
      </w:pPr>
      <w:r w:rsidRPr="0042206A">
        <w:rPr>
          <w:lang w:val="fr-CH"/>
        </w:rPr>
        <w:t>c)</w:t>
      </w:r>
      <w:r w:rsidRPr="0042206A">
        <w:rPr>
          <w:lang w:val="fr-CH"/>
        </w:rPr>
        <w:tab/>
        <w:t>Tout assemblage de deux catadioptres indépendants, identiques ou non, qui ont été homologués séparément et sont installés de telle sorte :</w:t>
      </w:r>
    </w:p>
    <w:p w14:paraId="6D5C6A17" w14:textId="77777777" w:rsidR="007D63AB" w:rsidRPr="0042206A" w:rsidRDefault="007D63AB" w:rsidP="007D63AB">
      <w:pPr>
        <w:pStyle w:val="i"/>
        <w:rPr>
          <w:lang w:val="fr-CH"/>
        </w:rPr>
      </w:pPr>
      <w:r w:rsidRPr="0042206A">
        <w:rPr>
          <w:lang w:val="fr-CH"/>
        </w:rPr>
        <w:t>i)</w:t>
      </w:r>
      <w:r w:rsidRPr="0042206A">
        <w:rPr>
          <w:lang w:val="fr-CH"/>
        </w:rPr>
        <w:tab/>
        <w:t>Que la projection de leurs surfaces apparentes dans la direction de l</w:t>
      </w:r>
      <w:r>
        <w:rPr>
          <w:lang w:val="fr-CH"/>
        </w:rPr>
        <w:t>’</w:t>
      </w:r>
      <w:r w:rsidRPr="0042206A">
        <w:rPr>
          <w:lang w:val="fr-CH"/>
        </w:rPr>
        <w:t>axe de référence occupe au moins 60 % du plus petit quadrilatère circonscrit à la projection de ces surfaces apparentes dans la direction de l</w:t>
      </w:r>
      <w:r>
        <w:rPr>
          <w:lang w:val="fr-CH"/>
        </w:rPr>
        <w:t>’</w:t>
      </w:r>
      <w:r w:rsidRPr="0042206A">
        <w:rPr>
          <w:lang w:val="fr-CH"/>
        </w:rPr>
        <w:t>axe de référence ; ou</w:t>
      </w:r>
    </w:p>
    <w:p w14:paraId="0D5EDE15" w14:textId="77777777" w:rsidR="007D63AB" w:rsidRPr="0042206A" w:rsidRDefault="007D63AB" w:rsidP="007D63AB">
      <w:pPr>
        <w:pStyle w:val="i"/>
        <w:rPr>
          <w:lang w:val="fr-CH"/>
        </w:rPr>
      </w:pPr>
      <w:r w:rsidRPr="0042206A">
        <w:rPr>
          <w:lang w:val="fr-CH"/>
        </w:rPr>
        <w:t>ii)</w:t>
      </w:r>
      <w:r w:rsidRPr="0042206A">
        <w:rPr>
          <w:lang w:val="fr-CH"/>
        </w:rPr>
        <w:tab/>
        <w:t>Que la distance entre deux parties adjacentes/tangentes distinctes, lorsqu</w:t>
      </w:r>
      <w:r>
        <w:rPr>
          <w:lang w:val="fr-CH"/>
        </w:rPr>
        <w:t>’</w:t>
      </w:r>
      <w:r w:rsidRPr="0042206A">
        <w:rPr>
          <w:lang w:val="fr-CH"/>
        </w:rPr>
        <w:t>elle est mesurée perpendiculairement à l</w:t>
      </w:r>
      <w:r>
        <w:rPr>
          <w:lang w:val="fr-CH"/>
        </w:rPr>
        <w:t>’</w:t>
      </w:r>
      <w:r w:rsidRPr="0042206A">
        <w:rPr>
          <w:lang w:val="fr-CH"/>
        </w:rPr>
        <w:t xml:space="preserve">axe de référence, ne dépasse pas 15 </w:t>
      </w:r>
      <w:proofErr w:type="spellStart"/>
      <w:r w:rsidRPr="0042206A">
        <w:rPr>
          <w:lang w:val="fr-CH"/>
        </w:rPr>
        <w:t>mm.</w:t>
      </w:r>
      <w:proofErr w:type="spellEnd"/>
    </w:p>
    <w:p w14:paraId="0B7A8A7F" w14:textId="77777777" w:rsidR="007D63AB" w:rsidRPr="0042206A" w:rsidRDefault="007D63AB" w:rsidP="007D63AB">
      <w:pPr>
        <w:pStyle w:val="para"/>
        <w:rPr>
          <w:lang w:val="fr-CH"/>
        </w:rPr>
      </w:pPr>
      <w:r w:rsidRPr="0042206A">
        <w:rPr>
          <w:lang w:val="fr-CH"/>
        </w:rPr>
        <w:t>2.11.2</w:t>
      </w:r>
      <w:r w:rsidRPr="0042206A">
        <w:rPr>
          <w:lang w:val="fr-CH"/>
        </w:rPr>
        <w:tab/>
        <w:t>“</w:t>
      </w:r>
      <w:r w:rsidRPr="0042206A">
        <w:rPr>
          <w:i/>
          <w:lang w:val="fr-CH"/>
        </w:rPr>
        <w:t>Deux feux</w:t>
      </w:r>
      <w:r w:rsidRPr="0042206A">
        <w:rPr>
          <w:lang w:val="fr-CH"/>
        </w:rPr>
        <w:t>” ou “</w:t>
      </w:r>
      <w:r w:rsidRPr="0042206A">
        <w:rPr>
          <w:i/>
          <w:lang w:val="fr-CH"/>
        </w:rPr>
        <w:t>un nombre pair de feux</w:t>
      </w:r>
      <w:r w:rsidRPr="0042206A">
        <w:rPr>
          <w:lang w:val="fr-CH"/>
        </w:rPr>
        <w:t>”, une seule surface de sortie de la lumière ayant la forme d</w:t>
      </w:r>
      <w:r>
        <w:rPr>
          <w:lang w:val="fr-CH"/>
        </w:rPr>
        <w:t>’</w:t>
      </w:r>
      <w:r w:rsidRPr="0042206A">
        <w:rPr>
          <w:lang w:val="fr-CH"/>
        </w:rPr>
        <w:t>une bande, lorsqu</w:t>
      </w:r>
      <w:r>
        <w:rPr>
          <w:lang w:val="fr-CH"/>
        </w:rPr>
        <w:t>’</w:t>
      </w:r>
      <w:r w:rsidRPr="0042206A">
        <w:rPr>
          <w:lang w:val="fr-CH"/>
        </w:rPr>
        <w:t>elle est située symétriquement par rapport au plan longitudinal médian du véhicule et qu</w:t>
      </w:r>
      <w:r>
        <w:rPr>
          <w:lang w:val="fr-CH"/>
        </w:rPr>
        <w:t>’</w:t>
      </w:r>
      <w:r w:rsidRPr="0042206A">
        <w:rPr>
          <w:lang w:val="fr-CH"/>
        </w:rPr>
        <w:t>elle s</w:t>
      </w:r>
      <w:r>
        <w:rPr>
          <w:lang w:val="fr-CH"/>
        </w:rPr>
        <w:t>’</w:t>
      </w:r>
      <w:r w:rsidRPr="0042206A">
        <w:rPr>
          <w:lang w:val="fr-CH"/>
        </w:rPr>
        <w:t>étend au moins jusqu</w:t>
      </w:r>
      <w:r>
        <w:rPr>
          <w:lang w:val="fr-CH"/>
        </w:rPr>
        <w:t>’</w:t>
      </w:r>
      <w:r w:rsidRPr="0042206A">
        <w:rPr>
          <w:lang w:val="fr-CH"/>
        </w:rPr>
        <w:t>à 0,4 m de l</w:t>
      </w:r>
      <w:r>
        <w:rPr>
          <w:lang w:val="fr-CH"/>
        </w:rPr>
        <w:t>’</w:t>
      </w:r>
      <w:r w:rsidRPr="0042206A">
        <w:rPr>
          <w:lang w:val="fr-CH"/>
        </w:rPr>
        <w:t>extrémité de la largeur hors tout du véhicule, des deux côtés, en ayant une longueur minimale de 0,8 m ; l</w:t>
      </w:r>
      <w:r>
        <w:rPr>
          <w:lang w:val="fr-CH"/>
        </w:rPr>
        <w:t>’</w:t>
      </w:r>
      <w:r w:rsidRPr="0042206A">
        <w:rPr>
          <w:lang w:val="fr-CH"/>
        </w:rPr>
        <w:t xml:space="preserve">éclairage de cette surface doit être assuré par au moins deux sources de lumière situées le plus près possible de ses extrémités. La surface de sortie de la lumière peut être constituée de plusieurs éléments juxtaposés, pour autant que les projections des diverses surfaces de sortie de la lumière sur un plan transversal occupent au moins 60 </w:t>
      </w:r>
      <w:r w:rsidRPr="0042206A">
        <w:rPr>
          <w:lang w:val="fr-CH"/>
        </w:rPr>
        <w:lastRenderedPageBreak/>
        <w:t>% de la surface du plus petit rectangle circonscrit aux projections desdites surfaces de sortie de la lumière.</w:t>
      </w:r>
    </w:p>
    <w:p w14:paraId="771FECD2" w14:textId="77777777" w:rsidR="007D63AB" w:rsidRPr="0042206A" w:rsidRDefault="007D63AB" w:rsidP="007D63AB">
      <w:pPr>
        <w:pStyle w:val="para"/>
        <w:rPr>
          <w:lang w:val="fr-CH"/>
        </w:rPr>
      </w:pPr>
      <w:r w:rsidRPr="0042206A">
        <w:rPr>
          <w:lang w:val="fr-CH"/>
        </w:rPr>
        <w:t>2.12</w:t>
      </w:r>
      <w:r w:rsidRPr="0042206A">
        <w:rPr>
          <w:lang w:val="fr-CH"/>
        </w:rPr>
        <w:tab/>
        <w:t>“</w:t>
      </w:r>
      <w:r w:rsidRPr="0042206A">
        <w:rPr>
          <w:i/>
          <w:lang w:val="fr-CH"/>
        </w:rPr>
        <w:t>Témoin de fonctionnement</w:t>
      </w:r>
      <w:r w:rsidRPr="0042206A">
        <w:rPr>
          <w:lang w:val="fr-CH"/>
        </w:rPr>
        <w:t>”, un signal lumineux ou sonore (ou tout autre signal équivalent) indiquant qu</w:t>
      </w:r>
      <w:r>
        <w:rPr>
          <w:lang w:val="fr-CH"/>
        </w:rPr>
        <w:t>’</w:t>
      </w:r>
      <w:r w:rsidRPr="0042206A">
        <w:rPr>
          <w:lang w:val="fr-CH"/>
        </w:rPr>
        <w:t>un dispositif a été actionné et qu</w:t>
      </w:r>
      <w:r>
        <w:rPr>
          <w:lang w:val="fr-CH"/>
        </w:rPr>
        <w:t>’</w:t>
      </w:r>
      <w:r w:rsidRPr="0042206A">
        <w:rPr>
          <w:lang w:val="fr-CH"/>
        </w:rPr>
        <w:t>il fonctionne, correctement ou non.</w:t>
      </w:r>
    </w:p>
    <w:p w14:paraId="1ECD2775" w14:textId="77777777" w:rsidR="007D63AB" w:rsidRPr="0042206A" w:rsidRDefault="007D63AB" w:rsidP="007D63AB">
      <w:pPr>
        <w:pStyle w:val="para"/>
        <w:rPr>
          <w:lang w:val="fr-CH"/>
        </w:rPr>
      </w:pPr>
      <w:r w:rsidRPr="0042206A">
        <w:rPr>
          <w:lang w:val="fr-CH"/>
        </w:rPr>
        <w:t>2.13</w:t>
      </w:r>
      <w:r w:rsidRPr="0042206A">
        <w:rPr>
          <w:lang w:val="fr-CH"/>
        </w:rPr>
        <w:tab/>
        <w:t>“</w:t>
      </w:r>
      <w:r w:rsidRPr="0042206A">
        <w:rPr>
          <w:i/>
          <w:lang w:val="fr-CH"/>
        </w:rPr>
        <w:t>Témoin d</w:t>
      </w:r>
      <w:r>
        <w:rPr>
          <w:i/>
          <w:lang w:val="fr-CH"/>
        </w:rPr>
        <w:t>’</w:t>
      </w:r>
      <w:r w:rsidRPr="0042206A">
        <w:rPr>
          <w:i/>
          <w:lang w:val="fr-CH"/>
        </w:rPr>
        <w:t>enclenchement</w:t>
      </w:r>
      <w:r w:rsidRPr="0042206A">
        <w:rPr>
          <w:lang w:val="fr-CH"/>
        </w:rPr>
        <w:t>”, un témoin signalant qu</w:t>
      </w:r>
      <w:r>
        <w:rPr>
          <w:lang w:val="fr-CH"/>
        </w:rPr>
        <w:t>’</w:t>
      </w:r>
      <w:r w:rsidRPr="0042206A">
        <w:rPr>
          <w:lang w:val="fr-CH"/>
        </w:rPr>
        <w:t>un dispositif a été actionné sans indiquer s</w:t>
      </w:r>
      <w:r>
        <w:rPr>
          <w:lang w:val="fr-CH"/>
        </w:rPr>
        <w:t>’</w:t>
      </w:r>
      <w:r w:rsidRPr="0042206A">
        <w:rPr>
          <w:lang w:val="fr-CH"/>
        </w:rPr>
        <w:t>il fonctionne correctement ou non.</w:t>
      </w:r>
    </w:p>
    <w:p w14:paraId="3F6F6E06" w14:textId="77777777" w:rsidR="007D63AB" w:rsidRPr="0042206A" w:rsidRDefault="007D63AB" w:rsidP="007D63AB">
      <w:pPr>
        <w:pStyle w:val="para"/>
        <w:rPr>
          <w:lang w:val="fr-CH"/>
        </w:rPr>
      </w:pPr>
      <w:r w:rsidRPr="0042206A">
        <w:rPr>
          <w:lang w:val="fr-CH"/>
        </w:rPr>
        <w:t>2.14</w:t>
      </w:r>
      <w:r w:rsidRPr="0042206A">
        <w:rPr>
          <w:lang w:val="fr-CH"/>
        </w:rPr>
        <w:tab/>
        <w:t>“</w:t>
      </w:r>
      <w:r w:rsidRPr="0042206A">
        <w:rPr>
          <w:i/>
          <w:lang w:val="fr-CH"/>
        </w:rPr>
        <w:t>Couleur de la lumière émise par un dispositif</w:t>
      </w:r>
      <w:r w:rsidRPr="0042206A">
        <w:rPr>
          <w:lang w:val="fr-CH"/>
        </w:rPr>
        <w:t>” − Les définitions de la couleur de la lumière émise données dans le Règlement n</w:t>
      </w:r>
      <w:r w:rsidRPr="0042206A">
        <w:rPr>
          <w:vertAlign w:val="superscript"/>
          <w:lang w:val="fr-CH"/>
        </w:rPr>
        <w:t>o</w:t>
      </w:r>
      <w:r w:rsidRPr="0042206A">
        <w:rPr>
          <w:lang w:val="fr-CH"/>
        </w:rPr>
        <w:t> 48 et ses séries d</w:t>
      </w:r>
      <w:r>
        <w:rPr>
          <w:lang w:val="fr-CH"/>
        </w:rPr>
        <w:t>’</w:t>
      </w:r>
      <w:r w:rsidRPr="0042206A">
        <w:rPr>
          <w:lang w:val="fr-CH"/>
        </w:rPr>
        <w:t>amendements en vigueur à la date de la demande d</w:t>
      </w:r>
      <w:r>
        <w:rPr>
          <w:lang w:val="fr-CH"/>
        </w:rPr>
        <w:t>’</w:t>
      </w:r>
      <w:r w:rsidRPr="0042206A">
        <w:rPr>
          <w:lang w:val="fr-CH"/>
        </w:rPr>
        <w:t>homologation de type s</w:t>
      </w:r>
      <w:r>
        <w:rPr>
          <w:lang w:val="fr-CH"/>
        </w:rPr>
        <w:t>’</w:t>
      </w:r>
      <w:r w:rsidRPr="0042206A">
        <w:rPr>
          <w:lang w:val="fr-CH"/>
        </w:rPr>
        <w:t>appliquent au présent Règlement.</w:t>
      </w:r>
    </w:p>
    <w:p w14:paraId="30DCB0B3" w14:textId="77777777" w:rsidR="007D63AB" w:rsidRPr="0042206A" w:rsidRDefault="007D63AB" w:rsidP="007D63AB">
      <w:pPr>
        <w:pStyle w:val="para"/>
        <w:rPr>
          <w:lang w:val="fr-CH"/>
        </w:rPr>
      </w:pPr>
      <w:r w:rsidRPr="0042206A">
        <w:rPr>
          <w:lang w:val="fr-CH"/>
        </w:rPr>
        <w:t>2.15</w:t>
      </w:r>
      <w:r w:rsidRPr="0042206A">
        <w:rPr>
          <w:lang w:val="fr-CH"/>
        </w:rPr>
        <w:tab/>
        <w:t>“</w:t>
      </w:r>
      <w:r w:rsidRPr="00C034AD">
        <w:rPr>
          <w:i/>
          <w:lang w:val="fr-CH"/>
        </w:rPr>
        <w:t>Plaque de signalisation arrière pour véhicules lents</w:t>
      </w:r>
      <w:r w:rsidRPr="0042206A">
        <w:rPr>
          <w:lang w:val="fr-CH"/>
        </w:rPr>
        <w:t xml:space="preserve">”, une plaque triangulaire aux sommets tronqués ayant un dessin caractéristique et recouverte de matériaux ou dispositifs </w:t>
      </w:r>
      <w:proofErr w:type="spellStart"/>
      <w:r w:rsidRPr="0042206A">
        <w:rPr>
          <w:lang w:val="fr-CH"/>
        </w:rPr>
        <w:t>rétroréfléchissants</w:t>
      </w:r>
      <w:proofErr w:type="spellEnd"/>
      <w:r w:rsidRPr="0042206A">
        <w:rPr>
          <w:lang w:val="fr-CH"/>
        </w:rPr>
        <w:t xml:space="preserve"> et fluorescents (classe 1) ; ou de matériaux ou dispositifs </w:t>
      </w:r>
      <w:proofErr w:type="spellStart"/>
      <w:r w:rsidRPr="0042206A">
        <w:rPr>
          <w:lang w:val="fr-CH"/>
        </w:rPr>
        <w:t>rétroréfléchissants</w:t>
      </w:r>
      <w:proofErr w:type="spellEnd"/>
      <w:r w:rsidRPr="0042206A">
        <w:rPr>
          <w:lang w:val="fr-CH"/>
        </w:rPr>
        <w:t xml:space="preserve"> seulement (classe 2) (voir, par exemple, le </w:t>
      </w:r>
      <w:r w:rsidRPr="005B0D23">
        <w:rPr>
          <w:lang w:val="fr-CH"/>
        </w:rPr>
        <w:t>Règlement ONU n</w:t>
      </w:r>
      <w:r w:rsidRPr="005B0D23">
        <w:rPr>
          <w:vertAlign w:val="superscript"/>
          <w:lang w:val="fr-CH"/>
        </w:rPr>
        <w:t>o</w:t>
      </w:r>
      <w:r w:rsidRPr="005B0D23">
        <w:rPr>
          <w:lang w:val="fr-CH"/>
        </w:rPr>
        <w:t> 69 ou le Règlement ONU n</w:t>
      </w:r>
      <w:r w:rsidRPr="005B0D23">
        <w:rPr>
          <w:vertAlign w:val="superscript"/>
          <w:lang w:val="fr-CH"/>
        </w:rPr>
        <w:t>o</w:t>
      </w:r>
      <w:r w:rsidRPr="005B0D23">
        <w:rPr>
          <w:lang w:val="fr-CH"/>
        </w:rPr>
        <w:t> [RRD]);</w:t>
      </w:r>
    </w:p>
    <w:p w14:paraId="1D7398AC" w14:textId="77777777" w:rsidR="007D63AB" w:rsidRPr="0042206A" w:rsidRDefault="007D63AB" w:rsidP="007D63AB">
      <w:pPr>
        <w:pStyle w:val="para"/>
        <w:rPr>
          <w:rFonts w:cs="Arial"/>
          <w:lang w:val="fr-CH"/>
        </w:rPr>
      </w:pPr>
      <w:r w:rsidRPr="0042206A">
        <w:rPr>
          <w:rFonts w:cs="Arial"/>
          <w:lang w:val="fr-CH"/>
        </w:rPr>
        <w:t>2.16</w:t>
      </w:r>
      <w:r w:rsidRPr="0042206A">
        <w:rPr>
          <w:rFonts w:cs="Arial"/>
          <w:lang w:val="fr-CH"/>
        </w:rPr>
        <w:tab/>
      </w:r>
      <w:r w:rsidRPr="0042206A">
        <w:rPr>
          <w:rFonts w:cs="Arial"/>
          <w:lang w:val="fr-FR"/>
        </w:rPr>
        <w:t>“</w:t>
      </w:r>
      <w:r w:rsidRPr="0042206A">
        <w:rPr>
          <w:rFonts w:cs="Arial"/>
          <w:i/>
          <w:iCs/>
          <w:lang w:val="fr-FR"/>
        </w:rPr>
        <w:t>Bandeau de signalisation</w:t>
      </w:r>
      <w:r w:rsidRPr="0042206A">
        <w:rPr>
          <w:rFonts w:cs="Arial"/>
          <w:lang w:val="fr-CH"/>
        </w:rPr>
        <w:t>”</w:t>
      </w:r>
      <w:r w:rsidRPr="0042206A">
        <w:rPr>
          <w:rFonts w:cs="Arial"/>
          <w:lang w:val="fr-FR"/>
        </w:rPr>
        <w:t>, dispositif servant à indiquer aux autres usagers de la route, la présence d</w:t>
      </w:r>
      <w:r>
        <w:rPr>
          <w:rFonts w:cs="Arial"/>
          <w:lang w:val="fr-FR"/>
        </w:rPr>
        <w:t>’</w:t>
      </w:r>
      <w:r w:rsidRPr="0042206A">
        <w:rPr>
          <w:rFonts w:cs="Arial"/>
          <w:lang w:val="fr-FR"/>
        </w:rPr>
        <w:t>un véhicule exceptionnellement large ou long, qui est apposé à l</w:t>
      </w:r>
      <w:r>
        <w:rPr>
          <w:rFonts w:cs="Arial"/>
          <w:lang w:val="fr-FR"/>
        </w:rPr>
        <w:t>’</w:t>
      </w:r>
      <w:r w:rsidRPr="0042206A">
        <w:rPr>
          <w:rFonts w:cs="Arial"/>
          <w:lang w:val="fr-FR"/>
        </w:rPr>
        <w:t>avant, à l</w:t>
      </w:r>
      <w:r>
        <w:rPr>
          <w:rFonts w:cs="Arial"/>
          <w:lang w:val="fr-FR"/>
        </w:rPr>
        <w:t>’</w:t>
      </w:r>
      <w:r w:rsidRPr="0042206A">
        <w:rPr>
          <w:rFonts w:cs="Arial"/>
          <w:lang w:val="fr-FR"/>
        </w:rPr>
        <w:t>arrière ou sur les côtés</w:t>
      </w:r>
      <w:r w:rsidR="00C034AD">
        <w:rPr>
          <w:rFonts w:cs="Arial"/>
          <w:lang w:val="fr-FR"/>
        </w:rPr>
        <w:t>. ».</w:t>
      </w:r>
    </w:p>
    <w:p w14:paraId="76B4C98F" w14:textId="77777777" w:rsidR="007D63AB" w:rsidRPr="0042206A" w:rsidRDefault="007D63AB" w:rsidP="007D63AB">
      <w:pPr>
        <w:pStyle w:val="SingleTxtG"/>
        <w:keepNext/>
        <w:keepLines/>
        <w:ind w:left="2835" w:hanging="1701"/>
      </w:pPr>
      <w:r w:rsidRPr="0042206A">
        <w:rPr>
          <w:i/>
        </w:rPr>
        <w:t>Paragraphe 5.2</w:t>
      </w:r>
      <w:r w:rsidRPr="0042206A">
        <w:t>,</w:t>
      </w:r>
      <w:r w:rsidRPr="0042206A">
        <w:rPr>
          <w:i/>
        </w:rPr>
        <w:t xml:space="preserve"> </w:t>
      </w:r>
      <w:r w:rsidRPr="0042206A">
        <w:t>lire :</w:t>
      </w:r>
    </w:p>
    <w:p w14:paraId="10A5734E" w14:textId="77777777" w:rsidR="007D63AB" w:rsidRPr="0042206A" w:rsidRDefault="007D63AB" w:rsidP="005B0D23">
      <w:pPr>
        <w:pStyle w:val="SingleTxtG"/>
        <w:ind w:left="2268" w:hanging="1134"/>
        <w:rPr>
          <w:lang w:val="fr-FR"/>
        </w:rPr>
      </w:pPr>
      <w:r w:rsidRPr="0042206A">
        <w:rPr>
          <w:lang w:val="fr-FR"/>
        </w:rPr>
        <w:t>« 5.2</w:t>
      </w:r>
      <w:r w:rsidRPr="0042206A">
        <w:rPr>
          <w:lang w:val="fr-FR"/>
        </w:rPr>
        <w:tab/>
        <w:t>Les feux d</w:t>
      </w:r>
      <w:r>
        <w:rPr>
          <w:lang w:val="fr-FR"/>
        </w:rPr>
        <w:t>’</w:t>
      </w:r>
      <w:r w:rsidRPr="0042206A">
        <w:rPr>
          <w:lang w:val="fr-FR"/>
        </w:rPr>
        <w:t>éclairage (feu de route, feu de croisement et feu de brouillard avant) doivent être installés de façon que leur orientation puisse être correctement réglée sans difficultés. »</w:t>
      </w:r>
      <w:r>
        <w:rPr>
          <w:lang w:val="fr-FR"/>
        </w:rPr>
        <w:t>.</w:t>
      </w:r>
    </w:p>
    <w:p w14:paraId="364530A8" w14:textId="77777777" w:rsidR="007D63AB" w:rsidRPr="0042206A" w:rsidRDefault="007D63AB" w:rsidP="007D63AB">
      <w:pPr>
        <w:pStyle w:val="SingleTxtG"/>
        <w:keepNext/>
        <w:keepLines/>
        <w:ind w:left="2835" w:hanging="1701"/>
        <w:rPr>
          <w:lang w:val="fr-FR"/>
        </w:rPr>
      </w:pPr>
      <w:r w:rsidRPr="0042206A">
        <w:rPr>
          <w:i/>
          <w:lang w:val="fr-FR"/>
        </w:rPr>
        <w:t>Paragraphe 5.10</w:t>
      </w:r>
      <w:r w:rsidRPr="0042206A">
        <w:rPr>
          <w:lang w:val="fr-FR"/>
        </w:rPr>
        <w:t>,</w:t>
      </w:r>
      <w:r w:rsidRPr="0042206A">
        <w:rPr>
          <w:i/>
          <w:lang w:val="fr-FR"/>
        </w:rPr>
        <w:t xml:space="preserve"> </w:t>
      </w:r>
      <w:r w:rsidRPr="0042206A">
        <w:rPr>
          <w:lang w:val="fr-FR"/>
        </w:rPr>
        <w:t>lire :</w:t>
      </w:r>
    </w:p>
    <w:p w14:paraId="17687526" w14:textId="77777777" w:rsidR="007D63AB" w:rsidRPr="0042206A" w:rsidRDefault="007D63AB" w:rsidP="005B0D23">
      <w:pPr>
        <w:pStyle w:val="SingleTxtG"/>
        <w:ind w:left="2268" w:hanging="1134"/>
        <w:rPr>
          <w:lang w:val="fr-FR"/>
        </w:rPr>
      </w:pPr>
      <w:r w:rsidRPr="0042206A">
        <w:rPr>
          <w:lang w:val="fr-FR"/>
        </w:rPr>
        <w:t>« 5.10</w:t>
      </w:r>
      <w:r w:rsidRPr="0042206A">
        <w:rPr>
          <w:lang w:val="fr-FR"/>
        </w:rPr>
        <w:tab/>
        <w:t>Aucune lumière rouge pouvant prêter à confusion ne doit être émise vers l</w:t>
      </w:r>
      <w:r>
        <w:rPr>
          <w:lang w:val="fr-FR"/>
        </w:rPr>
        <w:t>’</w:t>
      </w:r>
      <w:r w:rsidRPr="0042206A">
        <w:rPr>
          <w:lang w:val="fr-FR"/>
        </w:rPr>
        <w:t>avant par un feu tel que défini au paragraphe </w:t>
      </w:r>
      <w:r w:rsidRPr="00356405">
        <w:rPr>
          <w:lang w:val="fr-FR"/>
        </w:rPr>
        <w:t>2.3</w:t>
      </w:r>
      <w:r w:rsidRPr="0042206A">
        <w:rPr>
          <w:lang w:val="fr-FR"/>
        </w:rPr>
        <w:t xml:space="preserve"> et aucune lumière blanche pouvant prêter à confusion ne doit être émise vers l</w:t>
      </w:r>
      <w:r>
        <w:rPr>
          <w:lang w:val="fr-FR"/>
        </w:rPr>
        <w:t>’</w:t>
      </w:r>
      <w:r w:rsidRPr="0042206A">
        <w:rPr>
          <w:lang w:val="fr-FR"/>
        </w:rPr>
        <w:t>arrière par un feu tel que défini au paragraphe </w:t>
      </w:r>
      <w:r w:rsidRPr="00356405">
        <w:rPr>
          <w:lang w:val="fr-FR"/>
        </w:rPr>
        <w:t>2.3</w:t>
      </w:r>
      <w:r w:rsidRPr="0042206A">
        <w:rPr>
          <w:lang w:val="fr-FR"/>
        </w:rPr>
        <w:t>. Il ne doit pas être tenu compte des dispositifs d</w:t>
      </w:r>
      <w:r>
        <w:rPr>
          <w:lang w:val="fr-FR"/>
        </w:rPr>
        <w:t>’</w:t>
      </w:r>
      <w:r w:rsidRPr="0042206A">
        <w:rPr>
          <w:lang w:val="fr-FR"/>
        </w:rPr>
        <w:t>éclairage installés à l</w:t>
      </w:r>
      <w:r>
        <w:rPr>
          <w:lang w:val="fr-FR"/>
        </w:rPr>
        <w:t>’</w:t>
      </w:r>
      <w:r w:rsidRPr="0042206A">
        <w:rPr>
          <w:lang w:val="fr-FR"/>
        </w:rPr>
        <w:t>intérieur du véhicule. En cas de doute, la conformité doit être vérifiée comme suit :</w:t>
      </w:r>
    </w:p>
    <w:p w14:paraId="1D62FDA9" w14:textId="77777777" w:rsidR="007D63AB" w:rsidRPr="0042206A" w:rsidRDefault="007D63AB" w:rsidP="005B0D23">
      <w:pPr>
        <w:pStyle w:val="SingleTxtG"/>
        <w:ind w:left="2268"/>
      </w:pPr>
      <w:r w:rsidRPr="0042206A">
        <w:t>… »</w:t>
      </w:r>
      <w:r>
        <w:t>.</w:t>
      </w:r>
    </w:p>
    <w:p w14:paraId="79AA017A" w14:textId="77777777" w:rsidR="007D63AB" w:rsidRPr="0042206A" w:rsidRDefault="007D63AB" w:rsidP="007D63AB">
      <w:pPr>
        <w:keepNext/>
        <w:keepLines/>
        <w:spacing w:after="120"/>
        <w:ind w:left="1134" w:right="1134"/>
        <w:jc w:val="both"/>
      </w:pPr>
      <w:r w:rsidRPr="0042206A">
        <w:rPr>
          <w:i/>
        </w:rPr>
        <w:t>Ajouter un nouveau paragraphe 5</w:t>
      </w:r>
      <w:r w:rsidR="0069226B">
        <w:rPr>
          <w:i/>
        </w:rPr>
        <w:t>.</w:t>
      </w:r>
      <w:r w:rsidRPr="0042206A">
        <w:rPr>
          <w:i/>
        </w:rPr>
        <w:t>20</w:t>
      </w:r>
      <w:r w:rsidRPr="0042206A">
        <w:t>, libellé comme suit :</w:t>
      </w:r>
    </w:p>
    <w:p w14:paraId="0A07914C" w14:textId="77777777" w:rsidR="007D63AB" w:rsidRPr="0042206A" w:rsidRDefault="007D63AB" w:rsidP="007D63AB">
      <w:pPr>
        <w:pStyle w:val="SingleTxtG"/>
        <w:keepNext/>
        <w:keepLines/>
        <w:ind w:left="2268" w:hanging="1134"/>
      </w:pPr>
      <w:r w:rsidRPr="0042206A">
        <w:t>« 5.20</w:t>
      </w:r>
      <w:r w:rsidRPr="0042206A">
        <w:tab/>
        <w:t>Un dispositif homologué au titre d</w:t>
      </w:r>
      <w:r>
        <w:t>’</w:t>
      </w:r>
      <w:r w:rsidRPr="0042206A">
        <w:t>une série précédente d</w:t>
      </w:r>
      <w:r>
        <w:t>’</w:t>
      </w:r>
      <w:r w:rsidRPr="0042206A">
        <w:t>amendements aux Règlements ONU n</w:t>
      </w:r>
      <w:r w:rsidRPr="0042206A">
        <w:rPr>
          <w:vertAlign w:val="superscript"/>
        </w:rPr>
        <w:t>os</w:t>
      </w:r>
      <w:r w:rsidRPr="0042206A">
        <w:t xml:space="preserve"> [LSD] </w:t>
      </w:r>
      <w:r>
        <w:t>ou</w:t>
      </w:r>
      <w:r w:rsidRPr="0042206A">
        <w:t xml:space="preserve"> [RID] </w:t>
      </w:r>
      <w:r>
        <w:t>ou</w:t>
      </w:r>
      <w:r w:rsidRPr="0042206A">
        <w:t xml:space="preserve"> [RRD] est réputé équivalent à un dispositif homologué au titre de la série d</w:t>
      </w:r>
      <w:r>
        <w:t>’</w:t>
      </w:r>
      <w:r w:rsidRPr="0042206A">
        <w:t xml:space="preserve">amendements la plus récente aux Règlements ONU concernés </w:t>
      </w:r>
      <w:r w:rsidRPr="00356405">
        <w:t>n</w:t>
      </w:r>
      <w:r w:rsidRPr="0042206A">
        <w:rPr>
          <w:vertAlign w:val="superscript"/>
        </w:rPr>
        <w:t>os</w:t>
      </w:r>
      <w:r w:rsidRPr="0042206A">
        <w:t xml:space="preserve"> [LSD] </w:t>
      </w:r>
      <w:r>
        <w:t>ou</w:t>
      </w:r>
      <w:r w:rsidRPr="0042206A">
        <w:t xml:space="preserve"> [RID] </w:t>
      </w:r>
      <w:r>
        <w:t>ou</w:t>
      </w:r>
      <w:r w:rsidRPr="0042206A">
        <w:t xml:space="preserve"> [RRD], lorsque les indices des modifications (définis dans le Règlement ONU n</w:t>
      </w:r>
      <w:r w:rsidRPr="0042206A">
        <w:rPr>
          <w:vertAlign w:val="superscript"/>
        </w:rPr>
        <w:t>o</w:t>
      </w:r>
      <w:r w:rsidRPr="0042206A">
        <w:t xml:space="preserve"> 48) de chacun des feux (fonctions) sont les mêmes. </w:t>
      </w:r>
      <w:r w:rsidRPr="0042206A">
        <w:rPr>
          <w:lang w:val="fr-FR"/>
        </w:rPr>
        <w:t>Dans ce cas</w:t>
      </w:r>
      <w:r w:rsidRPr="0042206A">
        <w:rPr>
          <w:b/>
          <w:lang w:val="fr-FR"/>
        </w:rPr>
        <w:t xml:space="preserve">, </w:t>
      </w:r>
      <w:r w:rsidRPr="0042206A">
        <w:rPr>
          <w:lang w:val="fr-FR"/>
        </w:rPr>
        <w:t>un tel dispositif peut être installé sur le véhicule dont l</w:t>
      </w:r>
      <w:r>
        <w:rPr>
          <w:lang w:val="fr-FR"/>
        </w:rPr>
        <w:t>’</w:t>
      </w:r>
      <w:r w:rsidRPr="0042206A">
        <w:rPr>
          <w:lang w:val="fr-FR"/>
        </w:rPr>
        <w:t>homologation de type est demandée sans mise à jour des documents d</w:t>
      </w:r>
      <w:r>
        <w:rPr>
          <w:lang w:val="fr-FR"/>
        </w:rPr>
        <w:t>’</w:t>
      </w:r>
      <w:r w:rsidRPr="0042206A">
        <w:rPr>
          <w:lang w:val="fr-FR"/>
        </w:rPr>
        <w:t>homologation de type ni du marquage du dispositif</w:t>
      </w:r>
      <w:r w:rsidRPr="0042206A">
        <w:t>. »</w:t>
      </w:r>
      <w:r w:rsidR="0069226B">
        <w:t>.</w:t>
      </w:r>
    </w:p>
    <w:p w14:paraId="5F5DBA58" w14:textId="77777777" w:rsidR="007D63AB" w:rsidRPr="0042206A" w:rsidRDefault="007D63AB" w:rsidP="007D63AB">
      <w:pPr>
        <w:pStyle w:val="SingleTxtG"/>
        <w:spacing w:line="240" w:lineRule="auto"/>
        <w:rPr>
          <w:lang w:val="fr-FR"/>
        </w:rPr>
      </w:pPr>
      <w:r w:rsidRPr="0042206A">
        <w:rPr>
          <w:i/>
          <w:lang w:val="fr-FR"/>
        </w:rPr>
        <w:t>Paragraphe 6.1</w:t>
      </w:r>
      <w:r w:rsidRPr="0042206A">
        <w:rPr>
          <w:lang w:val="fr-FR"/>
        </w:rPr>
        <w:t>, lire :</w:t>
      </w:r>
    </w:p>
    <w:p w14:paraId="29C2A27A" w14:textId="77777777" w:rsidR="007D63AB" w:rsidRPr="0042206A" w:rsidRDefault="007D63AB" w:rsidP="007D63AB">
      <w:pPr>
        <w:pStyle w:val="SingleTxtG"/>
        <w:spacing w:line="240" w:lineRule="auto"/>
        <w:ind w:left="2268" w:hanging="1134"/>
        <w:rPr>
          <w:lang w:val="fr-FR"/>
        </w:rPr>
      </w:pPr>
      <w:r w:rsidRPr="0042206A">
        <w:rPr>
          <w:lang w:val="fr-FR"/>
        </w:rPr>
        <w:t>« 6.1</w:t>
      </w:r>
      <w:r w:rsidRPr="0042206A">
        <w:rPr>
          <w:lang w:val="fr-FR"/>
        </w:rPr>
        <w:tab/>
        <w:t xml:space="preserve">Feux de route (Règlements ONU </w:t>
      </w:r>
      <w:r w:rsidRPr="0042206A">
        <w:rPr>
          <w:rFonts w:eastAsia="MS Mincho"/>
          <w:lang w:val="fr-FR"/>
        </w:rPr>
        <w:t>n</w:t>
      </w:r>
      <w:r w:rsidRPr="0042206A">
        <w:rPr>
          <w:rFonts w:eastAsia="MS Mincho"/>
          <w:vertAlign w:val="superscript"/>
          <w:lang w:val="fr-FR"/>
        </w:rPr>
        <w:t>os</w:t>
      </w:r>
      <w:r w:rsidRPr="0042206A">
        <w:rPr>
          <w:lang w:val="fr-FR"/>
        </w:rPr>
        <w:t xml:space="preserve"> 98, 112 et 113 </w:t>
      </w:r>
      <w:r>
        <w:rPr>
          <w:lang w:val="fr-FR"/>
        </w:rPr>
        <w:t xml:space="preserve">ou Règlement ONU </w:t>
      </w:r>
      <w:r w:rsidR="005B0D23" w:rsidRPr="005B0D23">
        <w:rPr>
          <w:rFonts w:eastAsia="MS Mincho"/>
          <w:lang w:val="fr-FR"/>
        </w:rPr>
        <w:t>n</w:t>
      </w:r>
      <w:r w:rsidR="005B0D23" w:rsidRPr="005B0D23">
        <w:rPr>
          <w:rFonts w:eastAsia="MS Mincho"/>
          <w:vertAlign w:val="superscript"/>
          <w:lang w:val="fr-FR"/>
        </w:rPr>
        <w:t>o</w:t>
      </w:r>
      <w:r w:rsidR="005B0D23">
        <w:rPr>
          <w:lang w:val="fr-FR"/>
        </w:rPr>
        <w:t> </w:t>
      </w:r>
      <w:r>
        <w:rPr>
          <w:lang w:val="fr-FR"/>
        </w:rPr>
        <w:t>[</w:t>
      </w:r>
      <w:r w:rsidRPr="0042206A">
        <w:rPr>
          <w:lang w:val="fr-FR"/>
        </w:rPr>
        <w:t>RID]) ».</w:t>
      </w:r>
    </w:p>
    <w:p w14:paraId="2ADFFA5D" w14:textId="77777777" w:rsidR="007D63AB" w:rsidRPr="0042206A" w:rsidRDefault="007D63AB" w:rsidP="007D63AB">
      <w:pPr>
        <w:pStyle w:val="SingleTxtG"/>
        <w:spacing w:line="240" w:lineRule="auto"/>
        <w:rPr>
          <w:lang w:val="fr-FR"/>
        </w:rPr>
      </w:pPr>
      <w:r w:rsidRPr="0042206A">
        <w:rPr>
          <w:i/>
          <w:lang w:val="fr-FR"/>
        </w:rPr>
        <w:t>Paragraphe 6.2</w:t>
      </w:r>
      <w:r w:rsidRPr="0042206A">
        <w:rPr>
          <w:lang w:val="fr-FR"/>
        </w:rPr>
        <w:t>, lire :</w:t>
      </w:r>
    </w:p>
    <w:p w14:paraId="6D9485AB" w14:textId="77777777" w:rsidR="007D63AB" w:rsidRPr="0042206A" w:rsidRDefault="007D63AB" w:rsidP="005B0D23">
      <w:pPr>
        <w:pStyle w:val="SingleTxtG"/>
        <w:spacing w:line="240" w:lineRule="auto"/>
        <w:ind w:left="2268" w:hanging="1134"/>
        <w:rPr>
          <w:lang w:val="fr-FR"/>
        </w:rPr>
      </w:pPr>
      <w:r w:rsidRPr="0042206A">
        <w:rPr>
          <w:lang w:val="fr-FR"/>
        </w:rPr>
        <w:t>« 6.2</w:t>
      </w:r>
      <w:r w:rsidRPr="0042206A">
        <w:rPr>
          <w:lang w:val="fr-FR"/>
        </w:rPr>
        <w:tab/>
      </w:r>
      <w:r w:rsidRPr="0042206A">
        <w:rPr>
          <w:lang w:val="fr-FR"/>
        </w:rPr>
        <w:tab/>
        <w:t xml:space="preserve">Feux de croisement (Règlements ONU </w:t>
      </w:r>
      <w:r w:rsidRPr="0042206A">
        <w:rPr>
          <w:rFonts w:eastAsia="MS Mincho"/>
          <w:lang w:val="fr-FR"/>
        </w:rPr>
        <w:t>n</w:t>
      </w:r>
      <w:r w:rsidRPr="0042206A">
        <w:rPr>
          <w:rFonts w:eastAsia="MS Mincho"/>
          <w:vertAlign w:val="superscript"/>
          <w:lang w:val="fr-FR"/>
        </w:rPr>
        <w:t>os</w:t>
      </w:r>
      <w:r w:rsidRPr="0042206A">
        <w:rPr>
          <w:lang w:val="fr-FR"/>
        </w:rPr>
        <w:t xml:space="preserve"> 98, 112 et 113 </w:t>
      </w:r>
      <w:r>
        <w:rPr>
          <w:lang w:val="fr-FR"/>
        </w:rPr>
        <w:t xml:space="preserve">ou Règlement ONU </w:t>
      </w:r>
      <w:r w:rsidR="005B0D23" w:rsidRPr="005B0D23">
        <w:rPr>
          <w:rFonts w:eastAsia="MS Mincho"/>
          <w:lang w:val="fr-FR"/>
        </w:rPr>
        <w:t>n</w:t>
      </w:r>
      <w:r w:rsidR="005B0D23" w:rsidRPr="005B0D23">
        <w:rPr>
          <w:rFonts w:eastAsia="MS Mincho"/>
          <w:vertAlign w:val="superscript"/>
          <w:lang w:val="fr-FR"/>
        </w:rPr>
        <w:t>o</w:t>
      </w:r>
      <w:r>
        <w:rPr>
          <w:lang w:val="fr-FR"/>
        </w:rPr>
        <w:t> [</w:t>
      </w:r>
      <w:r w:rsidRPr="0042206A">
        <w:rPr>
          <w:lang w:val="fr-FR"/>
        </w:rPr>
        <w:t>RID]) ».</w:t>
      </w:r>
    </w:p>
    <w:p w14:paraId="75D8E0B0" w14:textId="77777777" w:rsidR="007D63AB" w:rsidRPr="0042206A" w:rsidRDefault="007D63AB" w:rsidP="007D63AB">
      <w:pPr>
        <w:pStyle w:val="SingleTxtG"/>
        <w:keepNext/>
        <w:keepLines/>
        <w:ind w:left="2835" w:hanging="1701"/>
      </w:pPr>
      <w:r w:rsidRPr="0042206A">
        <w:rPr>
          <w:i/>
        </w:rPr>
        <w:t>Paragraphe 6.2.5</w:t>
      </w:r>
      <w:r w:rsidRPr="0042206A">
        <w:t>,</w:t>
      </w:r>
      <w:r w:rsidRPr="0042206A">
        <w:rPr>
          <w:i/>
        </w:rPr>
        <w:t xml:space="preserve"> </w:t>
      </w:r>
      <w:r w:rsidRPr="0042206A">
        <w:t>lire :</w:t>
      </w:r>
    </w:p>
    <w:p w14:paraId="1C30AB9D" w14:textId="77777777" w:rsidR="007D63AB" w:rsidRPr="0042206A" w:rsidRDefault="007D63AB" w:rsidP="005B0D23">
      <w:pPr>
        <w:pStyle w:val="SingleTxtG"/>
        <w:spacing w:line="240" w:lineRule="auto"/>
        <w:ind w:left="2268" w:hanging="1134"/>
        <w:rPr>
          <w:lang w:val="fr-FR"/>
        </w:rPr>
      </w:pPr>
      <w:r w:rsidRPr="0042206A">
        <w:rPr>
          <w:lang w:val="fr-FR"/>
        </w:rPr>
        <w:t>« 6.2.5</w:t>
      </w:r>
      <w:r w:rsidRPr="0042206A">
        <w:rPr>
          <w:lang w:val="fr-FR"/>
        </w:rPr>
        <w:tab/>
        <w:t xml:space="preserve">Visibilité géométrique : </w:t>
      </w:r>
      <w:r w:rsidRPr="001F03BA">
        <w:rPr>
          <w:lang w:val="fr-FR"/>
        </w:rPr>
        <w:t>e</w:t>
      </w:r>
      <w:r w:rsidRPr="0042206A">
        <w:rPr>
          <w:lang w:val="fr-FR"/>
        </w:rPr>
        <w:t>lle est déterminée par les angles α et β.</w:t>
      </w:r>
    </w:p>
    <w:p w14:paraId="12345A43" w14:textId="77777777" w:rsidR="007D63AB" w:rsidRPr="0042206A" w:rsidRDefault="007D63AB" w:rsidP="005B0D23">
      <w:pPr>
        <w:pStyle w:val="SingleTxtG"/>
        <w:ind w:left="2835"/>
        <w:rPr>
          <w:lang w:val="fr-FR"/>
        </w:rPr>
      </w:pPr>
      <w:r w:rsidRPr="0042206A">
        <w:rPr>
          <w:lang w:val="fr-FR"/>
        </w:rPr>
        <w:tab/>
      </w:r>
      <w:r w:rsidRPr="0042206A">
        <w:rPr>
          <w:lang w:val="en-GB"/>
        </w:rPr>
        <w:t>α</w:t>
      </w:r>
      <w:r w:rsidRPr="0042206A">
        <w:rPr>
          <w:lang w:val="fr-FR"/>
        </w:rPr>
        <w:t xml:space="preserve"> = 15° vers le haut et 10° vers le bas</w:t>
      </w:r>
      <w:r w:rsidR="005B0D23">
        <w:rPr>
          <w:lang w:val="fr-FR"/>
        </w:rPr>
        <w:t> ;</w:t>
      </w:r>
    </w:p>
    <w:p w14:paraId="7D7786F7" w14:textId="77777777" w:rsidR="007D63AB" w:rsidRPr="0042206A" w:rsidRDefault="007D63AB" w:rsidP="005B0D23">
      <w:pPr>
        <w:pStyle w:val="SingleTxtG"/>
        <w:ind w:left="2835"/>
        <w:rPr>
          <w:lang w:val="fr-FR"/>
        </w:rPr>
      </w:pPr>
      <w:r w:rsidRPr="0042206A">
        <w:rPr>
          <w:lang w:val="fr-FR"/>
        </w:rPr>
        <w:lastRenderedPageBreak/>
        <w:tab/>
      </w:r>
      <w:r w:rsidRPr="0042206A">
        <w:rPr>
          <w:lang w:val="en-GB"/>
        </w:rPr>
        <w:t>β</w:t>
      </w:r>
      <w:r w:rsidRPr="0042206A">
        <w:rPr>
          <w:lang w:val="fr-FR"/>
        </w:rPr>
        <w:t xml:space="preserve"> = 45° vers l</w:t>
      </w:r>
      <w:r>
        <w:rPr>
          <w:lang w:val="fr-FR"/>
        </w:rPr>
        <w:t>’</w:t>
      </w:r>
      <w:r w:rsidRPr="0042206A">
        <w:rPr>
          <w:lang w:val="fr-FR"/>
        </w:rPr>
        <w:t>extérieur et 5° vers l</w:t>
      </w:r>
      <w:r>
        <w:rPr>
          <w:lang w:val="fr-FR"/>
        </w:rPr>
        <w:t>’</w:t>
      </w:r>
      <w:r w:rsidRPr="0042206A">
        <w:rPr>
          <w:lang w:val="fr-FR"/>
        </w:rPr>
        <w:t>intérieur.</w:t>
      </w:r>
    </w:p>
    <w:p w14:paraId="6D81AEA2" w14:textId="77777777" w:rsidR="007D63AB" w:rsidRPr="0042206A" w:rsidRDefault="007D63AB" w:rsidP="005B0D23">
      <w:pPr>
        <w:pStyle w:val="SingleTxtG"/>
        <w:ind w:left="2268"/>
        <w:rPr>
          <w:lang w:val="fr-FR"/>
        </w:rPr>
      </w:pPr>
      <w:r w:rsidRPr="0042206A">
        <w:rPr>
          <w:lang w:val="fr-FR"/>
        </w:rPr>
        <w:tab/>
        <w:t>À l</w:t>
      </w:r>
      <w:r>
        <w:rPr>
          <w:lang w:val="fr-FR"/>
        </w:rPr>
        <w:t>’</w:t>
      </w:r>
      <w:r w:rsidRPr="0042206A">
        <w:rPr>
          <w:lang w:val="fr-FR"/>
        </w:rPr>
        <w:t>intérieur de ce champ, pratiquement toute la surface apparente du feu doit être visible.</w:t>
      </w:r>
    </w:p>
    <w:p w14:paraId="23157543" w14:textId="77777777" w:rsidR="007D63AB" w:rsidRPr="0042206A" w:rsidRDefault="007D63AB" w:rsidP="005B0D23">
      <w:pPr>
        <w:pStyle w:val="SingleTxtG"/>
        <w:ind w:left="2268"/>
        <w:rPr>
          <w:lang w:val="fr-FR"/>
        </w:rPr>
      </w:pPr>
      <w:r w:rsidRPr="0042206A">
        <w:rPr>
          <w:lang w:val="fr-FR"/>
        </w:rPr>
        <w:tab/>
        <w:t>La présence de parois ou d</w:t>
      </w:r>
      <w:r>
        <w:rPr>
          <w:lang w:val="fr-FR"/>
        </w:rPr>
        <w:t>’</w:t>
      </w:r>
      <w:r w:rsidRPr="0042206A">
        <w:rPr>
          <w:lang w:val="fr-FR"/>
        </w:rPr>
        <w:t>autres éléments au voisinage du projecteur ne doit pas causer d</w:t>
      </w:r>
      <w:r>
        <w:rPr>
          <w:lang w:val="fr-FR"/>
        </w:rPr>
        <w:t>’</w:t>
      </w:r>
      <w:r w:rsidRPr="0042206A">
        <w:rPr>
          <w:lang w:val="fr-FR"/>
        </w:rPr>
        <w:t>effets secondaires gênants pour les autres usagers de la route. ».</w:t>
      </w:r>
    </w:p>
    <w:p w14:paraId="09406149" w14:textId="77777777" w:rsidR="007D63AB" w:rsidRPr="0042206A" w:rsidRDefault="007D63AB" w:rsidP="007D63AB">
      <w:pPr>
        <w:pStyle w:val="SingleTxtG"/>
        <w:spacing w:line="240" w:lineRule="auto"/>
        <w:rPr>
          <w:lang w:val="fr-FR"/>
        </w:rPr>
      </w:pPr>
      <w:r w:rsidRPr="0042206A">
        <w:rPr>
          <w:i/>
          <w:lang w:val="fr-FR"/>
        </w:rPr>
        <w:t>Paragraphe 6.3</w:t>
      </w:r>
      <w:r w:rsidRPr="0042206A">
        <w:rPr>
          <w:lang w:val="fr-FR"/>
        </w:rPr>
        <w:t>, lire :</w:t>
      </w:r>
    </w:p>
    <w:p w14:paraId="05E0EE1D" w14:textId="77777777" w:rsidR="007D63AB" w:rsidRPr="0042206A" w:rsidRDefault="007D63AB" w:rsidP="007D63AB">
      <w:pPr>
        <w:pStyle w:val="SingleTxtG"/>
        <w:spacing w:line="240" w:lineRule="auto"/>
        <w:ind w:left="2268" w:hanging="1134"/>
        <w:rPr>
          <w:lang w:val="fr-FR"/>
        </w:rPr>
      </w:pPr>
      <w:r w:rsidRPr="0042206A">
        <w:rPr>
          <w:lang w:val="fr-FR"/>
        </w:rPr>
        <w:t>« 6.3</w:t>
      </w:r>
      <w:r w:rsidRPr="0042206A">
        <w:rPr>
          <w:lang w:val="fr-FR"/>
        </w:rPr>
        <w:tab/>
        <w:t xml:space="preserve">Feux de brouillard avant (Règlement ONU </w:t>
      </w:r>
      <w:r w:rsidRPr="0042206A">
        <w:rPr>
          <w:rFonts w:eastAsia="MS Mincho"/>
          <w:lang w:val="fr-FR"/>
        </w:rPr>
        <w:t>n</w:t>
      </w:r>
      <w:r w:rsidRPr="0042206A">
        <w:rPr>
          <w:rFonts w:eastAsia="MS Mincho"/>
          <w:vertAlign w:val="superscript"/>
          <w:lang w:val="fr-FR"/>
        </w:rPr>
        <w:t>o</w:t>
      </w:r>
      <w:r w:rsidRPr="0042206A">
        <w:rPr>
          <w:lang w:val="fr-FR"/>
        </w:rPr>
        <w:t xml:space="preserve"> 19 </w:t>
      </w:r>
      <w:r>
        <w:rPr>
          <w:lang w:val="fr-FR"/>
        </w:rPr>
        <w:t xml:space="preserve">ou Règlement ONU </w:t>
      </w:r>
      <w:r w:rsidR="005B0D23" w:rsidRPr="005B0D23">
        <w:rPr>
          <w:rFonts w:eastAsia="MS Mincho"/>
          <w:lang w:val="fr-FR"/>
        </w:rPr>
        <w:t>n</w:t>
      </w:r>
      <w:r w:rsidR="005B0D23" w:rsidRPr="005B0D23">
        <w:rPr>
          <w:rFonts w:eastAsia="MS Mincho"/>
          <w:vertAlign w:val="superscript"/>
          <w:lang w:val="fr-FR"/>
        </w:rPr>
        <w:t>o</w:t>
      </w:r>
      <w:r w:rsidR="005B0D23">
        <w:rPr>
          <w:lang w:val="fr-FR"/>
        </w:rPr>
        <w:t> </w:t>
      </w:r>
      <w:r>
        <w:rPr>
          <w:lang w:val="fr-FR"/>
        </w:rPr>
        <w:t>[</w:t>
      </w:r>
      <w:r w:rsidRPr="0042206A">
        <w:rPr>
          <w:lang w:val="fr-FR"/>
        </w:rPr>
        <w:t>RID]) ».</w:t>
      </w:r>
    </w:p>
    <w:p w14:paraId="211B71AE" w14:textId="77777777" w:rsidR="007D63AB" w:rsidRPr="0042206A" w:rsidRDefault="007D63AB" w:rsidP="007D63AB">
      <w:pPr>
        <w:pStyle w:val="SingleTxtG"/>
        <w:keepNext/>
        <w:keepLines/>
        <w:ind w:left="2835" w:hanging="1701"/>
        <w:rPr>
          <w:lang w:val="fr-FR"/>
        </w:rPr>
      </w:pPr>
      <w:r w:rsidRPr="0042206A">
        <w:rPr>
          <w:i/>
          <w:lang w:val="fr-FR"/>
        </w:rPr>
        <w:t>Paragraphe 6.3.5</w:t>
      </w:r>
      <w:r w:rsidRPr="0042206A">
        <w:rPr>
          <w:lang w:val="fr-FR"/>
        </w:rPr>
        <w:t>,</w:t>
      </w:r>
      <w:r w:rsidRPr="0042206A">
        <w:rPr>
          <w:i/>
          <w:lang w:val="fr-FR"/>
        </w:rPr>
        <w:t xml:space="preserve"> </w:t>
      </w:r>
      <w:r w:rsidRPr="0042206A">
        <w:rPr>
          <w:lang w:val="fr-FR"/>
        </w:rPr>
        <w:t>lire :</w:t>
      </w:r>
    </w:p>
    <w:p w14:paraId="34E4DAF5" w14:textId="77777777" w:rsidR="007D63AB" w:rsidRPr="0042206A" w:rsidRDefault="007D63AB" w:rsidP="005B0D23">
      <w:pPr>
        <w:pStyle w:val="SingleTxtG"/>
        <w:spacing w:line="240" w:lineRule="auto"/>
        <w:ind w:left="2268" w:hanging="1134"/>
        <w:rPr>
          <w:lang w:val="fr-FR"/>
        </w:rPr>
      </w:pPr>
      <w:r w:rsidRPr="0042206A">
        <w:rPr>
          <w:lang w:val="fr-FR"/>
        </w:rPr>
        <w:t>« 6.3.5</w:t>
      </w:r>
      <w:r w:rsidRPr="0042206A">
        <w:rPr>
          <w:lang w:val="fr-FR"/>
        </w:rPr>
        <w:tab/>
        <w:t xml:space="preserve">Visibilité géométrique : </w:t>
      </w:r>
      <w:r w:rsidR="0069226B">
        <w:rPr>
          <w:lang w:val="fr-FR"/>
        </w:rPr>
        <w:t>E</w:t>
      </w:r>
      <w:r w:rsidRPr="0042206A">
        <w:rPr>
          <w:lang w:val="fr-FR"/>
        </w:rPr>
        <w:t>lle est déterminée par les angles α et β.</w:t>
      </w:r>
    </w:p>
    <w:p w14:paraId="4AB0AC10" w14:textId="77777777" w:rsidR="007D63AB" w:rsidRPr="0042206A" w:rsidRDefault="007D63AB" w:rsidP="008244E3">
      <w:pPr>
        <w:pStyle w:val="SingleTxtG"/>
        <w:ind w:left="2835"/>
        <w:rPr>
          <w:lang w:val="fr-FR"/>
        </w:rPr>
      </w:pPr>
      <w:r w:rsidRPr="0042206A">
        <w:rPr>
          <w:lang w:val="fr-FR"/>
        </w:rPr>
        <w:tab/>
        <w:t>α = 5° vers le haut et vers le bas ;</w:t>
      </w:r>
    </w:p>
    <w:p w14:paraId="76C5D174" w14:textId="77777777" w:rsidR="007D63AB" w:rsidRPr="0042206A" w:rsidRDefault="007D63AB" w:rsidP="008244E3">
      <w:pPr>
        <w:pStyle w:val="SingleTxtG"/>
        <w:ind w:left="2835"/>
        <w:rPr>
          <w:lang w:val="fr-FR"/>
        </w:rPr>
      </w:pPr>
      <w:r w:rsidRPr="0042206A">
        <w:rPr>
          <w:lang w:val="fr-FR"/>
        </w:rPr>
        <w:t>β = 45° vers l</w:t>
      </w:r>
      <w:r>
        <w:rPr>
          <w:lang w:val="fr-FR"/>
        </w:rPr>
        <w:t>’</w:t>
      </w:r>
      <w:r w:rsidRPr="0042206A">
        <w:rPr>
          <w:lang w:val="fr-FR"/>
        </w:rPr>
        <w:t>extérieur et 5° vers l</w:t>
      </w:r>
      <w:r>
        <w:rPr>
          <w:lang w:val="fr-FR"/>
        </w:rPr>
        <w:t>’</w:t>
      </w:r>
      <w:r w:rsidRPr="0042206A">
        <w:rPr>
          <w:lang w:val="fr-FR"/>
        </w:rPr>
        <w:t>intérieur. »</w:t>
      </w:r>
      <w:r>
        <w:rPr>
          <w:lang w:val="fr-FR"/>
        </w:rPr>
        <w:t>.</w:t>
      </w:r>
    </w:p>
    <w:p w14:paraId="1E0141B5" w14:textId="77777777" w:rsidR="007D63AB" w:rsidRPr="0042206A" w:rsidRDefault="007D63AB" w:rsidP="007D63AB">
      <w:pPr>
        <w:pStyle w:val="SingleTxtG"/>
        <w:spacing w:line="240" w:lineRule="auto"/>
        <w:rPr>
          <w:lang w:val="fr-FR"/>
        </w:rPr>
      </w:pPr>
      <w:r w:rsidRPr="0042206A">
        <w:rPr>
          <w:i/>
          <w:lang w:val="fr-FR"/>
        </w:rPr>
        <w:t>Paragraphe 6.4</w:t>
      </w:r>
      <w:r w:rsidRPr="0042206A">
        <w:rPr>
          <w:lang w:val="fr-FR"/>
        </w:rPr>
        <w:t>, lire :</w:t>
      </w:r>
    </w:p>
    <w:p w14:paraId="31428C41" w14:textId="77777777" w:rsidR="007D63AB" w:rsidRPr="0042206A" w:rsidRDefault="007D63AB" w:rsidP="007D63AB">
      <w:pPr>
        <w:pStyle w:val="SingleTxtG"/>
        <w:spacing w:line="240" w:lineRule="auto"/>
        <w:ind w:left="2268" w:hanging="1134"/>
        <w:rPr>
          <w:lang w:val="fr-FR"/>
        </w:rPr>
      </w:pPr>
      <w:r w:rsidRPr="0042206A">
        <w:rPr>
          <w:lang w:val="fr-FR"/>
        </w:rPr>
        <w:t>« 6.4</w:t>
      </w:r>
      <w:r w:rsidRPr="0042206A">
        <w:rPr>
          <w:lang w:val="fr-FR"/>
        </w:rPr>
        <w:tab/>
        <w:t xml:space="preserve">Feux de marche arrière (Règlement ONU </w:t>
      </w:r>
      <w:r w:rsidRPr="0042206A">
        <w:rPr>
          <w:rFonts w:eastAsia="MS Mincho"/>
          <w:lang w:val="fr-FR"/>
        </w:rPr>
        <w:t>n</w:t>
      </w:r>
      <w:r w:rsidRPr="0042206A">
        <w:rPr>
          <w:rFonts w:eastAsia="MS Mincho"/>
          <w:vertAlign w:val="superscript"/>
          <w:lang w:val="fr-FR"/>
        </w:rPr>
        <w:t>o</w:t>
      </w:r>
      <w:r w:rsidRPr="0042206A">
        <w:rPr>
          <w:lang w:val="fr-FR"/>
        </w:rPr>
        <w:t xml:space="preserve"> 23 </w:t>
      </w:r>
      <w:r>
        <w:rPr>
          <w:lang w:val="fr-FR"/>
        </w:rPr>
        <w:t xml:space="preserve">ou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LSD]) ».</w:t>
      </w:r>
    </w:p>
    <w:p w14:paraId="610B68BC" w14:textId="77777777" w:rsidR="007D63AB" w:rsidRPr="0042206A" w:rsidRDefault="007D63AB" w:rsidP="007D63AB">
      <w:pPr>
        <w:pStyle w:val="SingleTxtG"/>
        <w:keepNext/>
        <w:keepLines/>
        <w:ind w:left="2835" w:hanging="1701"/>
        <w:rPr>
          <w:lang w:val="fr-FR"/>
        </w:rPr>
      </w:pPr>
      <w:r w:rsidRPr="0042206A">
        <w:rPr>
          <w:i/>
          <w:lang w:val="fr-FR"/>
        </w:rPr>
        <w:t>Paragraphe 6.4.5</w:t>
      </w:r>
      <w:r w:rsidRPr="0042206A">
        <w:rPr>
          <w:lang w:val="fr-FR"/>
        </w:rPr>
        <w:t>,</w:t>
      </w:r>
      <w:r w:rsidRPr="0042206A">
        <w:rPr>
          <w:i/>
          <w:lang w:val="fr-FR"/>
        </w:rPr>
        <w:t xml:space="preserve"> </w:t>
      </w:r>
      <w:r w:rsidRPr="0042206A">
        <w:rPr>
          <w:lang w:val="fr-FR"/>
        </w:rPr>
        <w:t>lire :</w:t>
      </w:r>
    </w:p>
    <w:p w14:paraId="0DBDED4F" w14:textId="77777777" w:rsidR="007D63AB" w:rsidRPr="0042206A" w:rsidRDefault="007D63AB" w:rsidP="005B0D23">
      <w:pPr>
        <w:pStyle w:val="SingleTxtG"/>
        <w:spacing w:line="240" w:lineRule="auto"/>
        <w:ind w:left="2268" w:hanging="1134"/>
        <w:rPr>
          <w:lang w:val="fr-FR"/>
        </w:rPr>
      </w:pPr>
      <w:r w:rsidRPr="0042206A">
        <w:rPr>
          <w:lang w:val="fr-FR"/>
        </w:rPr>
        <w:t>« 6.4.5</w:t>
      </w:r>
      <w:r w:rsidRPr="0042206A">
        <w:rPr>
          <w:lang w:val="fr-FR"/>
        </w:rPr>
        <w:tab/>
        <w:t>Visibilité géométrique :</w:t>
      </w:r>
      <w:r w:rsidRPr="0042206A">
        <w:rPr>
          <w:lang w:val="fr-FR"/>
        </w:rPr>
        <w:tab/>
        <w:t>Elle est déterminée par les angles </w:t>
      </w:r>
      <w:r w:rsidRPr="0042206A">
        <w:rPr>
          <w:lang w:val="en-GB"/>
        </w:rPr>
        <w:t>α</w:t>
      </w:r>
      <w:r w:rsidRPr="0042206A">
        <w:rPr>
          <w:lang w:val="fr-FR"/>
        </w:rPr>
        <w:t xml:space="preserve"> et </w:t>
      </w:r>
      <w:r w:rsidRPr="0042206A">
        <w:rPr>
          <w:lang w:val="en-GB"/>
        </w:rPr>
        <w:t>β</w:t>
      </w:r>
      <w:r w:rsidRPr="0042206A">
        <w:rPr>
          <w:lang w:val="fr-FR"/>
        </w:rPr>
        <w:t>.</w:t>
      </w:r>
    </w:p>
    <w:p w14:paraId="4A45B096" w14:textId="77777777" w:rsidR="007D63AB" w:rsidRPr="0042206A" w:rsidRDefault="007D63AB" w:rsidP="008244E3">
      <w:pPr>
        <w:pStyle w:val="SingleTxtG"/>
        <w:ind w:left="2835"/>
        <w:rPr>
          <w:lang w:val="fr-FR"/>
        </w:rPr>
      </w:pPr>
      <w:r w:rsidRPr="0042206A">
        <w:rPr>
          <w:lang w:val="fr-FR"/>
        </w:rPr>
        <w:tab/>
      </w:r>
      <w:r w:rsidRPr="0042206A">
        <w:rPr>
          <w:lang w:val="en-GB"/>
        </w:rPr>
        <w:t>α</w:t>
      </w:r>
      <w:r w:rsidRPr="0042206A">
        <w:rPr>
          <w:lang w:val="fr-FR"/>
        </w:rPr>
        <w:t xml:space="preserve"> = 15° vers le haut et 5° vers le bas ;</w:t>
      </w:r>
    </w:p>
    <w:p w14:paraId="6E944FDE" w14:textId="77777777" w:rsidR="007D63AB" w:rsidRPr="0042206A" w:rsidRDefault="007D63AB" w:rsidP="008244E3">
      <w:pPr>
        <w:pStyle w:val="SingleTxtG"/>
        <w:ind w:left="2835"/>
        <w:rPr>
          <w:lang w:val="fr-FR"/>
        </w:rPr>
      </w:pPr>
      <w:r w:rsidRPr="0042206A">
        <w:rPr>
          <w:lang w:val="fr-FR"/>
        </w:rPr>
        <w:tab/>
      </w:r>
      <w:r w:rsidRPr="0042206A">
        <w:rPr>
          <w:lang w:val="en-GB"/>
        </w:rPr>
        <w:t>β</w:t>
      </w:r>
      <w:r w:rsidRPr="0042206A">
        <w:rPr>
          <w:lang w:val="fr-FR"/>
        </w:rPr>
        <w:t xml:space="preserve"> = 45° à droite et à gauche s</w:t>
      </w:r>
      <w:r>
        <w:rPr>
          <w:lang w:val="fr-FR"/>
        </w:rPr>
        <w:t>’</w:t>
      </w:r>
      <w:r w:rsidRPr="0042206A">
        <w:rPr>
          <w:lang w:val="fr-FR"/>
        </w:rPr>
        <w:t>il n</w:t>
      </w:r>
      <w:r>
        <w:rPr>
          <w:lang w:val="fr-FR"/>
        </w:rPr>
        <w:t>’</w:t>
      </w:r>
      <w:r w:rsidRPr="0042206A">
        <w:rPr>
          <w:lang w:val="fr-FR"/>
        </w:rPr>
        <w:t>y a qu</w:t>
      </w:r>
      <w:r>
        <w:rPr>
          <w:lang w:val="fr-FR"/>
        </w:rPr>
        <w:t>’</w:t>
      </w:r>
      <w:r w:rsidRPr="0042206A">
        <w:rPr>
          <w:lang w:val="fr-FR"/>
        </w:rPr>
        <w:t>un seul feu ;</w:t>
      </w:r>
    </w:p>
    <w:p w14:paraId="4AC8EEA2" w14:textId="77777777" w:rsidR="007D63AB" w:rsidRPr="0042206A" w:rsidRDefault="007D63AB" w:rsidP="008244E3">
      <w:pPr>
        <w:pStyle w:val="SingleTxtG"/>
        <w:ind w:left="2835"/>
        <w:rPr>
          <w:lang w:val="fr-FR"/>
        </w:rPr>
      </w:pPr>
      <w:r w:rsidRPr="0042206A">
        <w:rPr>
          <w:lang w:val="fr-FR"/>
        </w:rPr>
        <w:tab/>
      </w:r>
      <w:r w:rsidRPr="0042206A">
        <w:rPr>
          <w:lang w:val="en-GB"/>
        </w:rPr>
        <w:t>β</w:t>
      </w:r>
      <w:r w:rsidRPr="0042206A">
        <w:rPr>
          <w:lang w:val="fr-FR"/>
        </w:rPr>
        <w:t xml:space="preserve"> = 45° vers l</w:t>
      </w:r>
      <w:r>
        <w:rPr>
          <w:lang w:val="fr-FR"/>
        </w:rPr>
        <w:t>’</w:t>
      </w:r>
      <w:r w:rsidRPr="0042206A">
        <w:rPr>
          <w:lang w:val="fr-FR"/>
        </w:rPr>
        <w:t>extérieur et 30° vers l</w:t>
      </w:r>
      <w:r>
        <w:rPr>
          <w:lang w:val="fr-FR"/>
        </w:rPr>
        <w:t>’</w:t>
      </w:r>
      <w:r w:rsidRPr="0042206A">
        <w:rPr>
          <w:lang w:val="fr-FR"/>
        </w:rPr>
        <w:t>intérieur s</w:t>
      </w:r>
      <w:r>
        <w:rPr>
          <w:lang w:val="fr-FR"/>
        </w:rPr>
        <w:t>’</w:t>
      </w:r>
      <w:r w:rsidRPr="0042206A">
        <w:rPr>
          <w:lang w:val="fr-FR"/>
        </w:rPr>
        <w:t>il y a deux feux. »</w:t>
      </w:r>
      <w:r w:rsidR="00CF5684">
        <w:rPr>
          <w:lang w:val="fr-FR"/>
        </w:rPr>
        <w:t>.</w:t>
      </w:r>
    </w:p>
    <w:p w14:paraId="1977A7C7" w14:textId="77777777" w:rsidR="007D63AB" w:rsidRPr="0042206A" w:rsidRDefault="007D63AB" w:rsidP="007D63AB">
      <w:pPr>
        <w:pStyle w:val="SingleTxtG"/>
        <w:spacing w:line="240" w:lineRule="auto"/>
        <w:rPr>
          <w:lang w:val="fr-FR"/>
        </w:rPr>
      </w:pPr>
      <w:r w:rsidRPr="0042206A">
        <w:rPr>
          <w:i/>
          <w:lang w:val="fr-FR"/>
        </w:rPr>
        <w:t>Paragraphe 6.5</w:t>
      </w:r>
      <w:r w:rsidRPr="0042206A">
        <w:rPr>
          <w:lang w:val="fr-FR"/>
        </w:rPr>
        <w:t>, lire :</w:t>
      </w:r>
    </w:p>
    <w:p w14:paraId="1E6C387D" w14:textId="77777777" w:rsidR="007D63AB" w:rsidRPr="0042206A" w:rsidRDefault="007D63AB" w:rsidP="007D63AB">
      <w:pPr>
        <w:pStyle w:val="SingleTxtG"/>
        <w:spacing w:line="240" w:lineRule="auto"/>
        <w:ind w:left="2268" w:hanging="1134"/>
        <w:rPr>
          <w:lang w:val="fr-FR"/>
        </w:rPr>
      </w:pPr>
      <w:r w:rsidRPr="0042206A">
        <w:rPr>
          <w:lang w:val="fr-FR"/>
        </w:rPr>
        <w:t>« 6.5</w:t>
      </w:r>
      <w:r w:rsidRPr="0042206A">
        <w:rPr>
          <w:lang w:val="fr-FR"/>
        </w:rPr>
        <w:tab/>
        <w:t xml:space="preserve">Feux indicateur de direction (Règlement ONU </w:t>
      </w:r>
      <w:r w:rsidRPr="0042206A">
        <w:rPr>
          <w:rFonts w:eastAsia="MS Mincho"/>
          <w:lang w:val="fr-FR"/>
        </w:rPr>
        <w:t>n</w:t>
      </w:r>
      <w:r w:rsidRPr="0042206A">
        <w:rPr>
          <w:rFonts w:eastAsia="MS Mincho"/>
          <w:vertAlign w:val="superscript"/>
          <w:lang w:val="fr-FR"/>
        </w:rPr>
        <w:t>o</w:t>
      </w:r>
      <w:r w:rsidRPr="0042206A">
        <w:rPr>
          <w:lang w:val="fr-FR"/>
        </w:rPr>
        <w:t xml:space="preserve"> 6 </w:t>
      </w:r>
      <w:r>
        <w:rPr>
          <w:lang w:val="fr-FR"/>
        </w:rPr>
        <w:t xml:space="preserve">ou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LSD]) ».</w:t>
      </w:r>
    </w:p>
    <w:p w14:paraId="38BFD9EB" w14:textId="77777777" w:rsidR="007D63AB" w:rsidRPr="0042206A" w:rsidRDefault="007D63AB" w:rsidP="007D63AB">
      <w:pPr>
        <w:pStyle w:val="SingleTxtG"/>
        <w:spacing w:line="240" w:lineRule="auto"/>
        <w:rPr>
          <w:lang w:val="fr-FR"/>
        </w:rPr>
      </w:pPr>
      <w:r w:rsidRPr="0042206A">
        <w:rPr>
          <w:i/>
          <w:lang w:val="fr-FR"/>
        </w:rPr>
        <w:t>Paragraphes 6.7 et 6.7.1</w:t>
      </w:r>
      <w:r w:rsidRPr="0042206A">
        <w:rPr>
          <w:lang w:val="fr-FR"/>
        </w:rPr>
        <w:t>, lire :</w:t>
      </w:r>
      <w:r w:rsidR="002C4136">
        <w:rPr>
          <w:lang w:val="fr-FR"/>
        </w:rPr>
        <w:t xml:space="preserve"> </w:t>
      </w:r>
    </w:p>
    <w:p w14:paraId="3317E34A" w14:textId="77777777" w:rsidR="007D63AB" w:rsidRPr="0042206A" w:rsidRDefault="007D63AB" w:rsidP="007D63AB">
      <w:pPr>
        <w:pStyle w:val="SingleTxtG"/>
        <w:spacing w:line="240" w:lineRule="auto"/>
        <w:ind w:left="2268" w:hanging="1134"/>
        <w:rPr>
          <w:lang w:val="fr-FR"/>
        </w:rPr>
      </w:pPr>
      <w:r w:rsidRPr="0042206A">
        <w:rPr>
          <w:lang w:val="fr-FR"/>
        </w:rPr>
        <w:t>« 6.7</w:t>
      </w:r>
      <w:r w:rsidRPr="0042206A">
        <w:rPr>
          <w:lang w:val="fr-FR"/>
        </w:rPr>
        <w:tab/>
        <w:t xml:space="preserve">Feux-stop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lang w:val="fr-FR"/>
        </w:rPr>
        <w:t xml:space="preserve">ou Règlement ONU </w:t>
      </w:r>
      <w:r w:rsidR="00CF5684" w:rsidRPr="00CF5684">
        <w:rPr>
          <w:rFonts w:eastAsia="MS Mincho"/>
          <w:lang w:val="fr-FR"/>
        </w:rPr>
        <w:t>n</w:t>
      </w:r>
      <w:r w:rsidR="00CF5684" w:rsidRPr="00CF5684">
        <w:rPr>
          <w:rFonts w:eastAsia="MS Mincho"/>
          <w:vertAlign w:val="superscript"/>
          <w:lang w:val="fr-FR"/>
        </w:rPr>
        <w:t>o</w:t>
      </w:r>
      <w:r w:rsidR="00CF5684">
        <w:rPr>
          <w:lang w:val="fr-FR"/>
        </w:rPr>
        <w:t> </w:t>
      </w:r>
      <w:r>
        <w:rPr>
          <w:lang w:val="fr-FR"/>
        </w:rPr>
        <w:t>[</w:t>
      </w:r>
      <w:r w:rsidRPr="0042206A">
        <w:rPr>
          <w:lang w:val="fr-FR"/>
        </w:rPr>
        <w:t>LSD])</w:t>
      </w:r>
    </w:p>
    <w:p w14:paraId="36775C55" w14:textId="77777777" w:rsidR="007D63AB" w:rsidRPr="0042206A" w:rsidRDefault="007D63AB" w:rsidP="007D63AB">
      <w:pPr>
        <w:pStyle w:val="SingleTxtG"/>
        <w:spacing w:line="240" w:lineRule="auto"/>
        <w:ind w:left="2268" w:hanging="1134"/>
        <w:rPr>
          <w:lang w:val="fr-FR"/>
        </w:rPr>
      </w:pPr>
      <w:r w:rsidRPr="0042206A">
        <w:rPr>
          <w:lang w:val="fr-FR"/>
        </w:rPr>
        <w:t>6.7.1</w:t>
      </w:r>
      <w:r w:rsidRPr="0042206A">
        <w:rPr>
          <w:lang w:val="fr-FR"/>
        </w:rPr>
        <w:tab/>
        <w:t>Présence : Dispositifs des catégories S1 ou S2 tels qu</w:t>
      </w:r>
      <w:r>
        <w:rPr>
          <w:lang w:val="fr-FR"/>
        </w:rPr>
        <w:t>’</w:t>
      </w:r>
      <w:r w:rsidRPr="0042206A">
        <w:rPr>
          <w:lang w:val="fr-FR"/>
        </w:rPr>
        <w:t xml:space="preserve">ils sont décrits dans le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lang w:val="fr-FR"/>
        </w:rPr>
        <w:t xml:space="preserve">ou le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LSD]</w:t>
      </w:r>
      <w:r w:rsidRPr="0042206A">
        <w:rPr>
          <w:bCs/>
          <w:lang w:val="fr-FR"/>
        </w:rPr>
        <w:t> :</w:t>
      </w:r>
      <w:r w:rsidRPr="0042206A">
        <w:rPr>
          <w:lang w:val="fr-FR"/>
        </w:rPr>
        <w:t xml:space="preserve"> obligatoires sur tous les véhicules.</w:t>
      </w:r>
    </w:p>
    <w:p w14:paraId="1C1E098A" w14:textId="77777777" w:rsidR="007D63AB" w:rsidRPr="0042206A" w:rsidRDefault="007D63AB" w:rsidP="007D63AB">
      <w:pPr>
        <w:pStyle w:val="SingleTxtG"/>
        <w:spacing w:line="240" w:lineRule="auto"/>
        <w:ind w:left="2268"/>
        <w:rPr>
          <w:lang w:val="fr-FR"/>
        </w:rPr>
      </w:pPr>
      <w:r w:rsidRPr="0042206A">
        <w:rPr>
          <w:lang w:val="fr-FR"/>
        </w:rPr>
        <w:t>Dispositifs des catégories S3 ou S4 tels qu</w:t>
      </w:r>
      <w:r>
        <w:rPr>
          <w:lang w:val="fr-FR"/>
        </w:rPr>
        <w:t>’</w:t>
      </w:r>
      <w:r w:rsidRPr="0042206A">
        <w:rPr>
          <w:lang w:val="fr-FR"/>
        </w:rPr>
        <w:t xml:space="preserve">ils sont décrits dans le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bCs/>
          <w:lang w:val="fr-FR"/>
        </w:rPr>
        <w:t xml:space="preserve">ou le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bCs/>
          <w:lang w:val="fr-FR"/>
        </w:rPr>
        <w:t>[</w:t>
      </w:r>
      <w:r w:rsidRPr="0042206A">
        <w:rPr>
          <w:bCs/>
          <w:lang w:val="fr-FR"/>
        </w:rPr>
        <w:t>LSD] :</w:t>
      </w:r>
      <w:r w:rsidRPr="0042206A">
        <w:rPr>
          <w:lang w:val="fr-FR"/>
        </w:rPr>
        <w:t xml:space="preserve"> facultatifs sur tous les véhicules. ».</w:t>
      </w:r>
    </w:p>
    <w:p w14:paraId="4760B2BF" w14:textId="77777777" w:rsidR="007D63AB" w:rsidRPr="0042206A" w:rsidRDefault="007D63AB" w:rsidP="007D63AB">
      <w:pPr>
        <w:pStyle w:val="SingleTxtG"/>
        <w:spacing w:line="240" w:lineRule="auto"/>
        <w:rPr>
          <w:lang w:val="fr-FR"/>
        </w:rPr>
      </w:pPr>
      <w:r w:rsidRPr="0042206A">
        <w:rPr>
          <w:i/>
          <w:lang w:val="fr-FR"/>
        </w:rPr>
        <w:t>Paragraphe 6.8</w:t>
      </w:r>
      <w:r w:rsidRPr="0042206A">
        <w:rPr>
          <w:lang w:val="fr-FR"/>
        </w:rPr>
        <w:t>, lire :</w:t>
      </w:r>
    </w:p>
    <w:p w14:paraId="63B62B64" w14:textId="77777777" w:rsidR="007D63AB" w:rsidRPr="0042206A" w:rsidRDefault="007D63AB" w:rsidP="007D63AB">
      <w:pPr>
        <w:pStyle w:val="SingleTxtG"/>
        <w:spacing w:line="240" w:lineRule="auto"/>
        <w:ind w:left="2268" w:hanging="1134"/>
        <w:rPr>
          <w:lang w:val="fr-FR"/>
        </w:rPr>
      </w:pPr>
      <w:r w:rsidRPr="0042206A">
        <w:rPr>
          <w:lang w:val="fr-FR"/>
        </w:rPr>
        <w:t>« 6.8</w:t>
      </w:r>
      <w:r w:rsidRPr="0042206A">
        <w:rPr>
          <w:lang w:val="fr-FR"/>
        </w:rPr>
        <w:tab/>
        <w:t xml:space="preserve">Feu de position avant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lang w:val="fr-FR"/>
        </w:rPr>
        <w:t xml:space="preserve">ou Règlement ONU </w:t>
      </w:r>
      <w:r w:rsidR="00CF5684" w:rsidRPr="00CF5684">
        <w:rPr>
          <w:rFonts w:eastAsia="MS Mincho"/>
          <w:lang w:val="fr-FR"/>
        </w:rPr>
        <w:t>n</w:t>
      </w:r>
      <w:r w:rsidR="00CF5684" w:rsidRPr="00CF5684">
        <w:rPr>
          <w:rFonts w:eastAsia="MS Mincho"/>
          <w:vertAlign w:val="superscript"/>
          <w:lang w:val="fr-FR"/>
        </w:rPr>
        <w:t>o</w:t>
      </w:r>
      <w:r w:rsidR="00CF5684">
        <w:rPr>
          <w:lang w:val="fr-FR"/>
        </w:rPr>
        <w:t> </w:t>
      </w:r>
      <w:r>
        <w:rPr>
          <w:lang w:val="fr-FR"/>
        </w:rPr>
        <w:t>[</w:t>
      </w:r>
      <w:r w:rsidRPr="0042206A">
        <w:rPr>
          <w:lang w:val="fr-FR"/>
        </w:rPr>
        <w:t>LSD]) ».</w:t>
      </w:r>
    </w:p>
    <w:p w14:paraId="5EAB8BA5" w14:textId="77777777" w:rsidR="007D63AB" w:rsidRPr="0042206A" w:rsidRDefault="007D63AB" w:rsidP="007D63AB">
      <w:pPr>
        <w:pStyle w:val="SingleTxtG"/>
        <w:spacing w:line="240" w:lineRule="auto"/>
        <w:rPr>
          <w:lang w:val="fr-FR"/>
        </w:rPr>
      </w:pPr>
      <w:r w:rsidRPr="0042206A">
        <w:rPr>
          <w:i/>
          <w:lang w:val="fr-FR"/>
        </w:rPr>
        <w:t>Paragraphe 6.9</w:t>
      </w:r>
      <w:r w:rsidRPr="0042206A">
        <w:rPr>
          <w:lang w:val="fr-FR"/>
        </w:rPr>
        <w:t>, lire :</w:t>
      </w:r>
    </w:p>
    <w:p w14:paraId="76191D7E" w14:textId="77777777" w:rsidR="007D63AB" w:rsidRPr="0042206A" w:rsidRDefault="007D63AB" w:rsidP="007D63AB">
      <w:pPr>
        <w:pStyle w:val="SingleTxtG"/>
        <w:spacing w:line="240" w:lineRule="auto"/>
        <w:ind w:left="2268" w:hanging="1134"/>
        <w:rPr>
          <w:lang w:val="fr-FR"/>
        </w:rPr>
      </w:pPr>
      <w:r w:rsidRPr="0042206A">
        <w:rPr>
          <w:lang w:val="fr-FR"/>
        </w:rPr>
        <w:t>« 6.9</w:t>
      </w:r>
      <w:r w:rsidRPr="0042206A">
        <w:rPr>
          <w:lang w:val="fr-FR"/>
        </w:rPr>
        <w:tab/>
        <w:t xml:space="preserve">Feux de position arrière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lang w:val="fr-FR"/>
        </w:rPr>
        <w:t xml:space="preserve">ou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LSD]) ».</w:t>
      </w:r>
    </w:p>
    <w:p w14:paraId="3C8D61D6" w14:textId="77777777" w:rsidR="007D63AB" w:rsidRPr="0042206A" w:rsidRDefault="007D63AB" w:rsidP="007D63AB">
      <w:pPr>
        <w:pStyle w:val="SingleTxtG"/>
        <w:spacing w:line="240" w:lineRule="auto"/>
        <w:rPr>
          <w:lang w:val="fr-FR"/>
        </w:rPr>
      </w:pPr>
      <w:r w:rsidRPr="0042206A">
        <w:rPr>
          <w:i/>
          <w:lang w:val="fr-FR"/>
        </w:rPr>
        <w:t>Paragraphe 6.10</w:t>
      </w:r>
      <w:r w:rsidRPr="0042206A">
        <w:rPr>
          <w:lang w:val="fr-FR"/>
        </w:rPr>
        <w:t>, lire :</w:t>
      </w:r>
    </w:p>
    <w:p w14:paraId="16EF1A59" w14:textId="77777777" w:rsidR="007D63AB" w:rsidRPr="0042206A" w:rsidRDefault="007D63AB" w:rsidP="007D63AB">
      <w:pPr>
        <w:pStyle w:val="SingleTxtG"/>
        <w:spacing w:line="240" w:lineRule="auto"/>
        <w:ind w:left="2268" w:hanging="1134"/>
        <w:rPr>
          <w:lang w:val="fr-FR"/>
        </w:rPr>
      </w:pPr>
      <w:r w:rsidRPr="0042206A">
        <w:rPr>
          <w:lang w:val="fr-FR"/>
        </w:rPr>
        <w:t>« 6.10</w:t>
      </w:r>
      <w:r w:rsidRPr="0042206A">
        <w:rPr>
          <w:lang w:val="fr-FR"/>
        </w:rPr>
        <w:tab/>
        <w:t xml:space="preserve">Feu(x) de brouillard arrière (Règlement ONU </w:t>
      </w:r>
      <w:r w:rsidRPr="0042206A">
        <w:rPr>
          <w:rFonts w:eastAsia="MS Mincho"/>
          <w:lang w:val="fr-FR"/>
        </w:rPr>
        <w:t>n</w:t>
      </w:r>
      <w:r w:rsidRPr="0042206A">
        <w:rPr>
          <w:rFonts w:eastAsia="MS Mincho"/>
          <w:vertAlign w:val="superscript"/>
          <w:lang w:val="fr-FR"/>
        </w:rPr>
        <w:t>o</w:t>
      </w:r>
      <w:r w:rsidRPr="0042206A">
        <w:rPr>
          <w:lang w:val="fr-FR"/>
        </w:rPr>
        <w:t xml:space="preserve"> 38 </w:t>
      </w:r>
      <w:r>
        <w:rPr>
          <w:lang w:val="fr-FR"/>
        </w:rPr>
        <w:t xml:space="preserve">ou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LSD]) ».</w:t>
      </w:r>
    </w:p>
    <w:p w14:paraId="6DD2865F" w14:textId="77777777" w:rsidR="007D63AB" w:rsidRPr="0042206A" w:rsidRDefault="007D63AB" w:rsidP="008244E3">
      <w:pPr>
        <w:pStyle w:val="SingleTxtG"/>
        <w:keepNext/>
        <w:spacing w:line="240" w:lineRule="auto"/>
        <w:rPr>
          <w:lang w:val="fr-FR"/>
        </w:rPr>
      </w:pPr>
      <w:r w:rsidRPr="0042206A">
        <w:rPr>
          <w:i/>
          <w:lang w:val="fr-FR"/>
        </w:rPr>
        <w:t>Paragraphe 6.11</w:t>
      </w:r>
      <w:r w:rsidRPr="0042206A">
        <w:rPr>
          <w:lang w:val="fr-FR"/>
        </w:rPr>
        <w:t>, lire :</w:t>
      </w:r>
    </w:p>
    <w:p w14:paraId="4079D3A3" w14:textId="77777777" w:rsidR="007D63AB" w:rsidRPr="0042206A" w:rsidRDefault="007D63AB" w:rsidP="007D63AB">
      <w:pPr>
        <w:pStyle w:val="SingleTxtG"/>
        <w:spacing w:line="240" w:lineRule="auto"/>
        <w:ind w:left="2268" w:hanging="1134"/>
        <w:rPr>
          <w:lang w:val="fr-FR"/>
        </w:rPr>
      </w:pPr>
      <w:r w:rsidRPr="0042206A">
        <w:rPr>
          <w:lang w:val="fr-FR"/>
        </w:rPr>
        <w:t>« 6.11</w:t>
      </w:r>
      <w:r w:rsidRPr="0042206A">
        <w:rPr>
          <w:lang w:val="fr-FR"/>
        </w:rPr>
        <w:tab/>
        <w:t xml:space="preserve">Feux de stationnement (Règlement ONU </w:t>
      </w:r>
      <w:r w:rsidRPr="0042206A">
        <w:rPr>
          <w:rFonts w:eastAsia="MS Mincho"/>
          <w:lang w:val="fr-FR"/>
        </w:rPr>
        <w:t>n</w:t>
      </w:r>
      <w:r w:rsidRPr="0042206A">
        <w:rPr>
          <w:rFonts w:eastAsia="MS Mincho"/>
          <w:vertAlign w:val="superscript"/>
          <w:lang w:val="fr-FR"/>
        </w:rPr>
        <w:t>o</w:t>
      </w:r>
      <w:r w:rsidRPr="0042206A">
        <w:rPr>
          <w:lang w:val="fr-FR"/>
        </w:rPr>
        <w:t xml:space="preserve"> 77 ou 7 </w:t>
      </w:r>
      <w:r>
        <w:rPr>
          <w:lang w:val="fr-FR"/>
        </w:rPr>
        <w:t xml:space="preserve">ou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LSD]) ».</w:t>
      </w:r>
    </w:p>
    <w:p w14:paraId="1CB8E810" w14:textId="77777777" w:rsidR="007D63AB" w:rsidRPr="0042206A" w:rsidRDefault="007D63AB" w:rsidP="007D63AB">
      <w:pPr>
        <w:pStyle w:val="SingleTxtG"/>
        <w:spacing w:line="240" w:lineRule="auto"/>
        <w:rPr>
          <w:lang w:val="fr-FR"/>
        </w:rPr>
      </w:pPr>
      <w:r w:rsidRPr="0042206A">
        <w:rPr>
          <w:i/>
          <w:lang w:val="fr-FR"/>
        </w:rPr>
        <w:t>Paragraphe 6.12</w:t>
      </w:r>
      <w:r w:rsidRPr="0042206A">
        <w:rPr>
          <w:lang w:val="fr-FR"/>
        </w:rPr>
        <w:t>, lire :</w:t>
      </w:r>
    </w:p>
    <w:p w14:paraId="7CAB6B1A" w14:textId="77777777" w:rsidR="007D63AB" w:rsidRPr="0042206A" w:rsidRDefault="007D63AB" w:rsidP="007D63AB">
      <w:pPr>
        <w:pStyle w:val="SingleTxtG"/>
        <w:spacing w:line="240" w:lineRule="auto"/>
        <w:ind w:left="2268" w:hanging="1134"/>
        <w:rPr>
          <w:lang w:val="fr-FR"/>
        </w:rPr>
      </w:pPr>
      <w:r w:rsidRPr="0042206A">
        <w:rPr>
          <w:lang w:val="fr-FR"/>
        </w:rPr>
        <w:t>« 6.12</w:t>
      </w:r>
      <w:r w:rsidRPr="0042206A">
        <w:rPr>
          <w:lang w:val="fr-FR"/>
        </w:rPr>
        <w:tab/>
        <w:t>Feux d</w:t>
      </w:r>
      <w:r>
        <w:rPr>
          <w:lang w:val="fr-FR"/>
        </w:rPr>
        <w:t>’</w:t>
      </w:r>
      <w:r w:rsidRPr="0042206A">
        <w:rPr>
          <w:lang w:val="fr-FR"/>
        </w:rPr>
        <w:t xml:space="preserve">encombrement (feu de gabarit) (Règlement ONU </w:t>
      </w:r>
      <w:r w:rsidRPr="0042206A">
        <w:rPr>
          <w:rFonts w:eastAsia="MS Mincho"/>
          <w:bCs/>
          <w:lang w:val="fr-FR"/>
        </w:rPr>
        <w:t>n</w:t>
      </w:r>
      <w:r w:rsidRPr="0042206A">
        <w:rPr>
          <w:rFonts w:eastAsia="MS Mincho"/>
          <w:bCs/>
          <w:vertAlign w:val="superscript"/>
          <w:lang w:val="fr-FR"/>
        </w:rPr>
        <w:t>o</w:t>
      </w:r>
      <w:r w:rsidRPr="0042206A">
        <w:rPr>
          <w:bCs/>
          <w:lang w:val="fr-FR"/>
        </w:rPr>
        <w:t> </w:t>
      </w:r>
      <w:r w:rsidRPr="0042206A">
        <w:rPr>
          <w:lang w:val="fr-FR"/>
        </w:rPr>
        <w:t xml:space="preserve">7 </w:t>
      </w:r>
      <w:r>
        <w:rPr>
          <w:lang w:val="fr-FR"/>
        </w:rPr>
        <w:t xml:space="preserve">ou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LSD]) ».</w:t>
      </w:r>
    </w:p>
    <w:p w14:paraId="5738B49D" w14:textId="77777777" w:rsidR="007D63AB" w:rsidRPr="0042206A" w:rsidRDefault="007D63AB" w:rsidP="007D63AB">
      <w:pPr>
        <w:pStyle w:val="SingleTxtG"/>
        <w:keepNext/>
        <w:spacing w:line="240" w:lineRule="auto"/>
        <w:rPr>
          <w:lang w:val="fr-FR"/>
        </w:rPr>
      </w:pPr>
      <w:r w:rsidRPr="0042206A">
        <w:rPr>
          <w:i/>
          <w:lang w:val="fr-FR"/>
        </w:rPr>
        <w:lastRenderedPageBreak/>
        <w:t>Paragraphe 6.14</w:t>
      </w:r>
      <w:r w:rsidRPr="0042206A">
        <w:rPr>
          <w:lang w:val="fr-FR"/>
        </w:rPr>
        <w:t>, lire :</w:t>
      </w:r>
    </w:p>
    <w:p w14:paraId="3575C1BA" w14:textId="77777777" w:rsidR="007D63AB" w:rsidRPr="0042206A" w:rsidRDefault="007D63AB" w:rsidP="007D63AB">
      <w:pPr>
        <w:pStyle w:val="SingleTxtG"/>
        <w:spacing w:line="240" w:lineRule="auto"/>
        <w:ind w:left="2268" w:hanging="1134"/>
        <w:rPr>
          <w:lang w:val="fr-FR"/>
        </w:rPr>
      </w:pPr>
      <w:r w:rsidRPr="0042206A">
        <w:rPr>
          <w:lang w:val="fr-FR"/>
        </w:rPr>
        <w:t>« 6.14</w:t>
      </w:r>
      <w:r w:rsidRPr="0042206A">
        <w:rPr>
          <w:lang w:val="fr-FR"/>
        </w:rPr>
        <w:tab/>
        <w:t xml:space="preserve">Catadioptre arrière, non triangulaire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lang w:val="fr-FR"/>
        </w:rPr>
        <w:t xml:space="preserve">ou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RRD]) ».</w:t>
      </w:r>
    </w:p>
    <w:p w14:paraId="0195DC7C" w14:textId="77777777" w:rsidR="007D63AB" w:rsidRPr="0042206A" w:rsidRDefault="007D63AB" w:rsidP="007D63AB">
      <w:pPr>
        <w:pStyle w:val="SingleTxtG"/>
        <w:keepNext/>
        <w:spacing w:line="240" w:lineRule="auto"/>
        <w:rPr>
          <w:lang w:val="fr-FR"/>
        </w:rPr>
      </w:pPr>
      <w:r w:rsidRPr="0042206A">
        <w:rPr>
          <w:i/>
          <w:lang w:val="fr-FR"/>
        </w:rPr>
        <w:t>Paragraphe 6.14.2</w:t>
      </w:r>
      <w:r w:rsidRPr="0042206A">
        <w:rPr>
          <w:lang w:val="fr-FR"/>
        </w:rPr>
        <w:t>, lire :</w:t>
      </w:r>
    </w:p>
    <w:p w14:paraId="6D382157" w14:textId="77777777" w:rsidR="007D63AB" w:rsidRPr="0042206A" w:rsidRDefault="007D63AB" w:rsidP="007D63AB">
      <w:pPr>
        <w:pStyle w:val="SingleTxtG"/>
        <w:spacing w:line="240" w:lineRule="auto"/>
        <w:ind w:left="2268" w:hanging="1134"/>
        <w:rPr>
          <w:lang w:val="fr-FR"/>
        </w:rPr>
      </w:pPr>
      <w:r w:rsidRPr="0042206A">
        <w:rPr>
          <w:lang w:val="fr-FR"/>
        </w:rPr>
        <w:t>« 6.14.2</w:t>
      </w:r>
      <w:r w:rsidRPr="0042206A">
        <w:rPr>
          <w:lang w:val="fr-FR"/>
        </w:rPr>
        <w:tab/>
        <w:t>Nombre : Deux ou quatre (voir par. 6.14.5.1).</w:t>
      </w:r>
    </w:p>
    <w:p w14:paraId="1D63EB76" w14:textId="77777777" w:rsidR="007D63AB" w:rsidRPr="0042206A" w:rsidRDefault="007D63AB" w:rsidP="007D63AB">
      <w:pPr>
        <w:pStyle w:val="SingleTxtG"/>
        <w:spacing w:line="240" w:lineRule="auto"/>
        <w:ind w:left="2268"/>
        <w:rPr>
          <w:lang w:val="fr-FR"/>
        </w:rPr>
      </w:pPr>
      <w:r w:rsidRPr="0042206A">
        <w:rPr>
          <w:lang w:val="fr-FR"/>
        </w:rPr>
        <w:t xml:space="preserve">Les performances de ces dispositifs doivent être conformes aux prescriptions concernant les catadioptres de la classe IA ou IB, énoncées dans le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lang w:val="fr-FR"/>
        </w:rPr>
        <w:t xml:space="preserve">ou le Règlement ONU </w:t>
      </w:r>
      <w:r w:rsidR="008244E3" w:rsidRPr="005B0D23">
        <w:rPr>
          <w:rFonts w:eastAsia="MS Mincho"/>
          <w:lang w:val="fr-FR"/>
        </w:rPr>
        <w:t>n</w:t>
      </w:r>
      <w:r w:rsidR="008244E3" w:rsidRPr="005B0D23">
        <w:rPr>
          <w:rFonts w:eastAsia="MS Mincho"/>
          <w:vertAlign w:val="superscript"/>
          <w:lang w:val="fr-FR"/>
        </w:rPr>
        <w:t>o</w:t>
      </w:r>
      <w:r w:rsidR="008244E3">
        <w:rPr>
          <w:lang w:val="fr-FR"/>
        </w:rPr>
        <w:t> </w:t>
      </w:r>
      <w:r>
        <w:rPr>
          <w:lang w:val="fr-FR"/>
        </w:rPr>
        <w:t>[</w:t>
      </w:r>
      <w:r w:rsidRPr="0042206A">
        <w:rPr>
          <w:lang w:val="fr-FR"/>
        </w:rPr>
        <w:t>RRD]. Les dispositifs et matériaux réfléchissants supplémentaires (notamment deux catadioptres ne satisfaisant pas aux dispositions du paragraphe 6.14.4 ci-dessous), sont autorisés à condition qu</w:t>
      </w:r>
      <w:r>
        <w:rPr>
          <w:lang w:val="fr-FR"/>
        </w:rPr>
        <w:t>’</w:t>
      </w:r>
      <w:r w:rsidRPr="0042206A">
        <w:rPr>
          <w:lang w:val="fr-FR"/>
        </w:rPr>
        <w:t>ils ne nuisent pas à l</w:t>
      </w:r>
      <w:r>
        <w:rPr>
          <w:lang w:val="fr-FR"/>
        </w:rPr>
        <w:t>’</w:t>
      </w:r>
      <w:r w:rsidRPr="0042206A">
        <w:rPr>
          <w:lang w:val="fr-FR"/>
        </w:rPr>
        <w:t>efficacité des dispositifs obligatoires d</w:t>
      </w:r>
      <w:r>
        <w:rPr>
          <w:lang w:val="fr-FR"/>
        </w:rPr>
        <w:t>’</w:t>
      </w:r>
      <w:r w:rsidRPr="0042206A">
        <w:rPr>
          <w:lang w:val="fr-FR"/>
        </w:rPr>
        <w:t>éclairage et de signalisation lumineuse. ».</w:t>
      </w:r>
    </w:p>
    <w:p w14:paraId="1D4CDF9E" w14:textId="77777777" w:rsidR="007D63AB" w:rsidRPr="0042206A" w:rsidRDefault="007D63AB" w:rsidP="007D63AB">
      <w:pPr>
        <w:pStyle w:val="SingleTxtG"/>
        <w:spacing w:line="240" w:lineRule="auto"/>
        <w:rPr>
          <w:lang w:val="fr-FR"/>
        </w:rPr>
      </w:pPr>
      <w:r w:rsidRPr="0042206A">
        <w:rPr>
          <w:i/>
          <w:lang w:val="fr-FR"/>
        </w:rPr>
        <w:t>Paragraphe 6.15</w:t>
      </w:r>
      <w:r w:rsidRPr="0042206A">
        <w:rPr>
          <w:lang w:val="fr-FR"/>
        </w:rPr>
        <w:t>, lire :</w:t>
      </w:r>
    </w:p>
    <w:p w14:paraId="292B6A65" w14:textId="77777777" w:rsidR="007D63AB" w:rsidRPr="0042206A" w:rsidRDefault="007D63AB" w:rsidP="007D63AB">
      <w:pPr>
        <w:pStyle w:val="SingleTxtG"/>
        <w:spacing w:line="240" w:lineRule="auto"/>
        <w:ind w:left="2268" w:hanging="1134"/>
        <w:rPr>
          <w:lang w:val="fr-FR"/>
        </w:rPr>
      </w:pPr>
      <w:r w:rsidRPr="0042206A">
        <w:rPr>
          <w:lang w:val="fr-FR"/>
        </w:rPr>
        <w:t>« 6.15</w:t>
      </w:r>
      <w:r w:rsidRPr="0042206A">
        <w:rPr>
          <w:lang w:val="fr-FR"/>
        </w:rPr>
        <w:tab/>
        <w:t xml:space="preserve">Catadioptre latéral, non triangulaire (Règlement ONU </w:t>
      </w:r>
      <w:r w:rsidRPr="0042206A">
        <w:rPr>
          <w:rFonts w:eastAsia="MS Mincho"/>
          <w:bCs/>
          <w:lang w:val="fr-FR"/>
        </w:rPr>
        <w:t>n</w:t>
      </w:r>
      <w:r w:rsidRPr="0042206A">
        <w:rPr>
          <w:rFonts w:eastAsia="MS Mincho"/>
          <w:bCs/>
          <w:vertAlign w:val="superscript"/>
          <w:lang w:val="fr-FR"/>
        </w:rPr>
        <w:t>o</w:t>
      </w:r>
      <w:r w:rsidRPr="0042206A">
        <w:rPr>
          <w:bCs/>
          <w:lang w:val="fr-FR"/>
        </w:rPr>
        <w:t> </w:t>
      </w:r>
      <w:r w:rsidRPr="0042206A">
        <w:rPr>
          <w:lang w:val="fr-FR"/>
        </w:rPr>
        <w:t xml:space="preserve">3 </w:t>
      </w:r>
      <w:r>
        <w:rPr>
          <w:lang w:val="fr-FR"/>
        </w:rPr>
        <w:t xml:space="preserve">ou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lang w:val="fr-FR"/>
        </w:rPr>
        <w:t>[</w:t>
      </w:r>
      <w:r w:rsidRPr="0042206A">
        <w:rPr>
          <w:lang w:val="fr-FR"/>
        </w:rPr>
        <w:t>RRD]) ».</w:t>
      </w:r>
    </w:p>
    <w:p w14:paraId="019D6ECD" w14:textId="77777777" w:rsidR="007D63AB" w:rsidRPr="0042206A" w:rsidRDefault="007D63AB" w:rsidP="007D63AB">
      <w:pPr>
        <w:pStyle w:val="SingleTxtG"/>
        <w:spacing w:line="240" w:lineRule="auto"/>
        <w:rPr>
          <w:lang w:val="fr-FR"/>
        </w:rPr>
      </w:pPr>
      <w:r w:rsidRPr="0042206A">
        <w:rPr>
          <w:i/>
          <w:lang w:val="fr-FR"/>
        </w:rPr>
        <w:t>Paragraphe 6.15.2</w:t>
      </w:r>
      <w:r w:rsidRPr="0042206A">
        <w:rPr>
          <w:lang w:val="fr-FR"/>
        </w:rPr>
        <w:t>, lire :</w:t>
      </w:r>
    </w:p>
    <w:p w14:paraId="0FB0543D" w14:textId="77777777" w:rsidR="007D63AB" w:rsidRPr="0042206A" w:rsidRDefault="007D63AB" w:rsidP="007D63AB">
      <w:pPr>
        <w:pStyle w:val="SingleTxtG"/>
        <w:spacing w:line="240" w:lineRule="auto"/>
        <w:ind w:left="2268" w:hanging="1134"/>
        <w:rPr>
          <w:lang w:val="fr-FR"/>
        </w:rPr>
      </w:pPr>
      <w:r w:rsidRPr="0042206A">
        <w:rPr>
          <w:lang w:val="fr-FR"/>
        </w:rPr>
        <w:t>« 6.15.2</w:t>
      </w:r>
      <w:r w:rsidRPr="0042206A">
        <w:rPr>
          <w:lang w:val="fr-FR"/>
        </w:rPr>
        <w:tab/>
        <w:t>Nombre :</w:t>
      </w:r>
    </w:p>
    <w:p w14:paraId="7A9C709D" w14:textId="77777777" w:rsidR="007D63AB" w:rsidRPr="0042206A" w:rsidRDefault="007D63AB" w:rsidP="007D63AB">
      <w:pPr>
        <w:pStyle w:val="SingleTxtG"/>
        <w:spacing w:line="240" w:lineRule="auto"/>
        <w:ind w:left="2268"/>
        <w:rPr>
          <w:lang w:val="fr-FR"/>
        </w:rPr>
      </w:pPr>
      <w:r w:rsidRPr="0042206A">
        <w:rPr>
          <w:lang w:val="fr-FR"/>
        </w:rPr>
        <w:t>Tel que les prescriptions relatives à l</w:t>
      </w:r>
      <w:r>
        <w:rPr>
          <w:lang w:val="fr-FR"/>
        </w:rPr>
        <w:t>’</w:t>
      </w:r>
      <w:r w:rsidRPr="0042206A">
        <w:rPr>
          <w:lang w:val="fr-FR"/>
        </w:rPr>
        <w:t xml:space="preserve">emplacement en longueur soient respectées. Les performances de ces dispositifs doivent être conformes aux prescriptions concernant les catadioptres de la classe IA ou IB, énoncées dans le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lang w:val="fr-FR"/>
        </w:rPr>
        <w:t xml:space="preserve">ou le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lang w:val="fr-FR"/>
        </w:rPr>
        <w:t>[</w:t>
      </w:r>
      <w:r w:rsidRPr="0042206A">
        <w:rPr>
          <w:lang w:val="fr-FR"/>
        </w:rPr>
        <w:t>RRD].</w:t>
      </w:r>
    </w:p>
    <w:p w14:paraId="5E99352D" w14:textId="77777777" w:rsidR="007D63AB" w:rsidRPr="0042206A" w:rsidRDefault="007D63AB" w:rsidP="007D63AB">
      <w:pPr>
        <w:pStyle w:val="SingleTxtG"/>
        <w:spacing w:line="240" w:lineRule="auto"/>
        <w:ind w:left="2268"/>
        <w:rPr>
          <w:lang w:val="fr-FR"/>
        </w:rPr>
      </w:pPr>
      <w:r w:rsidRPr="0042206A">
        <w:rPr>
          <w:lang w:val="fr-FR"/>
        </w:rPr>
        <w:t>Les dispositifs et matériaux réfléchissants supplémentaires (y compris deux catadioptres ne répondant pas au paragraphe 6.15.4 ci-dessous), sont autorisés à condition qu</w:t>
      </w:r>
      <w:r>
        <w:rPr>
          <w:lang w:val="fr-FR"/>
        </w:rPr>
        <w:t>’</w:t>
      </w:r>
      <w:r w:rsidRPr="0042206A">
        <w:rPr>
          <w:lang w:val="fr-FR"/>
        </w:rPr>
        <w:t>ils ne nuisent pas à l</w:t>
      </w:r>
      <w:r>
        <w:rPr>
          <w:lang w:val="fr-FR"/>
        </w:rPr>
        <w:t>’</w:t>
      </w:r>
      <w:r w:rsidRPr="0042206A">
        <w:rPr>
          <w:lang w:val="fr-FR"/>
        </w:rPr>
        <w:t>efficacité des dispositifs obligatoires d</w:t>
      </w:r>
      <w:r>
        <w:rPr>
          <w:lang w:val="fr-FR"/>
        </w:rPr>
        <w:t>’</w:t>
      </w:r>
      <w:r w:rsidRPr="0042206A">
        <w:rPr>
          <w:lang w:val="fr-FR"/>
        </w:rPr>
        <w:t>éclairage et de signalisation lumineuse. ».</w:t>
      </w:r>
    </w:p>
    <w:p w14:paraId="3699E46D" w14:textId="77777777" w:rsidR="007D63AB" w:rsidRPr="0042206A" w:rsidRDefault="007D63AB" w:rsidP="007D63AB">
      <w:pPr>
        <w:pStyle w:val="SingleTxtG"/>
        <w:keepNext/>
        <w:spacing w:line="240" w:lineRule="auto"/>
        <w:rPr>
          <w:lang w:val="fr-FR"/>
        </w:rPr>
      </w:pPr>
      <w:r w:rsidRPr="0042206A">
        <w:rPr>
          <w:i/>
          <w:lang w:val="fr-FR"/>
        </w:rPr>
        <w:t>Paragraphe 6.16</w:t>
      </w:r>
      <w:r w:rsidRPr="0042206A">
        <w:rPr>
          <w:lang w:val="fr-FR"/>
        </w:rPr>
        <w:t>, lire :</w:t>
      </w:r>
    </w:p>
    <w:p w14:paraId="48DD04B6" w14:textId="77777777" w:rsidR="007D63AB" w:rsidRPr="0042206A" w:rsidRDefault="007D63AB" w:rsidP="007D63AB">
      <w:pPr>
        <w:pStyle w:val="SingleTxtG"/>
        <w:spacing w:line="240" w:lineRule="auto"/>
        <w:ind w:left="2268" w:hanging="1134"/>
        <w:rPr>
          <w:lang w:val="fr-FR"/>
        </w:rPr>
      </w:pPr>
      <w:r w:rsidRPr="0042206A">
        <w:rPr>
          <w:lang w:val="fr-FR"/>
        </w:rPr>
        <w:t>« 6.16</w:t>
      </w:r>
      <w:r w:rsidRPr="0042206A">
        <w:rPr>
          <w:lang w:val="fr-FR"/>
        </w:rPr>
        <w:tab/>
        <w:t>Dispositif d</w:t>
      </w:r>
      <w:r>
        <w:rPr>
          <w:lang w:val="fr-FR"/>
        </w:rPr>
        <w:t>’</w:t>
      </w:r>
      <w:r w:rsidRPr="0042206A">
        <w:rPr>
          <w:lang w:val="fr-FR"/>
        </w:rPr>
        <w:t>éclairage de la plaque d</w:t>
      </w:r>
      <w:r>
        <w:rPr>
          <w:lang w:val="fr-FR"/>
        </w:rPr>
        <w:t>’</w:t>
      </w:r>
      <w:r w:rsidRPr="0042206A">
        <w:rPr>
          <w:lang w:val="fr-FR"/>
        </w:rPr>
        <w:t xml:space="preserve">immatriculation arrière (Règlement ONU </w:t>
      </w:r>
      <w:r w:rsidRPr="0042206A">
        <w:rPr>
          <w:rFonts w:eastAsia="MS Mincho"/>
          <w:lang w:val="fr-FR"/>
        </w:rPr>
        <w:t>n</w:t>
      </w:r>
      <w:r w:rsidRPr="0042206A">
        <w:rPr>
          <w:rFonts w:eastAsia="MS Mincho"/>
          <w:vertAlign w:val="superscript"/>
          <w:lang w:val="fr-FR"/>
        </w:rPr>
        <w:t>o</w:t>
      </w:r>
      <w:r w:rsidRPr="0042206A">
        <w:rPr>
          <w:lang w:val="fr-FR"/>
        </w:rPr>
        <w:t xml:space="preserve"> 4 </w:t>
      </w:r>
      <w:r>
        <w:rPr>
          <w:bCs/>
          <w:lang w:val="fr-FR"/>
        </w:rPr>
        <w:t xml:space="preserve">ou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bCs/>
          <w:lang w:val="fr-FR"/>
        </w:rPr>
        <w:t>[</w:t>
      </w:r>
      <w:r w:rsidRPr="0042206A">
        <w:rPr>
          <w:bCs/>
          <w:lang w:val="fr-FR"/>
        </w:rPr>
        <w:t>LSD]</w:t>
      </w:r>
      <w:r w:rsidRPr="0042206A">
        <w:rPr>
          <w:lang w:val="fr-FR"/>
        </w:rPr>
        <w:t>) ».</w:t>
      </w:r>
    </w:p>
    <w:p w14:paraId="620A8F29" w14:textId="77777777" w:rsidR="007D63AB" w:rsidRPr="0042206A" w:rsidRDefault="007D63AB" w:rsidP="007D63AB">
      <w:pPr>
        <w:pStyle w:val="SingleTxtG"/>
        <w:spacing w:line="240" w:lineRule="auto"/>
        <w:rPr>
          <w:lang w:val="fr-FR"/>
        </w:rPr>
      </w:pPr>
      <w:r w:rsidRPr="0042206A">
        <w:rPr>
          <w:i/>
          <w:lang w:val="fr-FR"/>
        </w:rPr>
        <w:t>Paragraphe 6.17</w:t>
      </w:r>
      <w:r w:rsidRPr="0042206A">
        <w:rPr>
          <w:lang w:val="fr-FR"/>
        </w:rPr>
        <w:t>, lire :</w:t>
      </w:r>
    </w:p>
    <w:p w14:paraId="4A22F7F4" w14:textId="77777777" w:rsidR="007D63AB" w:rsidRPr="0042206A" w:rsidRDefault="007D63AB" w:rsidP="007D63AB">
      <w:pPr>
        <w:pStyle w:val="SingleTxtG"/>
        <w:spacing w:line="240" w:lineRule="auto"/>
        <w:ind w:left="2268" w:hanging="1134"/>
        <w:rPr>
          <w:lang w:val="fr-FR"/>
        </w:rPr>
      </w:pPr>
      <w:r w:rsidRPr="0042206A">
        <w:rPr>
          <w:lang w:val="fr-FR"/>
        </w:rPr>
        <w:t>« 6.17</w:t>
      </w:r>
      <w:r w:rsidRPr="0042206A">
        <w:rPr>
          <w:lang w:val="fr-FR"/>
        </w:rPr>
        <w:tab/>
        <w:t xml:space="preserve">Catadioptre avant, non triangulaire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lang w:val="fr-FR"/>
        </w:rPr>
        <w:t xml:space="preserve">ou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lang w:val="fr-FR"/>
        </w:rPr>
        <w:t>[</w:t>
      </w:r>
      <w:r w:rsidRPr="0042206A">
        <w:rPr>
          <w:lang w:val="fr-FR"/>
        </w:rPr>
        <w:t>RRD]) ».</w:t>
      </w:r>
    </w:p>
    <w:p w14:paraId="3A8F203C" w14:textId="77777777" w:rsidR="007D63AB" w:rsidRPr="0042206A" w:rsidRDefault="007D63AB" w:rsidP="007D63AB">
      <w:pPr>
        <w:pStyle w:val="SingleTxtG"/>
        <w:spacing w:line="240" w:lineRule="auto"/>
        <w:rPr>
          <w:lang w:val="fr-FR"/>
        </w:rPr>
      </w:pPr>
      <w:r w:rsidRPr="0042206A">
        <w:rPr>
          <w:i/>
          <w:lang w:val="fr-FR"/>
        </w:rPr>
        <w:t>Paragraphe 6.18</w:t>
      </w:r>
      <w:r w:rsidRPr="0042206A">
        <w:rPr>
          <w:lang w:val="fr-FR"/>
        </w:rPr>
        <w:t>, lire :</w:t>
      </w:r>
    </w:p>
    <w:p w14:paraId="1FD47A69" w14:textId="77777777" w:rsidR="007D63AB" w:rsidRPr="0042206A" w:rsidRDefault="007D63AB" w:rsidP="007D63AB">
      <w:pPr>
        <w:pStyle w:val="SingleTxtG"/>
        <w:spacing w:line="240" w:lineRule="auto"/>
        <w:ind w:left="2268" w:hanging="1134"/>
        <w:rPr>
          <w:lang w:val="fr-FR"/>
        </w:rPr>
      </w:pPr>
      <w:r w:rsidRPr="0042206A">
        <w:rPr>
          <w:lang w:val="fr-FR"/>
        </w:rPr>
        <w:t>« 6.18</w:t>
      </w:r>
      <w:r w:rsidRPr="0042206A">
        <w:rPr>
          <w:lang w:val="fr-FR"/>
        </w:rPr>
        <w:tab/>
        <w:t xml:space="preserve">Feux de position latéraux (Règlement ONU </w:t>
      </w:r>
      <w:r w:rsidRPr="0042206A">
        <w:rPr>
          <w:rFonts w:eastAsia="MS Mincho"/>
          <w:lang w:val="fr-FR"/>
        </w:rPr>
        <w:t>n</w:t>
      </w:r>
      <w:r w:rsidRPr="0042206A">
        <w:rPr>
          <w:rFonts w:eastAsia="MS Mincho"/>
          <w:vertAlign w:val="superscript"/>
          <w:lang w:val="fr-FR"/>
        </w:rPr>
        <w:t>o</w:t>
      </w:r>
      <w:r w:rsidRPr="0042206A">
        <w:rPr>
          <w:lang w:val="fr-FR"/>
        </w:rPr>
        <w:t xml:space="preserve"> 91 </w:t>
      </w:r>
      <w:r>
        <w:rPr>
          <w:lang w:val="fr-FR"/>
        </w:rPr>
        <w:t xml:space="preserve">ou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lang w:val="fr-FR"/>
        </w:rPr>
        <w:t>[</w:t>
      </w:r>
      <w:r w:rsidRPr="0042206A">
        <w:rPr>
          <w:lang w:val="fr-FR"/>
        </w:rPr>
        <w:t>LSD]) ».</w:t>
      </w:r>
    </w:p>
    <w:p w14:paraId="3568D51A" w14:textId="77777777" w:rsidR="007D63AB" w:rsidRPr="0042206A" w:rsidRDefault="007D63AB" w:rsidP="007D63AB">
      <w:pPr>
        <w:pStyle w:val="SingleTxtG"/>
        <w:spacing w:line="240" w:lineRule="auto"/>
        <w:rPr>
          <w:lang w:val="fr-FR"/>
        </w:rPr>
      </w:pPr>
      <w:r w:rsidRPr="0042206A">
        <w:rPr>
          <w:i/>
          <w:lang w:val="fr-FR"/>
        </w:rPr>
        <w:t>Paragraphe 6.19</w:t>
      </w:r>
      <w:r w:rsidRPr="0042206A">
        <w:rPr>
          <w:lang w:val="fr-FR"/>
        </w:rPr>
        <w:t>, lire :</w:t>
      </w:r>
    </w:p>
    <w:p w14:paraId="11C420D0" w14:textId="77777777" w:rsidR="007D63AB" w:rsidRPr="0042206A" w:rsidRDefault="007D63AB" w:rsidP="007D63AB">
      <w:pPr>
        <w:pStyle w:val="SingleTxtG"/>
        <w:spacing w:line="240" w:lineRule="auto"/>
        <w:ind w:left="2268" w:hanging="1134"/>
        <w:rPr>
          <w:lang w:val="fr-FR"/>
        </w:rPr>
      </w:pPr>
      <w:r w:rsidRPr="0042206A">
        <w:rPr>
          <w:lang w:val="fr-FR"/>
        </w:rPr>
        <w:t>« 6.19</w:t>
      </w:r>
      <w:r w:rsidRPr="0042206A">
        <w:rPr>
          <w:lang w:val="fr-FR"/>
        </w:rPr>
        <w:tab/>
        <w:t xml:space="preserve">Feux de circulation diurne (Règlement ONU </w:t>
      </w:r>
      <w:r w:rsidRPr="0042206A">
        <w:rPr>
          <w:rFonts w:eastAsia="MS Mincho"/>
          <w:lang w:val="fr-FR"/>
        </w:rPr>
        <w:t>n</w:t>
      </w:r>
      <w:r w:rsidRPr="0042206A">
        <w:rPr>
          <w:rFonts w:eastAsia="MS Mincho"/>
          <w:vertAlign w:val="superscript"/>
          <w:lang w:val="fr-FR"/>
        </w:rPr>
        <w:t>o</w:t>
      </w:r>
      <w:r w:rsidRPr="0042206A">
        <w:rPr>
          <w:lang w:val="fr-FR"/>
        </w:rPr>
        <w:t xml:space="preserve"> 87 </w:t>
      </w:r>
      <w:r>
        <w:rPr>
          <w:lang w:val="fr-FR"/>
        </w:rPr>
        <w:t xml:space="preserve">ou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lang w:val="fr-FR"/>
        </w:rPr>
        <w:t>[</w:t>
      </w:r>
      <w:r w:rsidRPr="0042206A">
        <w:rPr>
          <w:lang w:val="fr-FR"/>
        </w:rPr>
        <w:t>LSD]) ».</w:t>
      </w:r>
    </w:p>
    <w:p w14:paraId="2C2B814A" w14:textId="77777777" w:rsidR="007D63AB" w:rsidRPr="0042206A" w:rsidRDefault="007D63AB" w:rsidP="007D63AB">
      <w:pPr>
        <w:pStyle w:val="SingleTxtG"/>
        <w:spacing w:line="240" w:lineRule="auto"/>
        <w:rPr>
          <w:lang w:val="fr-FR"/>
        </w:rPr>
      </w:pPr>
      <w:r w:rsidRPr="0042206A">
        <w:rPr>
          <w:i/>
          <w:lang w:val="fr-FR"/>
        </w:rPr>
        <w:t>Paragraphe 6.20</w:t>
      </w:r>
      <w:r w:rsidRPr="0042206A">
        <w:rPr>
          <w:lang w:val="fr-FR"/>
        </w:rPr>
        <w:t>, lire :</w:t>
      </w:r>
    </w:p>
    <w:p w14:paraId="1C0BB06D" w14:textId="77777777" w:rsidR="007D63AB" w:rsidRPr="0042206A" w:rsidRDefault="007D63AB" w:rsidP="007D63AB">
      <w:pPr>
        <w:pStyle w:val="SingleTxtG"/>
        <w:spacing w:line="240" w:lineRule="auto"/>
        <w:ind w:left="2268" w:hanging="1134"/>
        <w:rPr>
          <w:lang w:val="fr-FR"/>
        </w:rPr>
      </w:pPr>
      <w:r w:rsidRPr="0042206A">
        <w:rPr>
          <w:lang w:val="fr-FR"/>
        </w:rPr>
        <w:t>« 6.20</w:t>
      </w:r>
      <w:r w:rsidRPr="0042206A">
        <w:rPr>
          <w:lang w:val="fr-FR"/>
        </w:rPr>
        <w:tab/>
        <w:t>Feux d</w:t>
      </w:r>
      <w:r>
        <w:rPr>
          <w:lang w:val="fr-FR"/>
        </w:rPr>
        <w:t>’</w:t>
      </w:r>
      <w:r w:rsidRPr="0042206A">
        <w:rPr>
          <w:lang w:val="fr-FR"/>
        </w:rPr>
        <w:t xml:space="preserve">angle (Règlement ONU </w:t>
      </w:r>
      <w:r w:rsidRPr="0042206A">
        <w:rPr>
          <w:rFonts w:eastAsia="MS Mincho"/>
          <w:lang w:val="fr-FR"/>
        </w:rPr>
        <w:t>n</w:t>
      </w:r>
      <w:r w:rsidRPr="0042206A">
        <w:rPr>
          <w:rFonts w:eastAsia="MS Mincho"/>
          <w:vertAlign w:val="superscript"/>
          <w:lang w:val="fr-FR"/>
        </w:rPr>
        <w:t>o</w:t>
      </w:r>
      <w:r w:rsidRPr="0042206A">
        <w:rPr>
          <w:lang w:val="fr-FR"/>
        </w:rPr>
        <w:t xml:space="preserve"> 119 </w:t>
      </w:r>
      <w:r>
        <w:rPr>
          <w:lang w:val="fr-FR"/>
        </w:rPr>
        <w:t xml:space="preserve">ou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lang w:val="fr-FR"/>
        </w:rPr>
        <w:t>[</w:t>
      </w:r>
      <w:r w:rsidRPr="0042206A">
        <w:rPr>
          <w:lang w:val="fr-FR"/>
        </w:rPr>
        <w:t>RID]) ».</w:t>
      </w:r>
    </w:p>
    <w:p w14:paraId="077C1673" w14:textId="77777777" w:rsidR="007D63AB" w:rsidRPr="0042206A" w:rsidRDefault="007D63AB" w:rsidP="007D63AB">
      <w:pPr>
        <w:pStyle w:val="SingleTxtG"/>
        <w:spacing w:line="240" w:lineRule="auto"/>
        <w:rPr>
          <w:lang w:val="fr-FR"/>
        </w:rPr>
      </w:pPr>
      <w:r w:rsidRPr="0042206A">
        <w:rPr>
          <w:i/>
          <w:lang w:val="fr-FR"/>
        </w:rPr>
        <w:t>Paragraphe 6.21</w:t>
      </w:r>
      <w:r w:rsidRPr="0042206A">
        <w:rPr>
          <w:lang w:val="fr-FR"/>
        </w:rPr>
        <w:t>, lire :</w:t>
      </w:r>
    </w:p>
    <w:p w14:paraId="3E75ECE1" w14:textId="77777777" w:rsidR="007D63AB" w:rsidRPr="0042206A" w:rsidRDefault="007D63AB" w:rsidP="007D63AB">
      <w:pPr>
        <w:pStyle w:val="SingleTxtG"/>
        <w:spacing w:line="240" w:lineRule="auto"/>
        <w:ind w:left="2268" w:hanging="1134"/>
        <w:rPr>
          <w:lang w:val="fr-FR"/>
        </w:rPr>
      </w:pPr>
      <w:r w:rsidRPr="0042206A">
        <w:rPr>
          <w:lang w:val="fr-FR"/>
        </w:rPr>
        <w:t>« 6.21</w:t>
      </w:r>
      <w:r w:rsidRPr="0042206A">
        <w:rPr>
          <w:lang w:val="fr-FR"/>
        </w:rPr>
        <w:tab/>
        <w:t xml:space="preserve">Marquages à grande visibilité (Règlement ONU </w:t>
      </w:r>
      <w:r w:rsidRPr="0042206A">
        <w:rPr>
          <w:rFonts w:eastAsia="MS Mincho"/>
          <w:lang w:val="fr-FR"/>
        </w:rPr>
        <w:t>n</w:t>
      </w:r>
      <w:r w:rsidRPr="0042206A">
        <w:rPr>
          <w:rFonts w:eastAsia="MS Mincho"/>
          <w:vertAlign w:val="superscript"/>
          <w:lang w:val="fr-FR"/>
        </w:rPr>
        <w:t>o</w:t>
      </w:r>
      <w:r w:rsidRPr="0042206A">
        <w:rPr>
          <w:lang w:val="fr-FR"/>
        </w:rPr>
        <w:t xml:space="preserve"> 104 </w:t>
      </w:r>
      <w:r>
        <w:rPr>
          <w:lang w:val="fr-FR"/>
        </w:rPr>
        <w:t xml:space="preserve">ou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lang w:val="fr-FR"/>
        </w:rPr>
        <w:t>[</w:t>
      </w:r>
      <w:r w:rsidRPr="0042206A">
        <w:rPr>
          <w:lang w:val="fr-FR"/>
        </w:rPr>
        <w:t>RRD]) ».</w:t>
      </w:r>
    </w:p>
    <w:p w14:paraId="4D0D48EE" w14:textId="77777777" w:rsidR="007D63AB" w:rsidRPr="0042206A" w:rsidRDefault="007D63AB" w:rsidP="000E4D7A">
      <w:pPr>
        <w:pStyle w:val="SingleTxtG"/>
        <w:keepNext/>
        <w:spacing w:line="240" w:lineRule="auto"/>
        <w:rPr>
          <w:lang w:val="fr-FR"/>
        </w:rPr>
      </w:pPr>
      <w:r w:rsidRPr="0042206A">
        <w:rPr>
          <w:i/>
          <w:lang w:val="fr-FR"/>
        </w:rPr>
        <w:t>Paragraphe 6.22</w:t>
      </w:r>
      <w:r w:rsidRPr="0042206A">
        <w:rPr>
          <w:lang w:val="fr-FR"/>
        </w:rPr>
        <w:t>, lire :</w:t>
      </w:r>
    </w:p>
    <w:p w14:paraId="11B3C075" w14:textId="77777777" w:rsidR="007D63AB" w:rsidRPr="0042206A" w:rsidRDefault="007D63AB" w:rsidP="007D63AB">
      <w:pPr>
        <w:pStyle w:val="SingleTxtG"/>
        <w:spacing w:line="240" w:lineRule="auto"/>
        <w:ind w:left="2268" w:hanging="1134"/>
        <w:rPr>
          <w:lang w:val="fr-FR"/>
        </w:rPr>
      </w:pPr>
      <w:r w:rsidRPr="0042206A">
        <w:rPr>
          <w:lang w:val="fr-FR"/>
        </w:rPr>
        <w:t>« 6.22</w:t>
      </w:r>
      <w:r w:rsidRPr="0042206A">
        <w:rPr>
          <w:lang w:val="fr-FR"/>
        </w:rPr>
        <w:tab/>
        <w:t xml:space="preserve">Plaques de signalisation arrière pour véhicules lents (Règlement ONU </w:t>
      </w:r>
      <w:r w:rsidRPr="0042206A">
        <w:rPr>
          <w:rFonts w:eastAsia="MS Mincho"/>
          <w:lang w:val="fr-FR"/>
        </w:rPr>
        <w:t>n</w:t>
      </w:r>
      <w:r w:rsidRPr="0042206A">
        <w:rPr>
          <w:rFonts w:eastAsia="MS Mincho"/>
          <w:vertAlign w:val="superscript"/>
          <w:lang w:val="fr-FR"/>
        </w:rPr>
        <w:t>o</w:t>
      </w:r>
      <w:r w:rsidRPr="0042206A">
        <w:rPr>
          <w:lang w:val="fr-FR"/>
        </w:rPr>
        <w:t xml:space="preserve"> 69 </w:t>
      </w:r>
      <w:r>
        <w:rPr>
          <w:bCs/>
          <w:lang w:val="fr-FR"/>
        </w:rPr>
        <w:t xml:space="preserve">ou Règlement ONU </w:t>
      </w:r>
      <w:r w:rsidR="000E4D7A" w:rsidRPr="005B0D23">
        <w:rPr>
          <w:rFonts w:eastAsia="MS Mincho"/>
          <w:lang w:val="fr-FR"/>
        </w:rPr>
        <w:t>n</w:t>
      </w:r>
      <w:r w:rsidR="000E4D7A" w:rsidRPr="005B0D23">
        <w:rPr>
          <w:rFonts w:eastAsia="MS Mincho"/>
          <w:vertAlign w:val="superscript"/>
          <w:lang w:val="fr-FR"/>
        </w:rPr>
        <w:t>o</w:t>
      </w:r>
      <w:r w:rsidR="000E4D7A">
        <w:rPr>
          <w:lang w:val="fr-FR"/>
        </w:rPr>
        <w:t> </w:t>
      </w:r>
      <w:r>
        <w:rPr>
          <w:bCs/>
          <w:lang w:val="fr-FR"/>
        </w:rPr>
        <w:t>[</w:t>
      </w:r>
      <w:r w:rsidRPr="0042206A">
        <w:rPr>
          <w:bCs/>
          <w:lang w:val="fr-FR"/>
        </w:rPr>
        <w:t>RRD]</w:t>
      </w:r>
      <w:r w:rsidRPr="0042206A">
        <w:rPr>
          <w:lang w:val="fr-FR"/>
        </w:rPr>
        <w:t>)</w:t>
      </w:r>
    </w:p>
    <w:p w14:paraId="37EB14DB" w14:textId="77777777" w:rsidR="007D63AB" w:rsidRPr="0042206A" w:rsidRDefault="007D63AB" w:rsidP="007D63AB">
      <w:pPr>
        <w:pStyle w:val="SingleTxtG"/>
        <w:spacing w:line="240" w:lineRule="auto"/>
        <w:ind w:left="2268" w:hanging="1134"/>
        <w:rPr>
          <w:lang w:val="fr-FR"/>
        </w:rPr>
      </w:pPr>
      <w:r w:rsidRPr="0042206A">
        <w:rPr>
          <w:lang w:val="fr-FR"/>
        </w:rPr>
        <w:t>6.22.1</w:t>
      </w:r>
      <w:r w:rsidRPr="0042206A">
        <w:rPr>
          <w:lang w:val="fr-FR"/>
        </w:rPr>
        <w:tab/>
        <w:t>Présence : Facultative sur les véhicules dont la vitesse est limitée par construction à 40 km/h. Interdite sur tous les autres véhicules.</w:t>
      </w:r>
    </w:p>
    <w:p w14:paraId="508BF2EB" w14:textId="77777777" w:rsidR="007D63AB" w:rsidRPr="0042206A" w:rsidRDefault="007D63AB" w:rsidP="007D63AB">
      <w:pPr>
        <w:pStyle w:val="SingleTxtG"/>
        <w:tabs>
          <w:tab w:val="left" w:pos="2268"/>
        </w:tabs>
        <w:spacing w:line="240" w:lineRule="auto"/>
        <w:ind w:left="2268" w:hanging="1134"/>
        <w:rPr>
          <w:lang w:val="fr-FR"/>
        </w:rPr>
      </w:pPr>
      <w:r w:rsidRPr="0042206A">
        <w:rPr>
          <w:lang w:val="fr-FR"/>
        </w:rPr>
        <w:lastRenderedPageBreak/>
        <w:t>6.22.2</w:t>
      </w:r>
      <w:r w:rsidRPr="0042206A">
        <w:rPr>
          <w:lang w:val="fr-FR"/>
        </w:rPr>
        <w:tab/>
        <w:t>Nombre : Conformément à l</w:t>
      </w:r>
      <w:r>
        <w:rPr>
          <w:lang w:val="fr-FR"/>
        </w:rPr>
        <w:t>’</w:t>
      </w:r>
      <w:r w:rsidRPr="0042206A">
        <w:rPr>
          <w:lang w:val="fr-FR"/>
        </w:rPr>
        <w:t xml:space="preserve">annexe 15 du Règlement ONU </w:t>
      </w:r>
      <w:r w:rsidRPr="0042206A">
        <w:rPr>
          <w:rFonts w:eastAsia="MS Mincho"/>
          <w:lang w:val="fr-FR"/>
        </w:rPr>
        <w:t>n</w:t>
      </w:r>
      <w:r w:rsidRPr="0042206A">
        <w:rPr>
          <w:rFonts w:eastAsia="MS Mincho"/>
          <w:vertAlign w:val="superscript"/>
          <w:lang w:val="fr-FR"/>
        </w:rPr>
        <w:t>o</w:t>
      </w:r>
      <w:r w:rsidRPr="0042206A">
        <w:rPr>
          <w:lang w:val="fr-FR"/>
        </w:rPr>
        <w:t xml:space="preserve"> 69 ou </w:t>
      </w:r>
      <w:r w:rsidRPr="0042206A">
        <w:rPr>
          <w:bCs/>
          <w:lang w:val="fr-FR"/>
        </w:rPr>
        <w:t>à l</w:t>
      </w:r>
      <w:r>
        <w:rPr>
          <w:bCs/>
          <w:lang w:val="fr-FR"/>
        </w:rPr>
        <w:t>’</w:t>
      </w:r>
      <w:r w:rsidRPr="0042206A">
        <w:rPr>
          <w:bCs/>
          <w:lang w:val="fr-FR"/>
        </w:rPr>
        <w:t>annexe 25 du Règlement ONU n</w:t>
      </w:r>
      <w:r w:rsidRPr="0042206A">
        <w:rPr>
          <w:bCs/>
          <w:vertAlign w:val="superscript"/>
          <w:lang w:val="fr-FR"/>
        </w:rPr>
        <w:t>o</w:t>
      </w:r>
      <w:r w:rsidR="000E4D7A">
        <w:rPr>
          <w:bCs/>
          <w:lang w:val="fr-FR"/>
        </w:rPr>
        <w:t> </w:t>
      </w:r>
      <w:r w:rsidRPr="0042206A">
        <w:rPr>
          <w:bCs/>
          <w:lang w:val="fr-FR"/>
        </w:rPr>
        <w:t>[RRD].</w:t>
      </w:r>
    </w:p>
    <w:p w14:paraId="23F307A6" w14:textId="77777777" w:rsidR="007D63AB" w:rsidRPr="0042206A" w:rsidRDefault="007D63AB" w:rsidP="007D63AB">
      <w:pPr>
        <w:pStyle w:val="SingleTxtG"/>
        <w:tabs>
          <w:tab w:val="left" w:pos="2268"/>
        </w:tabs>
        <w:spacing w:line="240" w:lineRule="auto"/>
        <w:ind w:left="2268" w:hanging="1134"/>
        <w:rPr>
          <w:bCs/>
          <w:lang w:val="fr-FR"/>
        </w:rPr>
      </w:pPr>
      <w:r w:rsidRPr="0042206A">
        <w:rPr>
          <w:lang w:val="fr-FR"/>
        </w:rPr>
        <w:t>6.22.3</w:t>
      </w:r>
      <w:r w:rsidRPr="0042206A">
        <w:rPr>
          <w:lang w:val="fr-FR"/>
        </w:rPr>
        <w:tab/>
      </w:r>
      <w:r w:rsidRPr="0042206A">
        <w:rPr>
          <w:bCs/>
          <w:spacing w:val="-3"/>
          <w:lang w:val="fr-FR"/>
        </w:rPr>
        <w:t>Schéma d</w:t>
      </w:r>
      <w:r>
        <w:rPr>
          <w:bCs/>
          <w:spacing w:val="-3"/>
          <w:lang w:val="fr-FR"/>
        </w:rPr>
        <w:t>’</w:t>
      </w:r>
      <w:r w:rsidRPr="0042206A">
        <w:rPr>
          <w:bCs/>
          <w:spacing w:val="-3"/>
          <w:lang w:val="fr-FR"/>
        </w:rPr>
        <w:t>installation :</w:t>
      </w:r>
      <w:r w:rsidRPr="0042206A">
        <w:rPr>
          <w:spacing w:val="-3"/>
          <w:lang w:val="fr-FR"/>
        </w:rPr>
        <w:t xml:space="preserve"> Conformément à l</w:t>
      </w:r>
      <w:r>
        <w:rPr>
          <w:spacing w:val="-3"/>
          <w:lang w:val="fr-FR"/>
        </w:rPr>
        <w:t>’</w:t>
      </w:r>
      <w:r w:rsidRPr="0042206A">
        <w:rPr>
          <w:spacing w:val="-3"/>
          <w:lang w:val="fr-FR"/>
        </w:rPr>
        <w:t xml:space="preserve">annexe 15 du Règlement ONU </w:t>
      </w:r>
      <w:r w:rsidRPr="0042206A">
        <w:rPr>
          <w:rFonts w:eastAsia="MS Mincho"/>
          <w:spacing w:val="-3"/>
          <w:lang w:val="fr-FR"/>
        </w:rPr>
        <w:t>n</w:t>
      </w:r>
      <w:r w:rsidRPr="0042206A">
        <w:rPr>
          <w:rFonts w:eastAsia="MS Mincho"/>
          <w:spacing w:val="-3"/>
          <w:vertAlign w:val="superscript"/>
          <w:lang w:val="fr-FR"/>
        </w:rPr>
        <w:t>o</w:t>
      </w:r>
      <w:r w:rsidRPr="0042206A">
        <w:rPr>
          <w:spacing w:val="-3"/>
          <w:lang w:val="fr-FR"/>
        </w:rPr>
        <w:t> 69</w:t>
      </w:r>
      <w:r w:rsidRPr="0042206A">
        <w:rPr>
          <w:lang w:val="fr-FR"/>
        </w:rPr>
        <w:t xml:space="preserve"> </w:t>
      </w:r>
      <w:r w:rsidRPr="0042206A">
        <w:rPr>
          <w:bCs/>
          <w:lang w:val="fr-FR"/>
        </w:rPr>
        <w:t>ou à l</w:t>
      </w:r>
      <w:r>
        <w:rPr>
          <w:bCs/>
          <w:lang w:val="fr-FR"/>
        </w:rPr>
        <w:t>’</w:t>
      </w:r>
      <w:r w:rsidRPr="0042206A">
        <w:rPr>
          <w:bCs/>
          <w:lang w:val="fr-FR"/>
        </w:rPr>
        <w:t xml:space="preserve">annexe 25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w:t>
      </w:r>
    </w:p>
    <w:p w14:paraId="3D7942D2" w14:textId="77777777" w:rsidR="007D63AB" w:rsidRPr="0042206A" w:rsidRDefault="007D63AB" w:rsidP="007D63AB">
      <w:pPr>
        <w:pStyle w:val="SingleTxtG"/>
        <w:spacing w:line="240" w:lineRule="auto"/>
        <w:ind w:left="2268" w:hanging="1134"/>
        <w:rPr>
          <w:lang w:val="fr-FR"/>
        </w:rPr>
      </w:pPr>
      <w:r w:rsidRPr="0042206A">
        <w:rPr>
          <w:lang w:val="fr-FR"/>
        </w:rPr>
        <w:t>6.22.4</w:t>
      </w:r>
      <w:r w:rsidRPr="0042206A">
        <w:rPr>
          <w:lang w:val="fr-FR"/>
        </w:rPr>
        <w:tab/>
        <w:t>Emplacement</w:t>
      </w:r>
    </w:p>
    <w:p w14:paraId="7005521F" w14:textId="77777777" w:rsidR="007D63AB" w:rsidRPr="0042206A" w:rsidRDefault="007D63AB" w:rsidP="007D63AB">
      <w:pPr>
        <w:pStyle w:val="SingleTxtG"/>
        <w:tabs>
          <w:tab w:val="left" w:pos="2268"/>
        </w:tabs>
        <w:spacing w:line="240" w:lineRule="auto"/>
        <w:ind w:left="2268"/>
        <w:rPr>
          <w:lang w:val="fr-FR"/>
        </w:rPr>
      </w:pPr>
      <w:r w:rsidRPr="0042206A">
        <w:rPr>
          <w:lang w:val="fr-FR"/>
        </w:rPr>
        <w:t>En largeur :</w:t>
      </w:r>
      <w:r w:rsidR="000E4D7A">
        <w:rPr>
          <w:lang w:val="fr-FR"/>
        </w:rPr>
        <w:t xml:space="preserve"> </w:t>
      </w:r>
      <w:r w:rsidRPr="0042206A">
        <w:rPr>
          <w:lang w:val="fr-FR"/>
        </w:rPr>
        <w:t>Conformément à l</w:t>
      </w:r>
      <w:r>
        <w:rPr>
          <w:lang w:val="fr-FR"/>
        </w:rPr>
        <w:t>’</w:t>
      </w:r>
      <w:r w:rsidRPr="0042206A">
        <w:rPr>
          <w:lang w:val="fr-FR"/>
        </w:rPr>
        <w:t xml:space="preserve">annexe 15 du Règlement ONU </w:t>
      </w:r>
      <w:r w:rsidRPr="0042206A">
        <w:rPr>
          <w:rFonts w:eastAsia="MS Mincho"/>
          <w:lang w:val="fr-FR"/>
        </w:rPr>
        <w:t>n</w:t>
      </w:r>
      <w:r w:rsidRPr="0042206A">
        <w:rPr>
          <w:rFonts w:eastAsia="MS Mincho"/>
          <w:vertAlign w:val="superscript"/>
          <w:lang w:val="fr-FR"/>
        </w:rPr>
        <w:t>o</w:t>
      </w:r>
      <w:r w:rsidRPr="0042206A">
        <w:rPr>
          <w:lang w:val="fr-FR"/>
        </w:rPr>
        <w:t xml:space="preserve"> 69 </w:t>
      </w:r>
      <w:r w:rsidRPr="0042206A">
        <w:rPr>
          <w:bCs/>
          <w:lang w:val="fr-FR"/>
        </w:rPr>
        <w:t>ou à l</w:t>
      </w:r>
      <w:r>
        <w:rPr>
          <w:bCs/>
          <w:lang w:val="fr-FR"/>
        </w:rPr>
        <w:t>’</w:t>
      </w:r>
      <w:r w:rsidRPr="0042206A">
        <w:rPr>
          <w:bCs/>
          <w:lang w:val="fr-FR"/>
        </w:rPr>
        <w:t xml:space="preserve">annexe 25 du Règlement ONU </w:t>
      </w:r>
      <w:r w:rsidRPr="0042206A">
        <w:rPr>
          <w:rFonts w:eastAsia="MS Mincho"/>
          <w:bCs/>
          <w:lang w:val="fr-FR"/>
        </w:rPr>
        <w:t>n</w:t>
      </w:r>
      <w:r w:rsidRPr="0042206A">
        <w:rPr>
          <w:rFonts w:eastAsia="MS Mincho"/>
          <w:bCs/>
          <w:vertAlign w:val="superscript"/>
          <w:lang w:val="fr-FR"/>
        </w:rPr>
        <w:t>o</w:t>
      </w:r>
      <w:r w:rsidRPr="0042206A">
        <w:rPr>
          <w:bCs/>
          <w:lang w:val="fr-FR"/>
        </w:rPr>
        <w:t> [</w:t>
      </w:r>
      <w:r w:rsidRPr="0042206A">
        <w:rPr>
          <w:lang w:val="fr-FR"/>
        </w:rPr>
        <w:t>RRD</w:t>
      </w:r>
      <w:r w:rsidRPr="0042206A">
        <w:rPr>
          <w:bCs/>
          <w:lang w:val="fr-FR"/>
        </w:rPr>
        <w:t>].</w:t>
      </w:r>
    </w:p>
    <w:p w14:paraId="172C5551" w14:textId="77777777" w:rsidR="007D63AB" w:rsidRPr="0042206A" w:rsidRDefault="007D63AB" w:rsidP="007D63AB">
      <w:pPr>
        <w:pStyle w:val="SingleTxtG"/>
        <w:tabs>
          <w:tab w:val="left" w:pos="2268"/>
        </w:tabs>
        <w:spacing w:line="240" w:lineRule="auto"/>
        <w:ind w:left="2268"/>
        <w:rPr>
          <w:lang w:val="fr-FR"/>
        </w:rPr>
      </w:pPr>
      <w:r w:rsidRPr="0042206A">
        <w:rPr>
          <w:bCs/>
          <w:lang w:val="fr-FR"/>
        </w:rPr>
        <w:t xml:space="preserve">En </w:t>
      </w:r>
      <w:r w:rsidRPr="0042206A">
        <w:rPr>
          <w:lang w:val="fr-FR"/>
        </w:rPr>
        <w:t>hauteur : Aucune prescription particulière.</w:t>
      </w:r>
    </w:p>
    <w:p w14:paraId="1AD1C731" w14:textId="77777777" w:rsidR="007D63AB" w:rsidRPr="0042206A" w:rsidRDefault="007D63AB" w:rsidP="007D63AB">
      <w:pPr>
        <w:pStyle w:val="SingleTxtG"/>
        <w:tabs>
          <w:tab w:val="left" w:pos="2268"/>
        </w:tabs>
        <w:spacing w:line="240" w:lineRule="auto"/>
        <w:ind w:left="2268"/>
        <w:rPr>
          <w:bCs/>
          <w:lang w:val="fr-FR"/>
        </w:rPr>
      </w:pPr>
      <w:r w:rsidRPr="0042206A">
        <w:rPr>
          <w:bCs/>
          <w:lang w:val="fr-FR"/>
        </w:rPr>
        <w:t xml:space="preserve">En </w:t>
      </w:r>
      <w:r w:rsidRPr="0042206A">
        <w:rPr>
          <w:lang w:val="fr-FR"/>
        </w:rPr>
        <w:t>longueur : Conformément à l</w:t>
      </w:r>
      <w:r>
        <w:rPr>
          <w:lang w:val="fr-FR"/>
        </w:rPr>
        <w:t>’</w:t>
      </w:r>
      <w:r w:rsidRPr="0042206A">
        <w:rPr>
          <w:lang w:val="fr-FR"/>
        </w:rPr>
        <w:t xml:space="preserve">annexe 15 du Règlement ONU </w:t>
      </w:r>
      <w:r w:rsidRPr="0042206A">
        <w:rPr>
          <w:rFonts w:eastAsia="MS Mincho"/>
          <w:lang w:val="fr-FR"/>
        </w:rPr>
        <w:t>n</w:t>
      </w:r>
      <w:r w:rsidRPr="0042206A">
        <w:rPr>
          <w:rFonts w:eastAsia="MS Mincho"/>
          <w:vertAlign w:val="superscript"/>
          <w:lang w:val="fr-FR"/>
        </w:rPr>
        <w:t>o</w:t>
      </w:r>
      <w:r w:rsidRPr="0042206A">
        <w:rPr>
          <w:lang w:val="fr-FR"/>
        </w:rPr>
        <w:t xml:space="preserve"> 69 </w:t>
      </w:r>
      <w:r w:rsidRPr="0042206A">
        <w:rPr>
          <w:bCs/>
          <w:lang w:val="fr-FR"/>
        </w:rPr>
        <w:t>ou à l</w:t>
      </w:r>
      <w:r>
        <w:rPr>
          <w:bCs/>
          <w:lang w:val="fr-FR"/>
        </w:rPr>
        <w:t>’</w:t>
      </w:r>
      <w:r w:rsidRPr="0042206A">
        <w:rPr>
          <w:bCs/>
          <w:lang w:val="fr-FR"/>
        </w:rPr>
        <w:t xml:space="preserve">annexe 25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w:t>
      </w:r>
    </w:p>
    <w:p w14:paraId="7CD35034" w14:textId="77777777" w:rsidR="007D63AB" w:rsidRPr="0042206A" w:rsidRDefault="007D63AB" w:rsidP="007D63AB">
      <w:pPr>
        <w:pStyle w:val="SingleTxtG"/>
        <w:tabs>
          <w:tab w:val="left" w:pos="2268"/>
        </w:tabs>
        <w:spacing w:line="240" w:lineRule="auto"/>
        <w:ind w:left="2268" w:hanging="1134"/>
        <w:rPr>
          <w:lang w:val="fr-FR"/>
        </w:rPr>
      </w:pPr>
      <w:r w:rsidRPr="0042206A">
        <w:rPr>
          <w:lang w:val="fr-FR"/>
        </w:rPr>
        <w:t>6.22.5</w:t>
      </w:r>
      <w:r w:rsidRPr="0042206A">
        <w:rPr>
          <w:lang w:val="fr-FR"/>
        </w:rPr>
        <w:tab/>
      </w:r>
      <w:r w:rsidRPr="0042206A">
        <w:rPr>
          <w:spacing w:val="-3"/>
          <w:lang w:val="fr-FR"/>
        </w:rPr>
        <w:t>Visibilité géométrique : Conformément à l</w:t>
      </w:r>
      <w:r>
        <w:rPr>
          <w:spacing w:val="-3"/>
          <w:lang w:val="fr-FR"/>
        </w:rPr>
        <w:t>’</w:t>
      </w:r>
      <w:r w:rsidRPr="0042206A">
        <w:rPr>
          <w:spacing w:val="-3"/>
          <w:lang w:val="fr-FR"/>
        </w:rPr>
        <w:t xml:space="preserve">annexe 15 du Règlement ONU </w:t>
      </w:r>
      <w:r w:rsidRPr="0042206A">
        <w:rPr>
          <w:rFonts w:eastAsia="MS Mincho"/>
          <w:spacing w:val="-3"/>
          <w:lang w:val="fr-FR"/>
        </w:rPr>
        <w:t>n</w:t>
      </w:r>
      <w:r w:rsidRPr="0042206A">
        <w:rPr>
          <w:rFonts w:eastAsia="MS Mincho"/>
          <w:spacing w:val="-3"/>
          <w:vertAlign w:val="superscript"/>
          <w:lang w:val="fr-FR"/>
        </w:rPr>
        <w:t>o</w:t>
      </w:r>
      <w:r w:rsidRPr="0042206A">
        <w:rPr>
          <w:spacing w:val="-3"/>
          <w:lang w:val="fr-FR"/>
        </w:rPr>
        <w:t> 69</w:t>
      </w:r>
      <w:r w:rsidRPr="0042206A">
        <w:rPr>
          <w:lang w:val="fr-FR"/>
        </w:rPr>
        <w:t xml:space="preserve"> </w:t>
      </w:r>
      <w:r w:rsidRPr="0042206A">
        <w:rPr>
          <w:bCs/>
          <w:lang w:val="fr-FR"/>
        </w:rPr>
        <w:t>ou à l</w:t>
      </w:r>
      <w:r>
        <w:rPr>
          <w:bCs/>
          <w:lang w:val="fr-FR"/>
        </w:rPr>
        <w:t>’</w:t>
      </w:r>
      <w:r w:rsidRPr="0042206A">
        <w:rPr>
          <w:bCs/>
          <w:lang w:val="fr-FR"/>
        </w:rPr>
        <w:t xml:space="preserve">annexe 25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w:t>
      </w:r>
    </w:p>
    <w:p w14:paraId="51B8DDF1" w14:textId="77777777" w:rsidR="007D63AB" w:rsidRPr="0042206A" w:rsidRDefault="007D63AB" w:rsidP="007D63AB">
      <w:pPr>
        <w:pStyle w:val="SingleTxtG"/>
        <w:tabs>
          <w:tab w:val="left" w:pos="2268"/>
        </w:tabs>
        <w:spacing w:line="240" w:lineRule="auto"/>
        <w:ind w:left="2268" w:hanging="1134"/>
        <w:rPr>
          <w:lang w:val="fr-FR"/>
        </w:rPr>
      </w:pPr>
      <w:r w:rsidRPr="0042206A">
        <w:rPr>
          <w:lang w:val="fr-FR"/>
        </w:rPr>
        <w:t>6.22.6</w:t>
      </w:r>
      <w:r w:rsidRPr="0042206A">
        <w:rPr>
          <w:lang w:val="fr-FR"/>
        </w:rPr>
        <w:tab/>
        <w:t>Orientation : Conformément à l</w:t>
      </w:r>
      <w:r>
        <w:rPr>
          <w:lang w:val="fr-FR"/>
        </w:rPr>
        <w:t>’</w:t>
      </w:r>
      <w:r w:rsidRPr="0042206A">
        <w:rPr>
          <w:lang w:val="fr-FR"/>
        </w:rPr>
        <w:t xml:space="preserve">annexe 15 du Règlement ONU </w:t>
      </w:r>
      <w:r w:rsidRPr="0042206A">
        <w:rPr>
          <w:rFonts w:eastAsia="MS Mincho"/>
          <w:lang w:val="fr-FR"/>
        </w:rPr>
        <w:t>n</w:t>
      </w:r>
      <w:r w:rsidRPr="0042206A">
        <w:rPr>
          <w:rFonts w:eastAsia="MS Mincho"/>
          <w:vertAlign w:val="superscript"/>
          <w:lang w:val="fr-FR"/>
        </w:rPr>
        <w:t>o</w:t>
      </w:r>
      <w:r w:rsidRPr="0042206A">
        <w:rPr>
          <w:lang w:val="fr-FR"/>
        </w:rPr>
        <w:t xml:space="preserve"> 69 </w:t>
      </w:r>
      <w:r w:rsidRPr="0042206A">
        <w:rPr>
          <w:bCs/>
          <w:lang w:val="fr-FR"/>
        </w:rPr>
        <w:t>ou à l</w:t>
      </w:r>
      <w:r>
        <w:rPr>
          <w:bCs/>
          <w:lang w:val="fr-FR"/>
        </w:rPr>
        <w:t>’</w:t>
      </w:r>
      <w:r w:rsidRPr="0042206A">
        <w:rPr>
          <w:bCs/>
          <w:lang w:val="fr-FR"/>
        </w:rPr>
        <w:t xml:space="preserve">annexe 25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 ».</w:t>
      </w:r>
    </w:p>
    <w:p w14:paraId="3C27348D" w14:textId="77777777" w:rsidR="007D63AB" w:rsidRPr="0042206A" w:rsidRDefault="007D63AB" w:rsidP="007D63AB">
      <w:pPr>
        <w:pStyle w:val="SingleTxtG"/>
        <w:spacing w:line="240" w:lineRule="auto"/>
        <w:rPr>
          <w:lang w:val="fr-FR"/>
        </w:rPr>
      </w:pPr>
      <w:r w:rsidRPr="0042206A">
        <w:rPr>
          <w:i/>
          <w:lang w:val="fr-FR"/>
        </w:rPr>
        <w:t>Paragraphe 6.24</w:t>
      </w:r>
      <w:r w:rsidRPr="0042206A">
        <w:rPr>
          <w:lang w:val="fr-FR"/>
        </w:rPr>
        <w:t>, lire :</w:t>
      </w:r>
    </w:p>
    <w:p w14:paraId="4717E26F" w14:textId="77777777" w:rsidR="007D63AB" w:rsidRPr="0042206A" w:rsidRDefault="007D63AB" w:rsidP="007D63AB">
      <w:pPr>
        <w:pStyle w:val="SingleTxtG"/>
        <w:spacing w:line="240" w:lineRule="auto"/>
        <w:ind w:left="2268" w:hanging="1134"/>
        <w:rPr>
          <w:lang w:val="fr-FR"/>
        </w:rPr>
      </w:pPr>
      <w:r w:rsidRPr="0042206A">
        <w:rPr>
          <w:lang w:val="fr-FR"/>
        </w:rPr>
        <w:t>« 6.24</w:t>
      </w:r>
      <w:r w:rsidRPr="0042206A">
        <w:rPr>
          <w:lang w:val="fr-FR"/>
        </w:rPr>
        <w:tab/>
        <w:t xml:space="preserve">Feu de manœuvre (Règlement ONU </w:t>
      </w:r>
      <w:r w:rsidRPr="0042206A">
        <w:rPr>
          <w:rFonts w:eastAsia="MS Mincho"/>
          <w:lang w:val="fr-FR"/>
        </w:rPr>
        <w:t>n</w:t>
      </w:r>
      <w:r w:rsidRPr="0042206A">
        <w:rPr>
          <w:rFonts w:eastAsia="MS Mincho"/>
          <w:vertAlign w:val="superscript"/>
          <w:lang w:val="fr-FR"/>
        </w:rPr>
        <w:t>o</w:t>
      </w:r>
      <w:r w:rsidRPr="0042206A">
        <w:rPr>
          <w:lang w:val="fr-FR"/>
        </w:rPr>
        <w:t xml:space="preserve"> 23 </w:t>
      </w:r>
      <w:r>
        <w:rPr>
          <w:bCs/>
          <w:lang w:val="fr-FR"/>
        </w:rPr>
        <w:t xml:space="preserve">ou Règlement ONU </w:t>
      </w:r>
      <w:r w:rsidR="005B0D23" w:rsidRPr="005B0D23">
        <w:rPr>
          <w:rFonts w:eastAsia="MS Mincho"/>
          <w:lang w:val="fr-FR"/>
        </w:rPr>
        <w:t>n</w:t>
      </w:r>
      <w:r w:rsidR="005B0D23" w:rsidRPr="005B0D23">
        <w:rPr>
          <w:rFonts w:eastAsia="MS Mincho"/>
          <w:vertAlign w:val="superscript"/>
          <w:lang w:val="fr-FR"/>
        </w:rPr>
        <w:t>o</w:t>
      </w:r>
      <w:r w:rsidR="005B0D23">
        <w:rPr>
          <w:lang w:val="fr-FR"/>
        </w:rPr>
        <w:t> </w:t>
      </w:r>
      <w:r>
        <w:rPr>
          <w:bCs/>
          <w:lang w:val="fr-FR"/>
        </w:rPr>
        <w:t>[</w:t>
      </w:r>
      <w:r w:rsidRPr="0042206A">
        <w:rPr>
          <w:bCs/>
          <w:lang w:val="fr-FR"/>
        </w:rPr>
        <w:t>LSD]</w:t>
      </w:r>
      <w:r w:rsidRPr="0042206A">
        <w:rPr>
          <w:lang w:val="fr-FR"/>
        </w:rPr>
        <w:t>) ».</w:t>
      </w:r>
    </w:p>
    <w:p w14:paraId="7A5694A9" w14:textId="77777777" w:rsidR="007D63AB" w:rsidRPr="0042206A" w:rsidRDefault="007D63AB" w:rsidP="007D63AB">
      <w:pPr>
        <w:pStyle w:val="SingleTxtG"/>
        <w:spacing w:line="240" w:lineRule="auto"/>
        <w:rPr>
          <w:lang w:val="fr-FR"/>
        </w:rPr>
      </w:pPr>
      <w:r w:rsidRPr="0042206A">
        <w:rPr>
          <w:i/>
          <w:lang w:val="fr-FR"/>
        </w:rPr>
        <w:t>Paragraphe 6.24.9.2</w:t>
      </w:r>
      <w:r w:rsidRPr="0042206A">
        <w:rPr>
          <w:lang w:val="fr-FR"/>
        </w:rPr>
        <w:t>, lire :</w:t>
      </w:r>
    </w:p>
    <w:p w14:paraId="66921D84" w14:textId="77777777" w:rsidR="007D63AB" w:rsidRPr="0042206A" w:rsidRDefault="007D63AB" w:rsidP="007D63AB">
      <w:pPr>
        <w:pStyle w:val="SingleTxtG"/>
        <w:spacing w:line="240" w:lineRule="auto"/>
        <w:ind w:left="2268" w:hanging="1134"/>
        <w:rPr>
          <w:lang w:val="fr-FR"/>
        </w:rPr>
      </w:pPr>
      <w:r w:rsidRPr="0042206A">
        <w:rPr>
          <w:lang w:val="fr-FR"/>
        </w:rPr>
        <w:t>« 6.24.9.2</w:t>
      </w:r>
      <w:r w:rsidRPr="0042206A">
        <w:rPr>
          <w:lang w:val="fr-FR"/>
        </w:rPr>
        <w:tab/>
      </w:r>
      <w:r w:rsidRPr="0042206A">
        <w:rPr>
          <w:bCs/>
          <w:lang w:val="fr-FR"/>
        </w:rPr>
        <w:tab/>
        <w:t>Le respect des prescriptions du paragraphe 6.24.9.1 peut être vérifié sur schéma ou par simulation ou jugé réalisé si les conditions d</w:t>
      </w:r>
      <w:r>
        <w:rPr>
          <w:bCs/>
          <w:lang w:val="fr-FR"/>
        </w:rPr>
        <w:t>’</w:t>
      </w:r>
      <w:r w:rsidRPr="0042206A">
        <w:rPr>
          <w:bCs/>
          <w:lang w:val="fr-FR"/>
        </w:rPr>
        <w:t xml:space="preserve">installation satisfont aux prescriptions du paragraphe 6.2.2 du Règlement ONU </w:t>
      </w:r>
      <w:r w:rsidRPr="0042206A">
        <w:rPr>
          <w:rFonts w:eastAsia="MS Mincho"/>
          <w:bCs/>
          <w:lang w:val="fr-FR"/>
        </w:rPr>
        <w:t>n</w:t>
      </w:r>
      <w:r w:rsidRPr="0042206A">
        <w:rPr>
          <w:rFonts w:eastAsia="MS Mincho"/>
          <w:bCs/>
          <w:vertAlign w:val="superscript"/>
          <w:lang w:val="fr-FR"/>
        </w:rPr>
        <w:t>o</w:t>
      </w:r>
      <w:r w:rsidRPr="0042206A">
        <w:rPr>
          <w:bCs/>
          <w:lang w:val="fr-FR"/>
        </w:rPr>
        <w:t> 23, ou au paragraphe 5.10.2 du Règlement ONU n</w:t>
      </w:r>
      <w:r w:rsidRPr="0042206A">
        <w:rPr>
          <w:bCs/>
          <w:vertAlign w:val="superscript"/>
          <w:lang w:val="fr-FR"/>
        </w:rPr>
        <w:t>o</w:t>
      </w:r>
      <w:r w:rsidRPr="0042206A">
        <w:rPr>
          <w:bCs/>
          <w:lang w:val="fr-FR"/>
        </w:rPr>
        <w:t> [LSD], comme indiqué dans le document d</w:t>
      </w:r>
      <w:r>
        <w:rPr>
          <w:bCs/>
          <w:lang w:val="fr-FR"/>
        </w:rPr>
        <w:t>’</w:t>
      </w:r>
      <w:r w:rsidRPr="0042206A">
        <w:rPr>
          <w:bCs/>
          <w:lang w:val="fr-FR"/>
        </w:rPr>
        <w:t>homologation de l</w:t>
      </w:r>
      <w:r>
        <w:rPr>
          <w:bCs/>
          <w:lang w:val="fr-FR"/>
        </w:rPr>
        <w:t>’</w:t>
      </w:r>
      <w:r w:rsidRPr="0042206A">
        <w:rPr>
          <w:bCs/>
          <w:lang w:val="fr-FR"/>
        </w:rPr>
        <w:t>annexe 1, au paragraphe 9. ».</w:t>
      </w:r>
    </w:p>
    <w:p w14:paraId="0E833031" w14:textId="77777777" w:rsidR="007D63AB" w:rsidRPr="0042206A" w:rsidRDefault="007D63AB" w:rsidP="007D63AB">
      <w:pPr>
        <w:pStyle w:val="SingleTxtG"/>
        <w:spacing w:line="240" w:lineRule="auto"/>
        <w:rPr>
          <w:lang w:val="fr-FR"/>
        </w:rPr>
      </w:pPr>
      <w:r w:rsidRPr="0042206A">
        <w:rPr>
          <w:i/>
          <w:lang w:val="fr-FR"/>
        </w:rPr>
        <w:t>Paragraphe 6.25</w:t>
      </w:r>
      <w:r w:rsidRPr="0042206A">
        <w:rPr>
          <w:lang w:val="fr-FR"/>
        </w:rPr>
        <w:t>, lire :</w:t>
      </w:r>
    </w:p>
    <w:p w14:paraId="59DC761B" w14:textId="77777777" w:rsidR="007D63AB" w:rsidRPr="0042206A" w:rsidRDefault="007D63AB" w:rsidP="007D63AB">
      <w:pPr>
        <w:pStyle w:val="SingleTxtG"/>
        <w:spacing w:line="240" w:lineRule="auto"/>
        <w:ind w:left="2268" w:hanging="1134"/>
        <w:rPr>
          <w:lang w:val="fr-FR"/>
        </w:rPr>
      </w:pPr>
      <w:r w:rsidRPr="0042206A">
        <w:rPr>
          <w:lang w:val="fr-FR"/>
        </w:rPr>
        <w:t>« 6.25</w:t>
      </w:r>
      <w:r w:rsidRPr="0042206A">
        <w:rPr>
          <w:lang w:val="fr-FR"/>
        </w:rPr>
        <w:tab/>
        <w:t xml:space="preserve">Catadioptre arrière, triangulaire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bCs/>
          <w:lang w:val="fr-FR"/>
        </w:rPr>
        <w:t xml:space="preserve">ou Règlement ONU </w:t>
      </w:r>
      <w:r w:rsidR="005B0D23" w:rsidRPr="005B0D23">
        <w:rPr>
          <w:rFonts w:eastAsia="MS Mincho"/>
          <w:lang w:val="fr-FR"/>
        </w:rPr>
        <w:t>n</w:t>
      </w:r>
      <w:r w:rsidR="005B0D23" w:rsidRPr="005B0D23">
        <w:rPr>
          <w:rFonts w:eastAsia="MS Mincho"/>
          <w:vertAlign w:val="superscript"/>
          <w:lang w:val="fr-FR"/>
        </w:rPr>
        <w:t>o</w:t>
      </w:r>
      <w:r w:rsidR="005B0D23">
        <w:rPr>
          <w:lang w:val="fr-FR"/>
        </w:rPr>
        <w:t> </w:t>
      </w:r>
      <w:r>
        <w:rPr>
          <w:bCs/>
          <w:lang w:val="fr-FR"/>
        </w:rPr>
        <w:t>[</w:t>
      </w:r>
      <w:r w:rsidRPr="0042206A">
        <w:rPr>
          <w:bCs/>
          <w:lang w:val="fr-FR"/>
        </w:rPr>
        <w:t>RRD]</w:t>
      </w:r>
      <w:r w:rsidRPr="0042206A">
        <w:rPr>
          <w:lang w:val="fr-FR"/>
        </w:rPr>
        <w:t>) ».</w:t>
      </w:r>
    </w:p>
    <w:p w14:paraId="79ABCD63" w14:textId="77777777" w:rsidR="007D63AB" w:rsidRPr="0042206A" w:rsidRDefault="007D63AB" w:rsidP="007D63AB">
      <w:pPr>
        <w:pStyle w:val="SingleTxtG"/>
        <w:spacing w:line="240" w:lineRule="auto"/>
        <w:rPr>
          <w:lang w:val="fr-FR"/>
        </w:rPr>
      </w:pPr>
      <w:r w:rsidRPr="0042206A">
        <w:rPr>
          <w:i/>
          <w:lang w:val="fr-FR"/>
        </w:rPr>
        <w:t>Paragraphe 6.26</w:t>
      </w:r>
      <w:r w:rsidRPr="0042206A">
        <w:rPr>
          <w:lang w:val="fr-FR"/>
        </w:rPr>
        <w:t>, lire :</w:t>
      </w:r>
    </w:p>
    <w:p w14:paraId="4EF3382A" w14:textId="77777777" w:rsidR="007D63AB" w:rsidRPr="0042206A" w:rsidRDefault="007D63AB" w:rsidP="007D63AB">
      <w:pPr>
        <w:pStyle w:val="SingleTxtG"/>
        <w:spacing w:line="240" w:lineRule="auto"/>
        <w:ind w:left="2268" w:hanging="1134"/>
        <w:rPr>
          <w:lang w:val="fr-FR"/>
        </w:rPr>
      </w:pPr>
      <w:r w:rsidRPr="0042206A">
        <w:rPr>
          <w:lang w:val="fr-FR"/>
        </w:rPr>
        <w:t>« 6.26</w:t>
      </w:r>
      <w:r w:rsidRPr="0042206A">
        <w:rPr>
          <w:lang w:val="fr-FR"/>
        </w:rPr>
        <w:tab/>
        <w:t>Bandeaux de signalisation (Règlements ONU n</w:t>
      </w:r>
      <w:r w:rsidRPr="0042206A">
        <w:rPr>
          <w:vertAlign w:val="superscript"/>
          <w:lang w:val="fr-FR"/>
        </w:rPr>
        <w:t>os</w:t>
      </w:r>
      <w:r w:rsidRPr="0042206A">
        <w:rPr>
          <w:lang w:val="fr-FR"/>
        </w:rPr>
        <w:t xml:space="preserve"> 70 et 104 </w:t>
      </w:r>
      <w:r>
        <w:rPr>
          <w:bCs/>
          <w:lang w:val="fr-FR"/>
        </w:rPr>
        <w:t xml:space="preserve">ou Règlement ONU </w:t>
      </w:r>
      <w:r w:rsidR="005B0D23" w:rsidRPr="005B0D23">
        <w:rPr>
          <w:rFonts w:eastAsia="MS Mincho"/>
          <w:lang w:val="fr-FR"/>
        </w:rPr>
        <w:t>n</w:t>
      </w:r>
      <w:r w:rsidR="005B0D23" w:rsidRPr="005B0D23">
        <w:rPr>
          <w:rFonts w:eastAsia="MS Mincho"/>
          <w:vertAlign w:val="superscript"/>
          <w:lang w:val="fr-FR"/>
        </w:rPr>
        <w:t>o</w:t>
      </w:r>
      <w:r w:rsidR="005B0D23">
        <w:rPr>
          <w:lang w:val="fr-FR"/>
        </w:rPr>
        <w:t> </w:t>
      </w:r>
      <w:r>
        <w:rPr>
          <w:bCs/>
          <w:lang w:val="fr-FR"/>
        </w:rPr>
        <w:t>[</w:t>
      </w:r>
      <w:r w:rsidRPr="0042206A">
        <w:rPr>
          <w:bCs/>
          <w:lang w:val="fr-FR"/>
        </w:rPr>
        <w:t>RRD]</w:t>
      </w:r>
      <w:r w:rsidRPr="0042206A">
        <w:rPr>
          <w:lang w:val="fr-FR"/>
        </w:rPr>
        <w:t>) ».</w:t>
      </w:r>
    </w:p>
    <w:p w14:paraId="63BE7DFE" w14:textId="77777777" w:rsidR="007D63AB" w:rsidRPr="0042206A" w:rsidRDefault="007D63AB" w:rsidP="007D63AB">
      <w:pPr>
        <w:pStyle w:val="SingleTxtG"/>
        <w:keepNext/>
        <w:keepLines/>
        <w:ind w:left="2835" w:hanging="1701"/>
        <w:rPr>
          <w:lang w:val="fr-FR"/>
        </w:rPr>
      </w:pPr>
      <w:r w:rsidRPr="0042206A">
        <w:rPr>
          <w:i/>
          <w:lang w:val="fr-FR"/>
        </w:rPr>
        <w:t>Annexe 1, point 6</w:t>
      </w:r>
      <w:r w:rsidRPr="0042206A">
        <w:rPr>
          <w:lang w:val="fr-FR"/>
        </w:rPr>
        <w:t>, lire :</w:t>
      </w:r>
    </w:p>
    <w:p w14:paraId="1DF47834" w14:textId="77777777" w:rsidR="007D63AB" w:rsidRPr="0042206A" w:rsidRDefault="007D63AB" w:rsidP="007D63AB">
      <w:pPr>
        <w:pStyle w:val="SingleTxtG"/>
        <w:ind w:left="2268" w:hanging="1134"/>
        <w:rPr>
          <w:lang w:val="fr-FR"/>
        </w:rPr>
      </w:pPr>
      <w:r w:rsidRPr="0042206A">
        <w:t>« 6.</w:t>
      </w:r>
      <w:r w:rsidRPr="0042206A">
        <w:tab/>
      </w:r>
      <w:r w:rsidRPr="0042206A">
        <w:rPr>
          <w:lang w:val="fr-FR"/>
        </w:rPr>
        <w:t>Feux équivalents : oui/non</w:t>
      </w:r>
      <w:r w:rsidRPr="005B0D23">
        <w:rPr>
          <w:sz w:val="18"/>
          <w:szCs w:val="18"/>
          <w:vertAlign w:val="superscript"/>
          <w:lang w:val="fr-FR"/>
        </w:rPr>
        <w:t>2</w:t>
      </w:r>
      <w:r w:rsidRPr="0042206A">
        <w:rPr>
          <w:lang w:val="fr-FR"/>
        </w:rPr>
        <w:t xml:space="preserve"> (voir par</w:t>
      </w:r>
      <w:r w:rsidR="005B0D23">
        <w:rPr>
          <w:lang w:val="fr-FR"/>
        </w:rPr>
        <w:t>.</w:t>
      </w:r>
      <w:r w:rsidRPr="0042206A">
        <w:rPr>
          <w:lang w:val="fr-FR"/>
        </w:rPr>
        <w:t> 2.3.1). »</w:t>
      </w:r>
      <w:r w:rsidR="005B0D23">
        <w:rPr>
          <w:lang w:val="fr-FR"/>
        </w:rPr>
        <w:t>.</w:t>
      </w:r>
    </w:p>
    <w:p w14:paraId="46B43131" w14:textId="77777777" w:rsidR="007D63AB" w:rsidRPr="0042206A" w:rsidRDefault="007D63AB" w:rsidP="007D63AB">
      <w:pPr>
        <w:pStyle w:val="SingleTxtG"/>
        <w:spacing w:line="240" w:lineRule="auto"/>
        <w:rPr>
          <w:lang w:val="fr-FR"/>
        </w:rPr>
      </w:pPr>
      <w:r w:rsidRPr="0042206A">
        <w:rPr>
          <w:i/>
          <w:lang w:val="fr-FR"/>
        </w:rPr>
        <w:t>Annexe 6, paragraphe 2</w:t>
      </w:r>
      <w:r w:rsidRPr="0042206A">
        <w:rPr>
          <w:lang w:val="fr-FR"/>
        </w:rPr>
        <w:t>, lire :</w:t>
      </w:r>
    </w:p>
    <w:p w14:paraId="09CFF786" w14:textId="77777777" w:rsidR="00F9573C" w:rsidRDefault="007D63AB" w:rsidP="007D63AB">
      <w:pPr>
        <w:pStyle w:val="SingleTxtG"/>
        <w:spacing w:line="240" w:lineRule="auto"/>
        <w:ind w:left="2268" w:hanging="1134"/>
        <w:rPr>
          <w:lang w:val="fr-FR"/>
        </w:rPr>
      </w:pPr>
      <w:r w:rsidRPr="0042206A">
        <w:rPr>
          <w:lang w:val="fr-FR"/>
        </w:rPr>
        <w:t>« 2.</w:t>
      </w:r>
      <w:r w:rsidRPr="0042206A">
        <w:rPr>
          <w:lang w:val="fr-FR"/>
        </w:rPr>
        <w:tab/>
      </w:r>
      <w:r w:rsidRPr="0042206A">
        <w:rPr>
          <w:spacing w:val="-3"/>
          <w:lang w:val="fr-FR"/>
        </w:rPr>
        <w:t xml:space="preserve">Chaque bandeau doit être conforme aux prescriptions du Règlement ONU </w:t>
      </w:r>
      <w:r w:rsidRPr="0042206A">
        <w:rPr>
          <w:rFonts w:eastAsia="MS Mincho"/>
          <w:spacing w:val="-3"/>
          <w:lang w:val="fr-FR"/>
        </w:rPr>
        <w:t>n</w:t>
      </w:r>
      <w:r w:rsidRPr="0042206A">
        <w:rPr>
          <w:rFonts w:eastAsia="MS Mincho"/>
          <w:spacing w:val="-3"/>
          <w:vertAlign w:val="superscript"/>
          <w:lang w:val="fr-FR"/>
        </w:rPr>
        <w:t>o</w:t>
      </w:r>
      <w:r w:rsidRPr="0042206A">
        <w:rPr>
          <w:spacing w:val="-3"/>
          <w:lang w:val="fr-FR"/>
        </w:rPr>
        <w:t> 70,</w:t>
      </w:r>
      <w:r w:rsidRPr="0042206A">
        <w:rPr>
          <w:lang w:val="fr-FR"/>
        </w:rPr>
        <w:t xml:space="preserve"> pour la classe 5, ou du Règlement ONU </w:t>
      </w:r>
      <w:r w:rsidRPr="0042206A">
        <w:rPr>
          <w:rFonts w:eastAsia="MS Mincho"/>
          <w:lang w:val="fr-FR"/>
        </w:rPr>
        <w:t>n</w:t>
      </w:r>
      <w:r w:rsidRPr="0042206A">
        <w:rPr>
          <w:rFonts w:eastAsia="MS Mincho"/>
          <w:vertAlign w:val="superscript"/>
          <w:lang w:val="fr-FR"/>
        </w:rPr>
        <w:t>o</w:t>
      </w:r>
      <w:r w:rsidRPr="0042206A">
        <w:rPr>
          <w:lang w:val="fr-FR"/>
        </w:rPr>
        <w:t xml:space="preserve"> 104, pour la classe F, </w:t>
      </w:r>
      <w:r w:rsidRPr="0042206A">
        <w:rPr>
          <w:bCs/>
          <w:lang w:val="fr-FR"/>
        </w:rPr>
        <w:t xml:space="preserve">ou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 pour la classe 5 ou la classe F.</w:t>
      </w:r>
      <w:r w:rsidRPr="0042206A">
        <w:rPr>
          <w:lang w:val="fr-FR"/>
        </w:rPr>
        <w:t> ».</w:t>
      </w:r>
    </w:p>
    <w:p w14:paraId="0A57978A" w14:textId="77777777" w:rsidR="007D63AB" w:rsidRPr="007D63AB" w:rsidRDefault="007D63AB" w:rsidP="007D63AB">
      <w:pPr>
        <w:pStyle w:val="SingleTxtG"/>
        <w:spacing w:before="240" w:after="0"/>
        <w:jc w:val="center"/>
        <w:rPr>
          <w:u w:val="single"/>
        </w:rPr>
      </w:pPr>
      <w:r>
        <w:rPr>
          <w:u w:val="single"/>
        </w:rPr>
        <w:tab/>
      </w:r>
      <w:r>
        <w:rPr>
          <w:u w:val="single"/>
        </w:rPr>
        <w:tab/>
      </w:r>
      <w:r>
        <w:rPr>
          <w:u w:val="single"/>
        </w:rPr>
        <w:tab/>
      </w:r>
    </w:p>
    <w:sectPr w:rsidR="007D63AB" w:rsidRPr="007D63AB" w:rsidSect="00120B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F01E" w14:textId="77777777" w:rsidR="005B0D23" w:rsidRDefault="005B0D23" w:rsidP="00F95C08">
      <w:pPr>
        <w:spacing w:line="240" w:lineRule="auto"/>
      </w:pPr>
    </w:p>
  </w:endnote>
  <w:endnote w:type="continuationSeparator" w:id="0">
    <w:p w14:paraId="1437DF37" w14:textId="77777777" w:rsidR="005B0D23" w:rsidRPr="00AC3823" w:rsidRDefault="005B0D23" w:rsidP="00AC3823">
      <w:pPr>
        <w:pStyle w:val="Footer"/>
      </w:pPr>
    </w:p>
  </w:endnote>
  <w:endnote w:type="continuationNotice" w:id="1">
    <w:p w14:paraId="11DDD1B1" w14:textId="77777777" w:rsidR="005B0D23" w:rsidRDefault="005B0D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B38D" w14:textId="464CCE34" w:rsidR="005B0D23" w:rsidRPr="00120BB7" w:rsidRDefault="005B0D23" w:rsidP="00120BB7">
    <w:pPr>
      <w:pStyle w:val="Footer"/>
      <w:tabs>
        <w:tab w:val="right" w:pos="9638"/>
      </w:tabs>
    </w:pPr>
    <w:r w:rsidRPr="00120BB7">
      <w:rPr>
        <w:b/>
        <w:sz w:val="18"/>
      </w:rPr>
      <w:fldChar w:fldCharType="begin"/>
    </w:r>
    <w:r w:rsidRPr="00120BB7">
      <w:rPr>
        <w:b/>
        <w:sz w:val="18"/>
      </w:rPr>
      <w:instrText xml:space="preserve"> PAGE  \* MERGEFORMAT </w:instrText>
    </w:r>
    <w:r w:rsidRPr="00120BB7">
      <w:rPr>
        <w:b/>
        <w:sz w:val="18"/>
      </w:rPr>
      <w:fldChar w:fldCharType="separate"/>
    </w:r>
    <w:r w:rsidR="00782871">
      <w:rPr>
        <w:b/>
        <w:noProof/>
        <w:sz w:val="18"/>
      </w:rPr>
      <w:t>8</w:t>
    </w:r>
    <w:r w:rsidRPr="00120BB7">
      <w:rPr>
        <w:b/>
        <w:sz w:val="18"/>
      </w:rPr>
      <w:fldChar w:fldCharType="end"/>
    </w:r>
    <w:r>
      <w:rPr>
        <w:b/>
        <w:sz w:val="18"/>
      </w:rPr>
      <w:tab/>
    </w:r>
    <w:r>
      <w:t>GE.18-16220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ED59" w14:textId="10B1690E" w:rsidR="005B0D23" w:rsidRPr="00120BB7" w:rsidRDefault="005B0D23" w:rsidP="00120BB7">
    <w:pPr>
      <w:pStyle w:val="Footer"/>
      <w:tabs>
        <w:tab w:val="right" w:pos="9638"/>
      </w:tabs>
      <w:rPr>
        <w:b/>
        <w:sz w:val="18"/>
      </w:rPr>
    </w:pPr>
    <w:r>
      <w:t>GE.18-16220</w:t>
    </w:r>
    <w:r>
      <w:tab/>
    </w:r>
    <w:r w:rsidRPr="00120BB7">
      <w:rPr>
        <w:b/>
        <w:sz w:val="18"/>
      </w:rPr>
      <w:fldChar w:fldCharType="begin"/>
    </w:r>
    <w:r w:rsidRPr="00120BB7">
      <w:rPr>
        <w:b/>
        <w:sz w:val="18"/>
      </w:rPr>
      <w:instrText xml:space="preserve"> PAGE  \* MERGEFORMAT </w:instrText>
    </w:r>
    <w:r w:rsidRPr="00120BB7">
      <w:rPr>
        <w:b/>
        <w:sz w:val="18"/>
      </w:rPr>
      <w:fldChar w:fldCharType="separate"/>
    </w:r>
    <w:r w:rsidR="00782871">
      <w:rPr>
        <w:b/>
        <w:noProof/>
        <w:sz w:val="18"/>
      </w:rPr>
      <w:t>9</w:t>
    </w:r>
    <w:r w:rsidRPr="00120B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C66" w14:textId="77777777" w:rsidR="005B0D23" w:rsidRPr="00120BB7" w:rsidRDefault="005B0D23" w:rsidP="00120BB7">
    <w:pPr>
      <w:pStyle w:val="Footer"/>
      <w:spacing w:before="120"/>
      <w:rPr>
        <w:sz w:val="20"/>
      </w:rPr>
    </w:pPr>
    <w:r>
      <w:rPr>
        <w:sz w:val="20"/>
      </w:rPr>
      <w:t>GE.</w:t>
    </w:r>
    <w:r>
      <w:rPr>
        <w:noProof/>
        <w:lang w:val="en-GB" w:eastAsia="zh-CN"/>
      </w:rPr>
      <w:drawing>
        <wp:anchor distT="0" distB="0" distL="114300" distR="114300" simplePos="0" relativeHeight="251659264" behindDoc="0" locked="0" layoutInCell="1" allowOverlap="0" wp14:anchorId="51D340C0" wp14:editId="3067E64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18-16220  (F)    180219    110319</w:t>
    </w:r>
    <w:r>
      <w:rPr>
        <w:sz w:val="20"/>
      </w:rPr>
      <w:br/>
    </w:r>
    <w:r w:rsidRPr="00120BB7">
      <w:rPr>
        <w:rFonts w:ascii="C39T30Lfz" w:hAnsi="C39T30Lfz"/>
        <w:sz w:val="56"/>
      </w:rPr>
      <w:t></w:t>
    </w:r>
    <w:r w:rsidRPr="00120BB7">
      <w:rPr>
        <w:rFonts w:ascii="C39T30Lfz" w:hAnsi="C39T30Lfz"/>
        <w:sz w:val="56"/>
      </w:rPr>
      <w:t></w:t>
    </w:r>
    <w:r w:rsidRPr="00120BB7">
      <w:rPr>
        <w:rFonts w:ascii="C39T30Lfz" w:hAnsi="C39T30Lfz"/>
        <w:sz w:val="56"/>
      </w:rPr>
      <w:t></w:t>
    </w:r>
    <w:r w:rsidRPr="00120BB7">
      <w:rPr>
        <w:rFonts w:ascii="C39T30Lfz" w:hAnsi="C39T30Lfz"/>
        <w:sz w:val="56"/>
      </w:rPr>
      <w:t></w:t>
    </w:r>
    <w:r w:rsidRPr="00120BB7">
      <w:rPr>
        <w:rFonts w:ascii="C39T30Lfz" w:hAnsi="C39T30Lfz"/>
        <w:sz w:val="56"/>
      </w:rPr>
      <w:t></w:t>
    </w:r>
    <w:r w:rsidRPr="00120BB7">
      <w:rPr>
        <w:rFonts w:ascii="C39T30Lfz" w:hAnsi="C39T30Lfz"/>
        <w:sz w:val="56"/>
      </w:rPr>
      <w:t></w:t>
    </w:r>
    <w:r w:rsidRPr="00120BB7">
      <w:rPr>
        <w:rFonts w:ascii="C39T30Lfz" w:hAnsi="C39T30Lfz"/>
        <w:sz w:val="56"/>
      </w:rPr>
      <w:t></w:t>
    </w:r>
    <w:r w:rsidRPr="00120BB7">
      <w:rPr>
        <w:rFonts w:ascii="C39T30Lfz" w:hAnsi="C39T30Lfz"/>
        <w:sz w:val="56"/>
      </w:rPr>
      <w:t></w:t>
    </w:r>
    <w:r w:rsidRPr="00120BB7">
      <w:rPr>
        <w:rFonts w:ascii="C39T30Lfz" w:hAnsi="C39T30Lfz"/>
        <w:sz w:val="56"/>
      </w:rPr>
      <w:t></w:t>
    </w:r>
    <w:r>
      <w:rPr>
        <w:noProof/>
        <w:sz w:val="20"/>
        <w:lang w:val="en-GB" w:eastAsia="zh-CN"/>
      </w:rPr>
      <w:drawing>
        <wp:anchor distT="0" distB="0" distL="114300" distR="114300" simplePos="0" relativeHeight="251658240" behindDoc="0" locked="0" layoutInCell="1" allowOverlap="1" wp14:anchorId="1CF94A05" wp14:editId="229965B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10/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10/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04EB9" w14:textId="77777777" w:rsidR="005B0D23" w:rsidRPr="00AC3823" w:rsidRDefault="005B0D23" w:rsidP="00AC3823">
      <w:pPr>
        <w:pStyle w:val="Footer"/>
        <w:tabs>
          <w:tab w:val="right" w:pos="2155"/>
        </w:tabs>
        <w:spacing w:after="80" w:line="240" w:lineRule="atLeast"/>
        <w:ind w:left="680"/>
        <w:rPr>
          <w:u w:val="single"/>
        </w:rPr>
      </w:pPr>
      <w:r>
        <w:rPr>
          <w:u w:val="single"/>
        </w:rPr>
        <w:tab/>
      </w:r>
    </w:p>
  </w:footnote>
  <w:footnote w:type="continuationSeparator" w:id="0">
    <w:p w14:paraId="12C3812B" w14:textId="77777777" w:rsidR="005B0D23" w:rsidRPr="00AC3823" w:rsidRDefault="005B0D23" w:rsidP="00AC3823">
      <w:pPr>
        <w:pStyle w:val="Footer"/>
        <w:tabs>
          <w:tab w:val="right" w:pos="2155"/>
        </w:tabs>
        <w:spacing w:after="80" w:line="240" w:lineRule="atLeast"/>
        <w:ind w:left="680"/>
        <w:rPr>
          <w:u w:val="single"/>
        </w:rPr>
      </w:pPr>
      <w:r>
        <w:rPr>
          <w:u w:val="single"/>
        </w:rPr>
        <w:tab/>
      </w:r>
    </w:p>
  </w:footnote>
  <w:footnote w:type="continuationNotice" w:id="1">
    <w:p w14:paraId="195D0977" w14:textId="77777777" w:rsidR="005B0D23" w:rsidRPr="00AC3823" w:rsidRDefault="005B0D23">
      <w:pPr>
        <w:spacing w:line="240" w:lineRule="auto"/>
        <w:rPr>
          <w:sz w:val="2"/>
          <w:szCs w:val="2"/>
        </w:rPr>
      </w:pPr>
    </w:p>
  </w:footnote>
  <w:footnote w:id="2">
    <w:p w14:paraId="71DF7398" w14:textId="77777777" w:rsidR="005B0D23" w:rsidRPr="007D63AB" w:rsidRDefault="005B0D23">
      <w:pPr>
        <w:pStyle w:val="FootnoteText"/>
      </w:pPr>
      <w:r>
        <w:rPr>
          <w:rStyle w:val="FootnoteReference"/>
        </w:rPr>
        <w:tab/>
      </w:r>
      <w:r w:rsidRPr="007D63AB">
        <w:rPr>
          <w:rStyle w:val="FootnoteReference"/>
          <w:sz w:val="20"/>
          <w:vertAlign w:val="baseline"/>
        </w:rPr>
        <w:t>*</w:t>
      </w:r>
      <w:r>
        <w:rPr>
          <w:rStyle w:val="FootnoteReference"/>
          <w:sz w:val="20"/>
          <w:vertAlign w:val="baseline"/>
        </w:rPr>
        <w:tab/>
      </w:r>
      <w:r w:rsidRPr="00AB01B0">
        <w:rPr>
          <w:szCs w:val="18"/>
        </w:rPr>
        <w:t>Conformément au programme de travail du Comité des transports intérieurs pour la période 2018-2019 (ECE/TRANS/274, par.</w:t>
      </w:r>
      <w:r w:rsidR="00AA05D2">
        <w:rPr>
          <w:szCs w:val="18"/>
        </w:rPr>
        <w:t> </w:t>
      </w:r>
      <w:r w:rsidRPr="00AB01B0">
        <w:rPr>
          <w:szCs w:val="18"/>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2FA4" w14:textId="7C0EB5B8" w:rsidR="005B0D23" w:rsidRPr="00120BB7" w:rsidRDefault="00782871">
    <w:pPr>
      <w:pStyle w:val="Header"/>
    </w:pPr>
    <w:r>
      <w:fldChar w:fldCharType="begin"/>
    </w:r>
    <w:r>
      <w:instrText xml:space="preserve"> TITLE  \* MERGEFORMAT </w:instrText>
    </w:r>
    <w:r>
      <w:fldChar w:fldCharType="separate"/>
    </w:r>
    <w:r>
      <w:t>ECE/TRANS/WP.29/2018/110/Rev.1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1923" w14:textId="4AC5B962" w:rsidR="005B0D23" w:rsidRPr="00120BB7" w:rsidRDefault="00782871" w:rsidP="00120BB7">
    <w:pPr>
      <w:pStyle w:val="Header"/>
      <w:jc w:val="right"/>
    </w:pPr>
    <w:r>
      <w:fldChar w:fldCharType="begin"/>
    </w:r>
    <w:r>
      <w:instrText xml:space="preserve"> TITLE  \* MERGEFORMAT </w:instrText>
    </w:r>
    <w:r>
      <w:fldChar w:fldCharType="separate"/>
    </w:r>
    <w:r>
      <w:t>ECE/TRANS/WP.29/2018/110/Rev.1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BD"/>
    <w:rsid w:val="00017F94"/>
    <w:rsid w:val="00023842"/>
    <w:rsid w:val="000334F9"/>
    <w:rsid w:val="00045FEB"/>
    <w:rsid w:val="0007796D"/>
    <w:rsid w:val="000B7790"/>
    <w:rsid w:val="000E4D7A"/>
    <w:rsid w:val="00111F2F"/>
    <w:rsid w:val="00120BB7"/>
    <w:rsid w:val="0014365E"/>
    <w:rsid w:val="00143C66"/>
    <w:rsid w:val="00176178"/>
    <w:rsid w:val="001F525A"/>
    <w:rsid w:val="00223272"/>
    <w:rsid w:val="0024779E"/>
    <w:rsid w:val="00257168"/>
    <w:rsid w:val="002744B8"/>
    <w:rsid w:val="002832AC"/>
    <w:rsid w:val="002C4136"/>
    <w:rsid w:val="002D7C93"/>
    <w:rsid w:val="00305801"/>
    <w:rsid w:val="003161A7"/>
    <w:rsid w:val="003916DE"/>
    <w:rsid w:val="00421996"/>
    <w:rsid w:val="00441C3B"/>
    <w:rsid w:val="00446FE5"/>
    <w:rsid w:val="00452396"/>
    <w:rsid w:val="004837D8"/>
    <w:rsid w:val="004E2EED"/>
    <w:rsid w:val="004E468C"/>
    <w:rsid w:val="005505B7"/>
    <w:rsid w:val="00573BE5"/>
    <w:rsid w:val="00586ED3"/>
    <w:rsid w:val="00596AA9"/>
    <w:rsid w:val="005B0D23"/>
    <w:rsid w:val="006700D6"/>
    <w:rsid w:val="0069226B"/>
    <w:rsid w:val="006928C6"/>
    <w:rsid w:val="0071601D"/>
    <w:rsid w:val="00782871"/>
    <w:rsid w:val="007A62E6"/>
    <w:rsid w:val="007D63AB"/>
    <w:rsid w:val="007F20FA"/>
    <w:rsid w:val="0080684C"/>
    <w:rsid w:val="008244E3"/>
    <w:rsid w:val="00871AB1"/>
    <w:rsid w:val="00871C75"/>
    <w:rsid w:val="008776DC"/>
    <w:rsid w:val="00941FBD"/>
    <w:rsid w:val="009446C0"/>
    <w:rsid w:val="009705C8"/>
    <w:rsid w:val="009C1CF4"/>
    <w:rsid w:val="009F6B74"/>
    <w:rsid w:val="00A23B89"/>
    <w:rsid w:val="00A3029F"/>
    <w:rsid w:val="00A30353"/>
    <w:rsid w:val="00A751A3"/>
    <w:rsid w:val="00AA05D2"/>
    <w:rsid w:val="00AC3823"/>
    <w:rsid w:val="00AE323C"/>
    <w:rsid w:val="00AF0CB5"/>
    <w:rsid w:val="00B00181"/>
    <w:rsid w:val="00B00B0D"/>
    <w:rsid w:val="00B45F2E"/>
    <w:rsid w:val="00B51ECB"/>
    <w:rsid w:val="00B765F7"/>
    <w:rsid w:val="00BA0CA9"/>
    <w:rsid w:val="00C02897"/>
    <w:rsid w:val="00C034AD"/>
    <w:rsid w:val="00C54C29"/>
    <w:rsid w:val="00C97039"/>
    <w:rsid w:val="00CF5684"/>
    <w:rsid w:val="00D3439C"/>
    <w:rsid w:val="00DB1831"/>
    <w:rsid w:val="00DD3BFD"/>
    <w:rsid w:val="00DF6678"/>
    <w:rsid w:val="00E0299A"/>
    <w:rsid w:val="00E85C74"/>
    <w:rsid w:val="00EA6547"/>
    <w:rsid w:val="00ED5A5E"/>
    <w:rsid w:val="00EF2E22"/>
    <w:rsid w:val="00F35BAF"/>
    <w:rsid w:val="00F628C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C5BBE"/>
  <w15:docId w15:val="{3ED3182D-8861-4BD1-9946-0B6D3B9E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5_G_6"/>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7D63AB"/>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7D63AB"/>
    <w:rPr>
      <w:rFonts w:ascii="Times New Roman" w:eastAsiaTheme="minorHAnsi" w:hAnsi="Times New Roman" w:cs="Times New Roman"/>
      <w:sz w:val="20"/>
      <w:szCs w:val="20"/>
      <w:lang w:eastAsia="en-US"/>
    </w:rPr>
  </w:style>
  <w:style w:type="character" w:customStyle="1" w:styleId="HChGChar">
    <w:name w:val="_ H _Ch_G Char"/>
    <w:link w:val="HChG"/>
    <w:rsid w:val="007D63AB"/>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7D63AB"/>
    <w:pPr>
      <w:kinsoku/>
      <w:overflowPunct/>
      <w:autoSpaceDE/>
      <w:autoSpaceDN/>
      <w:adjustRightInd/>
      <w:snapToGrid/>
      <w:ind w:left="2268" w:hanging="1134"/>
    </w:pPr>
    <w:rPr>
      <w:rFonts w:eastAsia="Times New Roman"/>
      <w:lang w:val="en-GB"/>
    </w:rPr>
  </w:style>
  <w:style w:type="paragraph" w:customStyle="1" w:styleId="a">
    <w:name w:val="(a)"/>
    <w:basedOn w:val="para"/>
    <w:qFormat/>
    <w:rsid w:val="007D63AB"/>
    <w:pPr>
      <w:ind w:left="2835" w:hanging="567"/>
    </w:pPr>
  </w:style>
  <w:style w:type="paragraph" w:customStyle="1" w:styleId="i">
    <w:name w:val="(i)"/>
    <w:basedOn w:val="a"/>
    <w:qFormat/>
    <w:rsid w:val="007D63AB"/>
    <w:pPr>
      <w:ind w:left="3402"/>
    </w:pPr>
  </w:style>
  <w:style w:type="character" w:customStyle="1" w:styleId="paraChar">
    <w:name w:val="para Char"/>
    <w:link w:val="para"/>
    <w:rsid w:val="007D63AB"/>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3538</Words>
  <Characters>20170</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ECE/TRANS/WP.29/2018/110/Rev.1</vt:lpstr>
      <vt:lpstr>ECE/TRANS/WP.29/2018/110/Rev.1</vt:lpstr>
    </vt:vector>
  </TitlesOfParts>
  <Company>DCM</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ECE/TRANS/WP.29/2018/110/Rev.1</dc:title>
  <dc:subject/>
  <dc:creator>Maud DARICHE</dc:creator>
  <cp:keywords/>
  <cp:lastModifiedBy>Marie-Claude Collet</cp:lastModifiedBy>
  <cp:revision>3</cp:revision>
  <cp:lastPrinted>2019-03-12T14:57:00Z</cp:lastPrinted>
  <dcterms:created xsi:type="dcterms:W3CDTF">2019-03-12T14:57:00Z</dcterms:created>
  <dcterms:modified xsi:type="dcterms:W3CDTF">2019-03-12T14:57:00Z</dcterms:modified>
</cp:coreProperties>
</file>