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31AC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31ACD" w:rsidP="00C31ACD">
            <w:pPr>
              <w:jc w:val="right"/>
            </w:pPr>
            <w:r w:rsidRPr="00C31ACD">
              <w:rPr>
                <w:sz w:val="40"/>
              </w:rPr>
              <w:t>ECE</w:t>
            </w:r>
            <w:r>
              <w:t>/TRANS/2019/5</w:t>
            </w:r>
          </w:p>
        </w:tc>
      </w:tr>
      <w:tr w:rsidR="002D5AAC" w:rsidRPr="00723B4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31AC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31ACD" w:rsidRDefault="00C31ACD" w:rsidP="00C31A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December 2018</w:t>
            </w:r>
          </w:p>
          <w:p w:rsidR="00C31ACD" w:rsidRDefault="00C31ACD" w:rsidP="00C31A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31ACD" w:rsidRPr="008D53B6" w:rsidRDefault="00C31ACD" w:rsidP="00C31AC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C31AC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31ACD" w:rsidRPr="00C31ACD" w:rsidRDefault="00C31ACD" w:rsidP="00C31ACD">
      <w:pPr>
        <w:spacing w:before="120"/>
        <w:rPr>
          <w:sz w:val="28"/>
          <w:szCs w:val="28"/>
        </w:rPr>
      </w:pPr>
      <w:r w:rsidRPr="00C31ACD">
        <w:rPr>
          <w:sz w:val="28"/>
          <w:szCs w:val="28"/>
        </w:rPr>
        <w:t>Комитет по внутреннему транспорту</w:t>
      </w:r>
    </w:p>
    <w:p w:rsidR="00C31ACD" w:rsidRPr="00C31ACD" w:rsidRDefault="00C31ACD" w:rsidP="00C31ACD">
      <w:pPr>
        <w:spacing w:before="120"/>
        <w:rPr>
          <w:b/>
          <w:bCs/>
        </w:rPr>
      </w:pPr>
      <w:r w:rsidRPr="00C31ACD">
        <w:rPr>
          <w:b/>
          <w:bCs/>
        </w:rPr>
        <w:t>Восемьдесят первая сессия</w:t>
      </w:r>
    </w:p>
    <w:p w:rsidR="00C31ACD" w:rsidRPr="00C31ACD" w:rsidRDefault="00C31ACD" w:rsidP="00C31ACD">
      <w:r w:rsidRPr="00C31ACD">
        <w:t>Женева, 19–22 февраля 2019 года</w:t>
      </w:r>
    </w:p>
    <w:p w:rsidR="00C31ACD" w:rsidRPr="00C31ACD" w:rsidRDefault="00C31ACD" w:rsidP="00C31ACD">
      <w:r w:rsidRPr="00C31ACD">
        <w:t>Пункт 4 с) предварительной повестки дня</w:t>
      </w:r>
    </w:p>
    <w:p w:rsidR="00C31ACD" w:rsidRPr="00C31ACD" w:rsidRDefault="00C31ACD" w:rsidP="00C31ACD">
      <w:r w:rsidRPr="00C31ACD">
        <w:rPr>
          <w:b/>
        </w:rPr>
        <w:t>Стратегические вопросы горизонтальной политики</w:t>
      </w:r>
      <w:r w:rsidRPr="00C31ACD">
        <w:rPr>
          <w:b/>
          <w:bCs/>
        </w:rPr>
        <w:t>:</w:t>
      </w:r>
    </w:p>
    <w:p w:rsidR="00C31ACD" w:rsidRPr="00C31ACD" w:rsidRDefault="00C31ACD" w:rsidP="00C31ACD">
      <w:pPr>
        <w:rPr>
          <w:b/>
          <w:bCs/>
        </w:rPr>
      </w:pPr>
      <w:r w:rsidRPr="00C31ACD">
        <w:rPr>
          <w:b/>
          <w:bCs/>
        </w:rPr>
        <w:t>аналитическая работа в области транспорта</w:t>
      </w:r>
    </w:p>
    <w:p w:rsidR="00C31ACD" w:rsidRPr="00C31ACD" w:rsidRDefault="00C31ACD" w:rsidP="00C31ACD">
      <w:pPr>
        <w:pStyle w:val="HChG"/>
      </w:pPr>
      <w:r w:rsidRPr="00C31ACD">
        <w:tab/>
      </w:r>
      <w:r w:rsidRPr="00C31ACD">
        <w:tab/>
        <w:t>Аналитическая работа Отдела устойчивого транспорта</w:t>
      </w:r>
    </w:p>
    <w:p w:rsidR="00C31ACD" w:rsidRDefault="00C31ACD" w:rsidP="00C31ACD">
      <w:pPr>
        <w:pStyle w:val="H1G"/>
      </w:pPr>
      <w:r w:rsidRPr="00C31ACD">
        <w:tab/>
      </w:r>
      <w:r w:rsidRPr="00C31ACD">
        <w:tab/>
        <w:t>Записка секретариата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C31ACD" w:rsidRPr="00C31ACD" w:rsidTr="00C31ACD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C31ACD" w:rsidRPr="00C31ACD" w:rsidRDefault="00C31ACD" w:rsidP="00C31ACD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C31ACD">
              <w:rPr>
                <w:rFonts w:cs="Times New Roman"/>
              </w:rPr>
              <w:tab/>
            </w:r>
            <w:r w:rsidRPr="00C31ACD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C31ACD" w:rsidRPr="00C31ACD" w:rsidTr="00C31ACD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C31ACD" w:rsidRPr="00F46063" w:rsidRDefault="00C31ACD" w:rsidP="00C31ACD">
            <w:pPr>
              <w:pStyle w:val="SingleTxtG"/>
            </w:pPr>
            <w:r>
              <w:tab/>
            </w:r>
            <w:r>
              <w:tab/>
            </w:r>
            <w:r w:rsidRPr="00C31ACD">
              <w:t>В настоящей записке представлен краткий обзор аналитической работы, проведенной Отделом устойчивого транспорта Европейской экономической комиссии Организации Объединенных Наций (ЕЭК) в 2018 году. Эта работа включала в себя исследования по конкретным вопросам в области транспорта, аналитические оценки, запрашиваемые группами экспертов и целевыми группами, подготовку аналитических документов в поддержку мероприятий, связанных с транспортными конвенциями Организации Объединенных Наций, и рабочих совещаний по наращиванию потенциала, а также аналитические исследования, закладывающие прочную основу для управления различными проектами. В записке приводится краткая информация о работе, проделанной Рабочей группой по тенденциям и экономике транспорта, а также Отделом устойчивого транспорта.</w:t>
            </w:r>
          </w:p>
        </w:tc>
      </w:tr>
      <w:tr w:rsidR="00C31ACD" w:rsidRPr="00C31ACD" w:rsidTr="00C31ACD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C31ACD" w:rsidRDefault="00C31ACD" w:rsidP="00C31ACD">
            <w:pPr>
              <w:pStyle w:val="SingleTxtG"/>
            </w:pPr>
            <w:r>
              <w:tab/>
            </w:r>
            <w:r>
              <w:tab/>
            </w:r>
            <w:r w:rsidRPr="00C31ACD">
              <w:t xml:space="preserve">Члены Комитета, возможно, пожелают </w:t>
            </w:r>
            <w:r w:rsidRPr="00C31ACD">
              <w:rPr>
                <w:b/>
              </w:rPr>
              <w:t>дать указания</w:t>
            </w:r>
            <w:r w:rsidRPr="00C31ACD">
              <w:t xml:space="preserve"> относительно будущих направлений аналитической работы в области транспорта.</w:t>
            </w:r>
          </w:p>
        </w:tc>
      </w:tr>
      <w:tr w:rsidR="00C31ACD" w:rsidRPr="00C31ACD" w:rsidTr="00C31ACD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C31ACD" w:rsidRPr="00C31ACD" w:rsidRDefault="00C31ACD" w:rsidP="00C31ACD">
            <w:pPr>
              <w:rPr>
                <w:rFonts w:cs="Times New Roman"/>
              </w:rPr>
            </w:pPr>
          </w:p>
        </w:tc>
      </w:tr>
    </w:tbl>
    <w:p w:rsidR="00C31ACD" w:rsidRDefault="00C31ACD" w:rsidP="00C31ACD">
      <w:pPr>
        <w:pStyle w:val="SingleTxtG"/>
      </w:pPr>
    </w:p>
    <w:p w:rsidR="00C31ACD" w:rsidRDefault="00C31ACD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:rsidR="00C31ACD" w:rsidRPr="00C31ACD" w:rsidRDefault="00C31ACD" w:rsidP="00C31ACD">
      <w:pPr>
        <w:pStyle w:val="HChG"/>
      </w:pPr>
      <w:r w:rsidRPr="00C31ACD">
        <w:lastRenderedPageBreak/>
        <w:tab/>
      </w:r>
      <w:r w:rsidRPr="00C31ACD">
        <w:rPr>
          <w:lang w:val="en-GB"/>
        </w:rPr>
        <w:t>I</w:t>
      </w:r>
      <w:r w:rsidRPr="00C31ACD">
        <w:t>.</w:t>
      </w:r>
      <w:r w:rsidRPr="00C31ACD">
        <w:tab/>
        <w:t>Аналитическа</w:t>
      </w:r>
      <w:r>
        <w:t>я работа и рабочие совещания по </w:t>
      </w:r>
      <w:r w:rsidRPr="00C31ACD">
        <w:t>наращиванию потенциала, проводимые Рабочей группой по тенденциям и экономике транспорта</w:t>
      </w:r>
    </w:p>
    <w:p w:rsidR="00C31ACD" w:rsidRPr="00C31ACD" w:rsidRDefault="00C31ACD" w:rsidP="00C31ACD">
      <w:pPr>
        <w:pStyle w:val="SingleTxtG"/>
      </w:pPr>
      <w:r w:rsidRPr="00C31ACD">
        <w:t>1.</w:t>
      </w:r>
      <w:r w:rsidRPr="00C31ACD">
        <w:tab/>
        <w:t>Рабочая группа по тенденциям и экономике транспорта (</w:t>
      </w:r>
      <w:r w:rsidRPr="00C31ACD">
        <w:rPr>
          <w:lang w:val="en-GB"/>
        </w:rPr>
        <w:t>WP</w:t>
      </w:r>
      <w:r w:rsidRPr="00C31ACD">
        <w:t>.5) является форумом для обмена опытом и идеями, связанным, в частности</w:t>
      </w:r>
      <w:r w:rsidR="00BF65F8">
        <w:t>,</w:t>
      </w:r>
      <w:r w:rsidRPr="00C31ACD">
        <w:t xml:space="preserve"> с трудностями в области развития устойчивого внутреннего транспорта. Ее мандат позволяет ей играть в рамках Комитета по внутреннему транспорту (КВТ)</w:t>
      </w:r>
      <w:r w:rsidR="00BF65F8">
        <w:t xml:space="preserve"> </w:t>
      </w:r>
      <w:r w:rsidRPr="00C31ACD">
        <w:t>уникальную роль «мозгового центра» по вопросам перевозок.</w:t>
      </w:r>
    </w:p>
    <w:p w:rsidR="00C31ACD" w:rsidRPr="00C31ACD" w:rsidRDefault="00C31ACD" w:rsidP="00C31ACD">
      <w:pPr>
        <w:pStyle w:val="SingleTxtG"/>
      </w:pPr>
      <w:r w:rsidRPr="00C31ACD">
        <w:t>2.</w:t>
      </w:r>
      <w:r w:rsidRPr="00C31ACD">
        <w:tab/>
        <w:t xml:space="preserve">В этом качестве </w:t>
      </w:r>
      <w:r w:rsidRPr="00C31ACD">
        <w:rPr>
          <w:lang w:val="en-GB"/>
        </w:rPr>
        <w:t>WP</w:t>
      </w:r>
      <w:r w:rsidRPr="00C31ACD">
        <w:t>.5 преследует в своей деятельности следующие цели: выявление глобальных тенденций и изменений, которые могут иметь важные последствия для транспортного сектора, а также проблем в этом секторе; проведение обзоров и анализа факторов на основе информации, полученной от государств-членов; и выработка на основе консенсуса соответствующих стратегических рекомендаций, которые должны способствовать развитию устойчивых транспортных систем.</w:t>
      </w:r>
    </w:p>
    <w:p w:rsidR="00C31ACD" w:rsidRPr="00C31ACD" w:rsidRDefault="00C31ACD" w:rsidP="00C31ACD">
      <w:pPr>
        <w:pStyle w:val="H1G"/>
      </w:pPr>
      <w:r w:rsidRPr="00C31ACD">
        <w:tab/>
      </w:r>
      <w:r w:rsidRPr="00C31ACD">
        <w:rPr>
          <w:lang w:val="en-GB"/>
        </w:rPr>
        <w:t>A</w:t>
      </w:r>
      <w:r w:rsidRPr="00C31ACD">
        <w:t>.</w:t>
      </w:r>
      <w:r w:rsidRPr="00C31ACD">
        <w:tab/>
        <w:t xml:space="preserve">Публикации </w:t>
      </w:r>
      <w:r w:rsidRPr="00F46063">
        <w:t>–</w:t>
      </w:r>
      <w:r w:rsidRPr="00C31ACD">
        <w:t xml:space="preserve"> исследования</w:t>
      </w:r>
    </w:p>
    <w:p w:rsidR="00C31ACD" w:rsidRPr="00C31ACD" w:rsidRDefault="00C31ACD" w:rsidP="00C31ACD">
      <w:pPr>
        <w:pStyle w:val="H23G"/>
      </w:pPr>
      <w:r w:rsidRPr="00C31ACD">
        <w:tab/>
        <w:t>1.</w:t>
      </w:r>
      <w:r w:rsidRPr="00C31ACD">
        <w:tab/>
        <w:t xml:space="preserve">Доклад по этапу </w:t>
      </w:r>
      <w:r w:rsidRPr="00C31ACD">
        <w:rPr>
          <w:lang w:val="en-GB"/>
        </w:rPr>
        <w:t>III</w:t>
      </w:r>
      <w:r w:rsidRPr="00C31ACD">
        <w:t xml:space="preserve"> проекта евро-азиатских транспортных связей</w:t>
      </w:r>
    </w:p>
    <w:p w:rsidR="00C31ACD" w:rsidRPr="00C31ACD" w:rsidRDefault="00C31ACD" w:rsidP="00C31ACD">
      <w:pPr>
        <w:pStyle w:val="SingleTxtG"/>
      </w:pPr>
      <w:r w:rsidRPr="00C31ACD">
        <w:t>3.</w:t>
      </w:r>
      <w:r w:rsidRPr="00C31ACD">
        <w:tab/>
        <w:t>В соответствии с Совместным заявлением о будущем развитии евро-азиатских транспортных связей, которое было подписано на совещании министров стран − членов ЕЭК по теме «Введение в действие евро-</w:t>
      </w:r>
      <w:r>
        <w:t>азиатской транспортной сети» 26 </w:t>
      </w:r>
      <w:r w:rsidRPr="00C31ACD">
        <w:t>февраля 2013 года, на Группу экспертов возлагаются следующие задачи:</w:t>
      </w:r>
    </w:p>
    <w:p w:rsidR="00C31ACD" w:rsidRPr="00C31ACD" w:rsidRDefault="00C31ACD" w:rsidP="00C31ACD">
      <w:pPr>
        <w:pStyle w:val="SingleTxtG"/>
      </w:pPr>
      <w:r w:rsidRPr="00C31ACD">
        <w:tab/>
      </w:r>
      <w:r w:rsidRPr="00C31ACD">
        <w:tab/>
      </w:r>
      <w:r w:rsidRPr="00C31ACD">
        <w:rPr>
          <w:lang w:val="en-GB"/>
        </w:rPr>
        <w:t>a</w:t>
      </w:r>
      <w:r w:rsidRPr="00C31ACD">
        <w:t>)</w:t>
      </w:r>
      <w:r w:rsidRPr="00C31ACD">
        <w:tab/>
        <w:t>анализировать, поддерживать и представлять международным финансовым учреждениям и другим донорам высокоприоритетные проекты ЕАТС, технико-экономические обоснования или другие соответствующие исследования в целях облегчения устойчивого долгосрочно</w:t>
      </w:r>
      <w:r w:rsidR="00734A25">
        <w:t>го финансирования этих проектов;</w:t>
      </w:r>
    </w:p>
    <w:p w:rsidR="00C31ACD" w:rsidRPr="00C31ACD" w:rsidRDefault="00C31ACD" w:rsidP="00C31ACD">
      <w:pPr>
        <w:pStyle w:val="SingleTxtG"/>
      </w:pPr>
      <w:r w:rsidRPr="00734A25">
        <w:tab/>
      </w:r>
      <w:r w:rsidRPr="00734A25">
        <w:tab/>
      </w:r>
      <w:r w:rsidRPr="00C31ACD">
        <w:rPr>
          <w:lang w:val="en-GB"/>
        </w:rPr>
        <w:t>b</w:t>
      </w:r>
      <w:r w:rsidRPr="00C31ACD">
        <w:t>)</w:t>
      </w:r>
      <w:r w:rsidRPr="00C31ACD">
        <w:tab/>
      </w:r>
      <w:r w:rsidR="00BF65F8" w:rsidRPr="00C31ACD">
        <w:t>о</w:t>
      </w:r>
      <w:r w:rsidRPr="00C31ACD">
        <w:t>пределять потоки грузов (количества и типы), которые могли бы перевозиться по девяти евро-азиатским железнодор</w:t>
      </w:r>
      <w:r w:rsidR="00734A25">
        <w:t>ожным и автомобильным маршрутам;</w:t>
      </w:r>
    </w:p>
    <w:p w:rsidR="00C31ACD" w:rsidRPr="00C31ACD" w:rsidRDefault="00C31ACD" w:rsidP="00C31ACD">
      <w:pPr>
        <w:pStyle w:val="SingleTxtG"/>
      </w:pPr>
      <w:r w:rsidRPr="00734A25">
        <w:tab/>
      </w:r>
      <w:r w:rsidRPr="00734A25">
        <w:tab/>
      </w:r>
      <w:r w:rsidRPr="00C31ACD">
        <w:rPr>
          <w:lang w:val="en-GB"/>
        </w:rPr>
        <w:t>c</w:t>
      </w:r>
      <w:r w:rsidRPr="00C31ACD">
        <w:t>)</w:t>
      </w:r>
      <w:r w:rsidRPr="00C31ACD">
        <w:tab/>
      </w:r>
      <w:r w:rsidR="00BF65F8" w:rsidRPr="00C31ACD">
        <w:t>о</w:t>
      </w:r>
      <w:r w:rsidRPr="00C31ACD">
        <w:t>блегчать координацию комплексных графиков движения и тарифов для девяти железнодор</w:t>
      </w:r>
      <w:r w:rsidR="00734A25">
        <w:t>ожных и автомобильных маршрутов;</w:t>
      </w:r>
    </w:p>
    <w:p w:rsidR="00C31ACD" w:rsidRPr="00C31ACD" w:rsidRDefault="00C31ACD" w:rsidP="00C31ACD">
      <w:pPr>
        <w:pStyle w:val="SingleTxtG"/>
      </w:pPr>
      <w:r w:rsidRPr="00734A25">
        <w:tab/>
      </w:r>
      <w:r w:rsidRPr="00734A25">
        <w:tab/>
      </w:r>
      <w:r w:rsidRPr="00C31ACD">
        <w:rPr>
          <w:lang w:val="en-GB"/>
        </w:rPr>
        <w:t>d</w:t>
      </w:r>
      <w:r w:rsidRPr="00C31ACD">
        <w:t>)</w:t>
      </w:r>
      <w:r w:rsidRPr="00C31ACD">
        <w:tab/>
      </w:r>
      <w:r w:rsidR="00BF65F8" w:rsidRPr="00C31ACD">
        <w:t>с</w:t>
      </w:r>
      <w:r w:rsidRPr="00C31ACD">
        <w:t>одействовать использованию евро-азиатских наземных транспортных маршрутов и развитию к</w:t>
      </w:r>
      <w:r w:rsidR="00734A25">
        <w:t>омплексной стратегии маркетинга;</w:t>
      </w:r>
    </w:p>
    <w:p w:rsidR="00C31ACD" w:rsidRPr="00C31ACD" w:rsidRDefault="00C31ACD" w:rsidP="00C31ACD">
      <w:pPr>
        <w:pStyle w:val="SingleTxtG"/>
      </w:pPr>
      <w:r w:rsidRPr="00734A25">
        <w:tab/>
      </w:r>
      <w:r w:rsidRPr="00734A25">
        <w:tab/>
      </w:r>
      <w:r w:rsidRPr="00C31ACD">
        <w:rPr>
          <w:lang w:val="en-GB"/>
        </w:rPr>
        <w:t>e</w:t>
      </w:r>
      <w:r w:rsidRPr="00C31ACD">
        <w:t>)</w:t>
      </w:r>
      <w:r w:rsidRPr="00C31ACD">
        <w:tab/>
      </w:r>
      <w:r w:rsidR="00BF65F8" w:rsidRPr="00C31ACD">
        <w:t>о</w:t>
      </w:r>
      <w:r w:rsidRPr="00C31ACD">
        <w:t>бновлять и модернизировать ГИС-приложение.</w:t>
      </w:r>
    </w:p>
    <w:p w:rsidR="00C31ACD" w:rsidRPr="00C31ACD" w:rsidRDefault="00C31ACD" w:rsidP="00C31ACD">
      <w:pPr>
        <w:pStyle w:val="SingleTxtG"/>
      </w:pPr>
      <w:r w:rsidRPr="00C31ACD">
        <w:t>4.</w:t>
      </w:r>
      <w:r w:rsidRPr="00C31ACD">
        <w:tab/>
        <w:t xml:space="preserve">Группа экспертов завершила третий этап своей работы и представила свой окончательный доклад. В заключение следует отметить, что в рамках последней сессии WP.5 была организована Международная конференция на тему «Введение в действие евро-азиатских коридоров» (см. пункт </w:t>
      </w:r>
      <w:r w:rsidRPr="00C31ACD">
        <w:rPr>
          <w:lang w:val="en-GB"/>
        </w:rPr>
        <w:t>B</w:t>
      </w:r>
      <w:r w:rsidRPr="00C31ACD">
        <w:t>.1 ниже).</w:t>
      </w:r>
    </w:p>
    <w:p w:rsidR="00C31ACD" w:rsidRPr="00C31ACD" w:rsidRDefault="00C31ACD" w:rsidP="00C31ACD">
      <w:pPr>
        <w:pStyle w:val="SingleTxtG"/>
      </w:pPr>
      <w:r w:rsidRPr="00C31ACD">
        <w:t>5.</w:t>
      </w:r>
      <w:r w:rsidRPr="00C31ACD">
        <w:tab/>
        <w:t>В заключительном докладе Группы содержится всеобъемлющий анализ сильных и слабых сторон, возможностей и угроз и предлагаются стратегии и рекомендации по преодолению основных препятствий и введению евро-азиатских транспортных коридоров в действие.</w:t>
      </w:r>
    </w:p>
    <w:p w:rsidR="00C31ACD" w:rsidRPr="00C31ACD" w:rsidRDefault="00C31ACD" w:rsidP="00C31ACD">
      <w:pPr>
        <w:pStyle w:val="H23G"/>
      </w:pPr>
      <w:r w:rsidRPr="00C31ACD">
        <w:tab/>
        <w:t>2.</w:t>
      </w:r>
      <w:r w:rsidRPr="00C31ACD">
        <w:tab/>
        <w:t>Тенденции и экономика транспорта в 2018–2019 годах: мобильность как услуга</w:t>
      </w:r>
    </w:p>
    <w:p w:rsidR="00C31ACD" w:rsidRPr="00C31ACD" w:rsidRDefault="00C31ACD" w:rsidP="00C31ACD">
      <w:pPr>
        <w:pStyle w:val="SingleTxtG"/>
      </w:pPr>
      <w:r w:rsidRPr="00C31ACD">
        <w:t>6.</w:t>
      </w:r>
      <w:r w:rsidRPr="00C31ACD">
        <w:tab/>
        <w:t>По поводу публи</w:t>
      </w:r>
      <w:r w:rsidR="00734A25">
        <w:t>кации «</w:t>
      </w:r>
      <w:r w:rsidRPr="00C31ACD">
        <w:t>Тенденции и экономика транспорта в 2018</w:t>
      </w:r>
      <w:r w:rsidR="00734A25">
        <w:t>–</w:t>
      </w:r>
      <w:r w:rsidRPr="00C31ACD">
        <w:t xml:space="preserve">2019 годах: мобильность как услуга» (неофициальный документ № 6) секретариат представил </w:t>
      </w:r>
      <w:r w:rsidRPr="00C31ACD">
        <w:rPr>
          <w:lang w:val="en-GB"/>
        </w:rPr>
        <w:t>WP</w:t>
      </w:r>
      <w:r w:rsidR="00734A25">
        <w:t>.</w:t>
      </w:r>
      <w:r w:rsidRPr="00C31ACD">
        <w:t>5 на ее последней сессии следующую информацию:</w:t>
      </w:r>
    </w:p>
    <w:p w:rsidR="00C31ACD" w:rsidRPr="00C31ACD" w:rsidRDefault="00C31ACD" w:rsidP="00C31ACD">
      <w:pPr>
        <w:pStyle w:val="SingleTxtG"/>
      </w:pPr>
      <w:r w:rsidRPr="00734A25">
        <w:tab/>
      </w:r>
      <w:r w:rsidRPr="00734A25">
        <w:tab/>
      </w:r>
      <w:r w:rsidRPr="00C31ACD">
        <w:rPr>
          <w:lang w:val="en-GB"/>
        </w:rPr>
        <w:t>a</w:t>
      </w:r>
      <w:r w:rsidRPr="00C31ACD">
        <w:t>)</w:t>
      </w:r>
      <w:r w:rsidRPr="00C31ACD">
        <w:tab/>
        <w:t>свой вклад в подготовку этого издания внесут несколько экспертов. Ниже указаны подготовленные к настоящему времени главы и имена согласованных экспертов:</w:t>
      </w:r>
    </w:p>
    <w:p w:rsidR="00C31ACD" w:rsidRPr="00C31ACD" w:rsidRDefault="00C31ACD" w:rsidP="00C31ACD">
      <w:pPr>
        <w:pStyle w:val="SingleTxtG"/>
        <w:ind w:left="1701"/>
      </w:pPr>
      <w:r w:rsidRPr="00C31ACD">
        <w:rPr>
          <w:lang w:val="en-GB"/>
        </w:rPr>
        <w:lastRenderedPageBreak/>
        <w:t>i</w:t>
      </w:r>
      <w:r w:rsidRPr="00C31ACD">
        <w:t>)</w:t>
      </w:r>
      <w:r w:rsidRPr="00C31ACD">
        <w:tab/>
        <w:t xml:space="preserve">глава 1: введение </w:t>
      </w:r>
      <w:r w:rsidR="00CA1B77">
        <w:t>–</w:t>
      </w:r>
      <w:r w:rsidRPr="00C31ACD">
        <w:t xml:space="preserve"> мобильность как услуга (профессор Димитрис Димитриу);</w:t>
      </w:r>
    </w:p>
    <w:p w:rsidR="00C31ACD" w:rsidRPr="00C31ACD" w:rsidRDefault="00C31ACD" w:rsidP="00C31ACD">
      <w:pPr>
        <w:pStyle w:val="SingleTxtG"/>
        <w:ind w:left="1701"/>
      </w:pPr>
      <w:r w:rsidRPr="00C31ACD">
        <w:rPr>
          <w:lang w:val="en-GB"/>
        </w:rPr>
        <w:t>ii</w:t>
      </w:r>
      <w:r w:rsidRPr="00C31ACD">
        <w:t>)</w:t>
      </w:r>
      <w:r w:rsidRPr="00C31ACD">
        <w:tab/>
        <w:t>глава 2: совместное использование легковых автомобилей;</w:t>
      </w:r>
    </w:p>
    <w:p w:rsidR="00C31ACD" w:rsidRPr="00C31ACD" w:rsidRDefault="00C31ACD" w:rsidP="00C31ACD">
      <w:pPr>
        <w:pStyle w:val="SingleTxtG"/>
        <w:ind w:left="1701"/>
      </w:pPr>
      <w:r w:rsidRPr="00C31ACD">
        <w:rPr>
          <w:lang w:val="en-GB"/>
        </w:rPr>
        <w:t>iii</w:t>
      </w:r>
      <w:r w:rsidRPr="00C31ACD">
        <w:t>)</w:t>
      </w:r>
      <w:r w:rsidRPr="00C31ACD">
        <w:tab/>
        <w:t>глава 3: совместное использование велосипедов;</w:t>
      </w:r>
    </w:p>
    <w:p w:rsidR="00C31ACD" w:rsidRPr="00C31ACD" w:rsidRDefault="00C31ACD" w:rsidP="00C31ACD">
      <w:pPr>
        <w:pStyle w:val="SingleTxtG"/>
        <w:ind w:left="1701"/>
      </w:pPr>
      <w:r w:rsidRPr="00C31ACD">
        <w:rPr>
          <w:lang w:val="en-GB"/>
        </w:rPr>
        <w:t>iv</w:t>
      </w:r>
      <w:r w:rsidRPr="00C31ACD">
        <w:t>)</w:t>
      </w:r>
      <w:r w:rsidRPr="00C31ACD">
        <w:tab/>
        <w:t>глава 4: железные дороги и мобильность как услуга;</w:t>
      </w:r>
    </w:p>
    <w:p w:rsidR="00C31ACD" w:rsidRPr="00C31ACD" w:rsidRDefault="00C31ACD" w:rsidP="00C31ACD">
      <w:pPr>
        <w:pStyle w:val="SingleTxtG"/>
        <w:ind w:left="1701"/>
      </w:pPr>
      <w:r w:rsidRPr="00C31ACD">
        <w:rPr>
          <w:lang w:val="en-GB"/>
        </w:rPr>
        <w:t>v</w:t>
      </w:r>
      <w:r w:rsidRPr="00C31ACD">
        <w:t>)</w:t>
      </w:r>
      <w:r w:rsidRPr="00C31ACD">
        <w:tab/>
        <w:t>глава 5: механизмы обеспечения мобильности в качестве операторов услуг (г-жа Стефани Пичлер, ООО</w:t>
      </w:r>
      <w:r w:rsidRPr="00C31ACD">
        <w:rPr>
          <w:lang w:val="en-GB"/>
        </w:rPr>
        <w:t> </w:t>
      </w:r>
      <w:r w:rsidRPr="00C31ACD">
        <w:t>«Флюидтайм»);</w:t>
      </w:r>
    </w:p>
    <w:p w:rsidR="00C31ACD" w:rsidRPr="00C31ACD" w:rsidRDefault="00C31ACD" w:rsidP="00C31ACD">
      <w:pPr>
        <w:pStyle w:val="SingleTxtG"/>
        <w:ind w:left="1701"/>
      </w:pPr>
      <w:r w:rsidRPr="00C31ACD">
        <w:rPr>
          <w:lang w:val="en-GB"/>
        </w:rPr>
        <w:t>vi</w:t>
      </w:r>
      <w:r w:rsidRPr="00C31ACD">
        <w:t>)</w:t>
      </w:r>
      <w:r w:rsidRPr="00C31ACD">
        <w:tab/>
        <w:t>глава 6: проблема распределения доходов (профессор Атена Рубутсос);</w:t>
      </w:r>
    </w:p>
    <w:p w:rsidR="00C31ACD" w:rsidRPr="00C31ACD" w:rsidRDefault="00C31ACD" w:rsidP="00C31ACD">
      <w:pPr>
        <w:pStyle w:val="SingleTxtG"/>
        <w:ind w:left="1701"/>
      </w:pPr>
      <w:r w:rsidRPr="00C31ACD">
        <w:rPr>
          <w:lang w:val="en-GB"/>
        </w:rPr>
        <w:t>vii</w:t>
      </w:r>
      <w:r w:rsidRPr="00C31ACD">
        <w:t>)</w:t>
      </w:r>
      <w:r w:rsidRPr="00C31ACD">
        <w:tab/>
        <w:t>глава 7: перспективы развития инфраструктуры (г-н Анджей Мациевский);</w:t>
      </w:r>
    </w:p>
    <w:p w:rsidR="00C31ACD" w:rsidRPr="00C31ACD" w:rsidRDefault="00C31ACD" w:rsidP="00C31ACD">
      <w:pPr>
        <w:pStyle w:val="SingleTxtG"/>
        <w:ind w:left="1701"/>
      </w:pPr>
      <w:r w:rsidRPr="00C31ACD">
        <w:rPr>
          <w:lang w:val="en-GB"/>
        </w:rPr>
        <w:t>viii</w:t>
      </w:r>
      <w:r w:rsidRPr="00C31ACD">
        <w:t>)</w:t>
      </w:r>
      <w:r w:rsidRPr="00C31ACD">
        <w:tab/>
        <w:t>глава 8: выводы и рекомендации;</w:t>
      </w:r>
    </w:p>
    <w:p w:rsidR="00C31ACD" w:rsidRPr="00C31ACD" w:rsidRDefault="00C31ACD" w:rsidP="00C31ACD">
      <w:pPr>
        <w:pStyle w:val="SingleTxtG"/>
      </w:pPr>
      <w:r w:rsidRPr="00F46063">
        <w:tab/>
      </w:r>
      <w:r w:rsidRPr="00F46063">
        <w:tab/>
      </w:r>
      <w:r w:rsidRPr="00C31ACD">
        <w:rPr>
          <w:lang w:val="en-GB"/>
        </w:rPr>
        <w:t>b</w:t>
      </w:r>
      <w:r w:rsidRPr="00C31ACD">
        <w:t>)</w:t>
      </w:r>
      <w:r w:rsidRPr="00C31ACD">
        <w:tab/>
        <w:t>для глав 2, 3 и 4 эксперты до сих пор не определены;</w:t>
      </w:r>
    </w:p>
    <w:p w:rsidR="00C31ACD" w:rsidRPr="00C31ACD" w:rsidRDefault="00C31ACD" w:rsidP="00C31ACD">
      <w:pPr>
        <w:pStyle w:val="SingleTxtG"/>
      </w:pPr>
      <w:r w:rsidRPr="00F46063">
        <w:tab/>
      </w:r>
      <w:r w:rsidRPr="00F46063">
        <w:tab/>
      </w:r>
      <w:r w:rsidRPr="00C31ACD">
        <w:rPr>
          <w:lang w:val="en-GB"/>
        </w:rPr>
        <w:t>c</w:t>
      </w:r>
      <w:r w:rsidRPr="00C31ACD">
        <w:t>)</w:t>
      </w:r>
      <w:r w:rsidRPr="00C31ACD">
        <w:tab/>
        <w:t xml:space="preserve">окончательный проект должен быть готов к следующей сессии </w:t>
      </w:r>
      <w:r w:rsidRPr="00C31ACD">
        <w:rPr>
          <w:lang w:val="en-GB"/>
        </w:rPr>
        <w:t>WP</w:t>
      </w:r>
      <w:r w:rsidRPr="00C31ACD">
        <w:t>.5 в сентябре 2019 года.</w:t>
      </w:r>
    </w:p>
    <w:p w:rsidR="00C31ACD" w:rsidRPr="00C31ACD" w:rsidRDefault="00C31ACD" w:rsidP="00C31ACD">
      <w:pPr>
        <w:pStyle w:val="H1G"/>
      </w:pPr>
      <w:r w:rsidRPr="00C31ACD">
        <w:tab/>
      </w:r>
      <w:r w:rsidRPr="00C31ACD">
        <w:rPr>
          <w:lang w:val="en-GB"/>
        </w:rPr>
        <w:t>B</w:t>
      </w:r>
      <w:r w:rsidRPr="00C31ACD">
        <w:t>.</w:t>
      </w:r>
      <w:r w:rsidRPr="00C31ACD">
        <w:tab/>
        <w:t>Рабочие совещания</w:t>
      </w:r>
    </w:p>
    <w:p w:rsidR="00C31ACD" w:rsidRPr="00C31ACD" w:rsidRDefault="00C31ACD" w:rsidP="00C31ACD">
      <w:pPr>
        <w:pStyle w:val="H23G"/>
      </w:pPr>
      <w:r w:rsidRPr="00C31ACD">
        <w:tab/>
        <w:t>1.</w:t>
      </w:r>
      <w:r w:rsidRPr="00C31ACD">
        <w:tab/>
        <w:t>Международная конференция на тему «Введение евро-азиатских транспортных коридоров в действие»</w:t>
      </w:r>
    </w:p>
    <w:p w:rsidR="00C31ACD" w:rsidRPr="00C31ACD" w:rsidRDefault="00C31ACD" w:rsidP="00C31ACD">
      <w:pPr>
        <w:pStyle w:val="SingleTxtG"/>
      </w:pPr>
      <w:r w:rsidRPr="00C31ACD">
        <w:t>7.</w:t>
      </w:r>
      <w:r w:rsidRPr="00C31ACD">
        <w:tab/>
        <w:t xml:space="preserve">В этом году Международная конференция была проведена в продолжение организованных Рабочей группой рабочих совещаний в ходе ее двадцать восьмой сессии (Женева, 7–9 сентября 2015 года) по теме «Автотранспортные и железнодорожные коридоры в Европе и Азии» и в ходе ее тридцатой сессии (Женева, 4–6 сентября 2017 года) по теме «Транспортная инфраструктура коридоров в Европе и Азии», а также в контексте завершения Группой экспертов этапа </w:t>
      </w:r>
      <w:r w:rsidRPr="00C31ACD">
        <w:rPr>
          <w:lang w:val="en-GB"/>
        </w:rPr>
        <w:t>III</w:t>
      </w:r>
      <w:r w:rsidR="00734A25">
        <w:t xml:space="preserve"> проекта евро</w:t>
      </w:r>
      <w:r w:rsidR="00734A25">
        <w:noBreakHyphen/>
      </w:r>
      <w:r w:rsidRPr="00C31ACD">
        <w:t>азиатских транспортных связей (ЕАТС).</w:t>
      </w:r>
    </w:p>
    <w:p w:rsidR="00C31ACD" w:rsidRPr="00C31ACD" w:rsidRDefault="00C31ACD" w:rsidP="00C31ACD">
      <w:pPr>
        <w:pStyle w:val="SingleTxtG"/>
      </w:pPr>
      <w:r w:rsidRPr="00C31ACD">
        <w:t>8.</w:t>
      </w:r>
      <w:r w:rsidRPr="00C31ACD">
        <w:tab/>
        <w:t xml:space="preserve">Завершение этапа </w:t>
      </w:r>
      <w:r w:rsidRPr="00C31ACD">
        <w:rPr>
          <w:lang w:val="en-GB"/>
        </w:rPr>
        <w:t>I</w:t>
      </w:r>
      <w:r w:rsidRPr="00C31ACD">
        <w:t xml:space="preserve"> (2002–2007 годы), этапа </w:t>
      </w:r>
      <w:r w:rsidRPr="00C31ACD">
        <w:rPr>
          <w:lang w:val="en-GB"/>
        </w:rPr>
        <w:t>II</w:t>
      </w:r>
      <w:r w:rsidRPr="00C31ACD">
        <w:t xml:space="preserve"> (2008–2012 годы) и этапа </w:t>
      </w:r>
      <w:r w:rsidRPr="00C31ACD">
        <w:rPr>
          <w:lang w:val="en-GB"/>
        </w:rPr>
        <w:t>III</w:t>
      </w:r>
      <w:r w:rsidRPr="00C31ACD">
        <w:t xml:space="preserve"> (2013–2017 годы) в рамках проекта ЕАТС позволило на практике наладить транспортные связи между Европой и Азией. Выявление маршрутов, определение очередности в реализации проектов по инфраструктурным инвестициям, разработка базы данных ГИС, анализ нефизических препятствий для перевозок, проведение сравнительного исследования по перевозкам морским и внутреннем транспортом, организация ряда национальных рабочих совещаний по наращиванию потенциала в области упрощения процедур перевозок, а также усилия по введению в действие этих коридоров путем подготовки общих графиков движения и тарифов – все это помогло заложить основу для функционирования евро-азиатской транспортной сети.</w:t>
      </w:r>
    </w:p>
    <w:p w:rsidR="00C31ACD" w:rsidRPr="00C31ACD" w:rsidRDefault="00C31ACD" w:rsidP="00C31ACD">
      <w:pPr>
        <w:pStyle w:val="SingleTxtG"/>
      </w:pPr>
      <w:r w:rsidRPr="00C31ACD">
        <w:t>9.</w:t>
      </w:r>
      <w:r w:rsidRPr="00C31ACD">
        <w:tab/>
        <w:t>Сессию открыла Исполнительный секретарь ЕЭК ООН г-жа Ольга Алгаерова. Основное внимание в своем выступлении она уделила необходимости создания эффективных связей в рамках евро-азиатских транспортных коридоров за чет обеспечения взаимосвязанности инфраструктуры и услуг всех узлов транспортных коридоров, которая бы позволила осуществлять все поездки из пункта отправления в пункт назначения в разумные отрезки времени и без риска возникновения серьезных сбоев. Выступающая подчеркнула необходимость дополнительных усилий и принятия скоординированных меры с целью продолжения раб</w:t>
      </w:r>
      <w:r w:rsidR="006D016A">
        <w:t>оты по введение в действие евро</w:t>
      </w:r>
      <w:r w:rsidR="006D016A">
        <w:noBreakHyphen/>
      </w:r>
      <w:r w:rsidRPr="00C31ACD">
        <w:t>азиатские транспортных коридоров. Директор Отдела транспорта г-н Ли Ювэя отметил, что основное внимание следует уделить эффективности эксплуатационной работы. Поезда, возможно, уже курсируют по рассматриваемым коридорам, но вопрос заключается в том, в каких условиях это происходит, по какому расписанию и с какими затратами. Следует продолжить Работу по обеспечению эффективной деятельности евро-азиатских транспортных коридоров, при этом она должна проводиться на базе такой устоявшейся платформы, как Рабочая группа по тенденциям и экономике транспорта.</w:t>
      </w:r>
    </w:p>
    <w:p w:rsidR="00C31ACD" w:rsidRPr="00C31ACD" w:rsidRDefault="00C31ACD" w:rsidP="00C31ACD">
      <w:pPr>
        <w:pStyle w:val="SingleTxtG"/>
      </w:pPr>
      <w:r w:rsidRPr="00C31ACD">
        <w:lastRenderedPageBreak/>
        <w:t>10.</w:t>
      </w:r>
      <w:r w:rsidRPr="00C31ACD">
        <w:tab/>
        <w:t>С выводами и рекомендациями конференции можно ознакомиться в приложении к настоящему докладу.</w:t>
      </w:r>
    </w:p>
    <w:p w:rsidR="00C31ACD" w:rsidRPr="00C31ACD" w:rsidRDefault="00C31ACD" w:rsidP="006D016A">
      <w:pPr>
        <w:pStyle w:val="H23G"/>
      </w:pPr>
      <w:r w:rsidRPr="00C31ACD">
        <w:tab/>
        <w:t>2.</w:t>
      </w:r>
      <w:r w:rsidRPr="00C31ACD">
        <w:tab/>
        <w:t>Рабочее совещание на тему «Комплексный транспорт и городское развитие, включая перспективы в области охраны окружающей среды, здоровья человека и качества жизни»</w:t>
      </w:r>
    </w:p>
    <w:p w:rsidR="00C31ACD" w:rsidRPr="00C31ACD" w:rsidRDefault="00C31ACD" w:rsidP="00C31ACD">
      <w:pPr>
        <w:pStyle w:val="SingleTxtG"/>
      </w:pPr>
      <w:r w:rsidRPr="00C31ACD">
        <w:t>11.</w:t>
      </w:r>
      <w:r w:rsidRPr="00C31ACD">
        <w:tab/>
        <w:t>На своей пятнадцатой сессии Руководящий комитет Общеевропейской программы по транспорту, окружающей среде и охране здоровья (ОПТОСОЗ) (Женева, 6–8 ноября 2017 года) предложил разработать справочное руководство по текущей практике и решениям в области устойчивого транспорта и городского планирования, которое должно быть представлен</w:t>
      </w:r>
      <w:r w:rsidR="00734A25">
        <w:t>о и, возможно, принято на пятом </w:t>
      </w:r>
      <w:r w:rsidRPr="00C31ACD">
        <w:t>Совещании высокого уровня в Вене осенью 2019 года. В то же время секретариат ОПТОСОЗ внес предложение по подготовке издания с изложением тематических исследований и примеров надлежащей практики в области интеграции планирования транспорта и землепользования в городах. Руководящий комитет одобрил оба предложения.</w:t>
      </w:r>
    </w:p>
    <w:p w:rsidR="00C31ACD" w:rsidRPr="00C31ACD" w:rsidRDefault="00C31ACD" w:rsidP="00C31ACD">
      <w:pPr>
        <w:pStyle w:val="SingleTxtG"/>
      </w:pPr>
      <w:r w:rsidRPr="00C31ACD">
        <w:t>12.</w:t>
      </w:r>
      <w:r w:rsidRPr="00C31ACD">
        <w:tab/>
        <w:t>На основе этих предложений начато осуществление проекта, финансируемого Российской Федерацией, основной целью которого является подготовка справочного руководства, позволяющего расширить знания государств</w:t>
      </w:r>
      <w:r w:rsidRPr="00C31ACD">
        <w:rPr>
          <w:lang w:val="en-GB"/>
        </w:rPr>
        <w:t> </w:t>
      </w:r>
      <w:r w:rsidRPr="00C31ACD">
        <w:t>–</w:t>
      </w:r>
      <w:r w:rsidR="006D016A">
        <w:rPr>
          <w:lang w:val="en-US"/>
        </w:rPr>
        <w:t> </w:t>
      </w:r>
      <w:r w:rsidRPr="00C31ACD">
        <w:t>членов ЕЭК ООН по вопросам комплексного транспортного и городского развития, включая аспекты, связанные с окружающей средой, здоровьем человека и качеством жизни. В ходе своей восьмидесятой сессии в Женеве 20–23 февраля 2018 года (</w:t>
      </w:r>
      <w:r w:rsidRPr="00C31ACD">
        <w:rPr>
          <w:lang w:val="en-GB"/>
        </w:rPr>
        <w:t>ECE</w:t>
      </w:r>
      <w:r w:rsidRPr="00C31ACD">
        <w:t>/</w:t>
      </w:r>
      <w:r w:rsidRPr="00C31ACD">
        <w:rPr>
          <w:lang w:val="en-GB"/>
        </w:rPr>
        <w:t>TRANS</w:t>
      </w:r>
      <w:r w:rsidRPr="00C31ACD">
        <w:t xml:space="preserve">/274, пункт 33) Комитет по внутреннему транспорту поручил </w:t>
      </w:r>
      <w:r w:rsidRPr="00C31ACD">
        <w:rPr>
          <w:lang w:val="en-GB"/>
        </w:rPr>
        <w:t>WP</w:t>
      </w:r>
      <w:r w:rsidRPr="00C31ACD">
        <w:t>.5 как аналитическому органу Отдела устойчивого транспорта провести это исследование в сотрудничестве с ОПТОСОЗ.</w:t>
      </w:r>
    </w:p>
    <w:p w:rsidR="00C31ACD" w:rsidRPr="00C31ACD" w:rsidRDefault="00C31ACD" w:rsidP="00C31ACD">
      <w:pPr>
        <w:pStyle w:val="SingleTxtG"/>
      </w:pPr>
      <w:r w:rsidRPr="00C31ACD">
        <w:t>13.</w:t>
      </w:r>
      <w:r w:rsidRPr="00C31ACD">
        <w:tab/>
        <w:t>Проект преследует следующие основные цели:</w:t>
      </w:r>
    </w:p>
    <w:p w:rsidR="00C31ACD" w:rsidRPr="00C31ACD" w:rsidRDefault="006D016A" w:rsidP="00C31ACD">
      <w:pPr>
        <w:pStyle w:val="SingleTxtG"/>
      </w:pPr>
      <w:r w:rsidRPr="00F46063">
        <w:tab/>
      </w:r>
      <w:r w:rsidRPr="00F46063">
        <w:tab/>
      </w:r>
      <w:r w:rsidR="00C31ACD" w:rsidRPr="00C31ACD">
        <w:rPr>
          <w:lang w:val="en-GB"/>
        </w:rPr>
        <w:t>a</w:t>
      </w:r>
      <w:r w:rsidR="00C31ACD" w:rsidRPr="00C31ACD">
        <w:t>)</w:t>
      </w:r>
      <w:r w:rsidR="00C31ACD" w:rsidRPr="00C31ACD">
        <w:tab/>
        <w:t>поддержка разработки стратегий, нацеленных на интеграцию транспортного и городского развития и землепользования, с учетом вопросов окружающей среды, охраны здоровья человека и качества жизни;</w:t>
      </w:r>
    </w:p>
    <w:p w:rsidR="00C31ACD" w:rsidRPr="00C31ACD" w:rsidRDefault="006D016A" w:rsidP="00C31ACD">
      <w:pPr>
        <w:pStyle w:val="SingleTxtG"/>
      </w:pPr>
      <w:r w:rsidRPr="00F46063">
        <w:tab/>
      </w:r>
      <w:r w:rsidRPr="00F46063">
        <w:tab/>
      </w:r>
      <w:r w:rsidR="00C31ACD" w:rsidRPr="00C31ACD">
        <w:rPr>
          <w:lang w:val="en-GB"/>
        </w:rPr>
        <w:t>b</w:t>
      </w:r>
      <w:r w:rsidR="00C31ACD" w:rsidRPr="00C31ACD">
        <w:t>)</w:t>
      </w:r>
      <w:r w:rsidR="00C31ACD" w:rsidRPr="00C31ACD">
        <w:tab/>
        <w:t>повышение осведомленности лиц, ответственных за принятие решений на национальном уровне, об актуальности и преимуществах поддержки национальных стратегий, стимулирующих принятие мер на местах в целях интеграции транспортного и городского планирования, а также предоставление им вдохновляющих примеров из практики;</w:t>
      </w:r>
    </w:p>
    <w:p w:rsidR="00C31ACD" w:rsidRPr="00C31ACD" w:rsidRDefault="006D016A" w:rsidP="00C31ACD">
      <w:pPr>
        <w:pStyle w:val="SingleTxtG"/>
      </w:pPr>
      <w:r w:rsidRPr="00F46063">
        <w:tab/>
      </w:r>
      <w:r w:rsidRPr="00F46063">
        <w:tab/>
      </w:r>
      <w:r w:rsidR="00C31ACD" w:rsidRPr="00C31ACD">
        <w:rPr>
          <w:lang w:val="en-GB"/>
        </w:rPr>
        <w:t>c</w:t>
      </w:r>
      <w:r w:rsidR="00C31ACD" w:rsidRPr="00C31ACD">
        <w:t>)</w:t>
      </w:r>
      <w:r w:rsidR="00C31ACD" w:rsidRPr="00C31ACD">
        <w:tab/>
        <w:t>повышение осведомленности на международном уровне о важности увязки стратегий устойчивого развития транспорта с городским планированием в целях достижения многочисленных целей Повестки дня на период до 2030 года.</w:t>
      </w:r>
    </w:p>
    <w:p w:rsidR="00C31ACD" w:rsidRPr="00C31ACD" w:rsidRDefault="00C31ACD" w:rsidP="00C31ACD">
      <w:pPr>
        <w:pStyle w:val="SingleTxtG"/>
      </w:pPr>
      <w:r w:rsidRPr="00C31ACD">
        <w:t>14.</w:t>
      </w:r>
      <w:r w:rsidRPr="00C31ACD">
        <w:tab/>
        <w:t>Это рабочее совещание было организовано</w:t>
      </w:r>
      <w:r w:rsidR="00BF65F8" w:rsidRPr="00C31ACD">
        <w:t>,</w:t>
      </w:r>
      <w:r w:rsidRPr="00C31ACD">
        <w:t xml:space="preserve"> для того чтобы государства-члены могли совместно проанализировать этот вопрос, а также обсудить и высказать предложения о том, как лучше подготовить вышеупомянутое издание с изложением тематических исследований примеров передовой практики. Программа рабочего совещания содержится в неофициальном документе № 2.</w:t>
      </w:r>
    </w:p>
    <w:p w:rsidR="00C31ACD" w:rsidRPr="00C31ACD" w:rsidRDefault="00C31ACD" w:rsidP="00C31ACD">
      <w:pPr>
        <w:pStyle w:val="SingleTxtG"/>
      </w:pPr>
      <w:r w:rsidRPr="00C31ACD">
        <w:t>15.</w:t>
      </w:r>
      <w:r w:rsidRPr="00C31ACD">
        <w:tab/>
        <w:t>В ходе рабочего совещания участники:</w:t>
      </w:r>
    </w:p>
    <w:p w:rsidR="00C31ACD" w:rsidRPr="00C31ACD" w:rsidRDefault="006D016A" w:rsidP="00C31ACD">
      <w:pPr>
        <w:pStyle w:val="SingleTxtG"/>
      </w:pPr>
      <w:r w:rsidRPr="00F46063">
        <w:tab/>
      </w:r>
      <w:r w:rsidRPr="00F46063">
        <w:tab/>
      </w:r>
      <w:r w:rsidR="00C31ACD" w:rsidRPr="00C31ACD">
        <w:rPr>
          <w:lang w:val="en-GB"/>
        </w:rPr>
        <w:t>a</w:t>
      </w:r>
      <w:r w:rsidR="00C31ACD" w:rsidRPr="00C31ACD">
        <w:t>)</w:t>
      </w:r>
      <w:r w:rsidR="00C31ACD" w:rsidRPr="00C31ACD">
        <w:tab/>
        <w:t>отметили, что урбанизация и высокие темпы роста городского населения и городских территорий приведут к значительному росту спроса на перевозки; в связи с этим необходимо увязать этот спрос с возм</w:t>
      </w:r>
      <w:r w:rsidR="00734A25">
        <w:t>ожностями транспортных систем и </w:t>
      </w:r>
      <w:r w:rsidR="00C31ACD" w:rsidRPr="00C31ACD">
        <w:t xml:space="preserve">обеспечить их соответствие высоким стандартам качества транспортных услуг </w:t>
      </w:r>
      <w:r w:rsidR="00734A25">
        <w:t>(и, </w:t>
      </w:r>
      <w:r w:rsidR="00C31ACD" w:rsidRPr="00C31ACD">
        <w:t>как правило, качества жизни!) с помощью</w:t>
      </w:r>
      <w:r w:rsidR="00734A25">
        <w:t xml:space="preserve"> </w:t>
      </w:r>
      <w:r w:rsidR="00C31ACD" w:rsidRPr="00C31ACD">
        <w:t>инструментов управления мобильностью;</w:t>
      </w:r>
    </w:p>
    <w:p w:rsidR="00C31ACD" w:rsidRPr="00C31ACD" w:rsidRDefault="006D016A" w:rsidP="00C31ACD">
      <w:pPr>
        <w:pStyle w:val="SingleTxtG"/>
      </w:pPr>
      <w:r w:rsidRPr="00734A25">
        <w:tab/>
      </w:r>
      <w:r w:rsidRPr="00734A25">
        <w:tab/>
      </w:r>
      <w:r w:rsidR="00C31ACD" w:rsidRPr="00C31ACD">
        <w:rPr>
          <w:lang w:val="en-GB"/>
        </w:rPr>
        <w:t>b</w:t>
      </w:r>
      <w:r w:rsidR="00C31ACD" w:rsidRPr="00C31ACD">
        <w:t>)</w:t>
      </w:r>
      <w:r w:rsidR="00C31ACD" w:rsidRPr="00C31ACD">
        <w:tab/>
        <w:t>отметили, что развитие транспортной инфраструктуры и обеспечение новых возможностей транспортных транзитных систем могут привести к возникновению нового (дополнительного) спроса на перевозки (например</w:t>
      </w:r>
      <w:r w:rsidR="00BF65F8">
        <w:t>,</w:t>
      </w:r>
      <w:r w:rsidR="00C31ACD" w:rsidRPr="00C31ACD">
        <w:t xml:space="preserve"> за счет повышения привлекательности территорий для строительства жилья), в связи с чем </w:t>
      </w:r>
      <w:r w:rsidR="00C31ACD" w:rsidRPr="00C31ACD">
        <w:lastRenderedPageBreak/>
        <w:t>необходимы эффективные правовые инструменты для регулирования жилищного сектора</w:t>
      </w:r>
      <w:r w:rsidR="00BF65F8" w:rsidRPr="00C31ACD">
        <w:t>,</w:t>
      </w:r>
      <w:r w:rsidR="00C31ACD" w:rsidRPr="00C31ACD">
        <w:t xml:space="preserve"> и в частности деятельности застройщиков;</w:t>
      </w:r>
    </w:p>
    <w:p w:rsidR="00C31ACD" w:rsidRPr="00C31ACD" w:rsidRDefault="006D016A" w:rsidP="00C31ACD">
      <w:pPr>
        <w:pStyle w:val="SingleTxtG"/>
      </w:pPr>
      <w:r w:rsidRPr="00BF65F8">
        <w:tab/>
      </w:r>
      <w:r w:rsidRPr="00BF65F8">
        <w:tab/>
      </w:r>
      <w:r w:rsidR="00C31ACD" w:rsidRPr="00C31ACD">
        <w:rPr>
          <w:lang w:val="en-GB"/>
        </w:rPr>
        <w:t>c</w:t>
      </w:r>
      <w:r w:rsidR="00C31ACD" w:rsidRPr="00C31ACD">
        <w:t>)</w:t>
      </w:r>
      <w:r w:rsidR="00C31ACD" w:rsidRPr="00C31ACD">
        <w:tab/>
        <w:t>напомнили о порочном круге «искусственной мобильности»: дорожное строительство приводит к повышению пропускной способности дорожной сети, вследствие чего улучшаются условия дорожного движения, приводящие к увеличению использования автомобилей и количества поездок, результатом которых становится перегруженность дорог;</w:t>
      </w:r>
    </w:p>
    <w:p w:rsidR="00C31ACD" w:rsidRPr="00C31ACD" w:rsidRDefault="006D016A" w:rsidP="00C31ACD">
      <w:pPr>
        <w:pStyle w:val="SingleTxtG"/>
      </w:pPr>
      <w:r w:rsidRPr="00BF65F8">
        <w:tab/>
      </w:r>
      <w:r w:rsidRPr="00BF65F8">
        <w:tab/>
      </w:r>
      <w:r w:rsidR="00C31ACD" w:rsidRPr="00C31ACD">
        <w:rPr>
          <w:lang w:val="en-GB"/>
        </w:rPr>
        <w:t>d</w:t>
      </w:r>
      <w:r w:rsidR="00C31ACD" w:rsidRPr="00C31ACD">
        <w:t>)</w:t>
      </w:r>
      <w:r w:rsidR="00C31ACD" w:rsidRPr="00C31ACD">
        <w:tab/>
        <w:t>напомнили о том, что при планировании устойчивой городской мобильности следует:</w:t>
      </w:r>
    </w:p>
    <w:p w:rsidR="00C31ACD" w:rsidRPr="00C31ACD" w:rsidRDefault="00C31ACD" w:rsidP="006D016A">
      <w:pPr>
        <w:pStyle w:val="SingleTxtG"/>
        <w:ind w:left="1701"/>
      </w:pPr>
      <w:r w:rsidRPr="00C31ACD">
        <w:rPr>
          <w:lang w:val="en-GB"/>
        </w:rPr>
        <w:t>i</w:t>
      </w:r>
      <w:r w:rsidRPr="00C31ACD">
        <w:t>)</w:t>
      </w:r>
      <w:r w:rsidRPr="00C31ACD">
        <w:tab/>
        <w:t>уделять особое внимание потребностям населения;</w:t>
      </w:r>
    </w:p>
    <w:p w:rsidR="00C31ACD" w:rsidRPr="00C31ACD" w:rsidRDefault="00C31ACD" w:rsidP="006D016A">
      <w:pPr>
        <w:pStyle w:val="SingleTxtG"/>
        <w:ind w:left="1701"/>
      </w:pPr>
      <w:r w:rsidRPr="00C31ACD">
        <w:rPr>
          <w:lang w:val="en-GB"/>
        </w:rPr>
        <w:t>ii</w:t>
      </w:r>
      <w:r w:rsidRPr="00C31ACD">
        <w:t>)</w:t>
      </w:r>
      <w:r w:rsidRPr="00C31ACD">
        <w:tab/>
        <w:t>поставить в качестве целей: доступнос</w:t>
      </w:r>
      <w:r w:rsidR="00BF65F8">
        <w:t>ть объектов и качество жизни, а </w:t>
      </w:r>
      <w:r w:rsidRPr="00C31ACD">
        <w:t>также экономическую жизнеспособность, устойчивость, социальную справедливость, здоровье человека и качество окружающей среды;</w:t>
      </w:r>
    </w:p>
    <w:p w:rsidR="00C31ACD" w:rsidRPr="00C31ACD" w:rsidRDefault="00C31ACD" w:rsidP="006D016A">
      <w:pPr>
        <w:pStyle w:val="SingleTxtG"/>
        <w:ind w:left="1701"/>
      </w:pPr>
      <w:r w:rsidRPr="00C31ACD">
        <w:rPr>
          <w:lang w:val="en-GB"/>
        </w:rPr>
        <w:t>iii</w:t>
      </w:r>
      <w:r w:rsidRPr="00C31ACD">
        <w:t>)</w:t>
      </w:r>
      <w:r w:rsidRPr="00C31ACD">
        <w:tab/>
        <w:t>найти равновесие между развитием всех соответствующих видов транспорта и переходом к более экологически чистым и более устойчивым видам транспорта (пешеходы, велосипедисты, общественный транспорт, городской рельсовый транспорт);</w:t>
      </w:r>
    </w:p>
    <w:p w:rsidR="00C31ACD" w:rsidRPr="00C31ACD" w:rsidRDefault="00C31ACD" w:rsidP="006D016A">
      <w:pPr>
        <w:pStyle w:val="SingleTxtG"/>
        <w:ind w:left="1701"/>
      </w:pPr>
      <w:r w:rsidRPr="00C31ACD">
        <w:rPr>
          <w:lang w:val="en-GB"/>
        </w:rPr>
        <w:t>iv</w:t>
      </w:r>
      <w:r w:rsidRPr="00C31ACD">
        <w:t>)</w:t>
      </w:r>
      <w:r w:rsidRPr="00C31ACD">
        <w:tab/>
        <w:t>интегрировать комплекс мер для нахождения затратоэффективных решений;</w:t>
      </w:r>
    </w:p>
    <w:p w:rsidR="00C31ACD" w:rsidRPr="00C31ACD" w:rsidRDefault="00C31ACD" w:rsidP="006D016A">
      <w:pPr>
        <w:pStyle w:val="SingleTxtG"/>
        <w:ind w:left="1701"/>
      </w:pPr>
      <w:r w:rsidRPr="00C31ACD">
        <w:rPr>
          <w:lang w:val="en-GB"/>
        </w:rPr>
        <w:t>v</w:t>
      </w:r>
      <w:r w:rsidRPr="00C31ACD">
        <w:t>)</w:t>
      </w:r>
      <w:r w:rsidRPr="00C31ACD">
        <w:tab/>
        <w:t>принять за основу межсекторальные инструменты планирования (в таких областях</w:t>
      </w:r>
      <w:r w:rsidR="00BF65F8">
        <w:t>,</w:t>
      </w:r>
      <w:r w:rsidRPr="00C31ACD">
        <w:t xml:space="preserve"> как землепользование и территориально-пространственное планирование, перевозки, социальные услуги, здравоохранение, охрана окружающей среды и т.</w:t>
      </w:r>
      <w:r w:rsidR="00734A25">
        <w:t xml:space="preserve"> </w:t>
      </w:r>
      <w:r w:rsidRPr="00C31ACD">
        <w:t>д.);</w:t>
      </w:r>
    </w:p>
    <w:p w:rsidR="00C31ACD" w:rsidRPr="00C31ACD" w:rsidRDefault="00C31ACD" w:rsidP="006D016A">
      <w:pPr>
        <w:pStyle w:val="SingleTxtG"/>
        <w:ind w:left="1701"/>
      </w:pPr>
      <w:r w:rsidRPr="00C31ACD">
        <w:rPr>
          <w:lang w:val="en-GB"/>
        </w:rPr>
        <w:t>vi</w:t>
      </w:r>
      <w:r w:rsidRPr="00C31ACD">
        <w:t>)</w:t>
      </w:r>
      <w:r w:rsidRPr="00C31ACD">
        <w:tab/>
        <w:t>проводить разработку планов междисциплинарными группами планирования;</w:t>
      </w:r>
    </w:p>
    <w:p w:rsidR="00C31ACD" w:rsidRPr="00C31ACD" w:rsidRDefault="006D016A" w:rsidP="00C31ACD">
      <w:pPr>
        <w:pStyle w:val="SingleTxtG"/>
      </w:pPr>
      <w:r w:rsidRPr="00F46063">
        <w:tab/>
      </w:r>
      <w:r w:rsidRPr="00F46063">
        <w:tab/>
      </w:r>
      <w:r w:rsidR="00C31ACD" w:rsidRPr="00C31ACD">
        <w:rPr>
          <w:lang w:val="en-GB"/>
        </w:rPr>
        <w:t>e</w:t>
      </w:r>
      <w:r w:rsidR="00C31ACD" w:rsidRPr="00C31ACD">
        <w:t>)</w:t>
      </w:r>
      <w:r w:rsidR="00C31ACD" w:rsidRPr="00C31ACD">
        <w:tab/>
        <w:t>согласились с тем, что между городами существуют различия (разными с точки зрения бюджета, ресурсов, активов, инфраструктуры, проблем, вовлечения заинтересованных сторон, менталитета, культуры и и</w:t>
      </w:r>
      <w:r w:rsidR="00734A25">
        <w:t>стории, климата и ландшафта), в </w:t>
      </w:r>
      <w:r w:rsidR="00C31ACD" w:rsidRPr="00C31ACD">
        <w:t>силу чего не существует единого решения, подходящего для всех городов;</w:t>
      </w:r>
    </w:p>
    <w:p w:rsidR="00C31ACD" w:rsidRPr="00C31ACD" w:rsidRDefault="006D016A" w:rsidP="00C31ACD">
      <w:pPr>
        <w:pStyle w:val="SingleTxtG"/>
      </w:pPr>
      <w:r w:rsidRPr="00734A25">
        <w:tab/>
      </w:r>
      <w:r w:rsidRPr="00734A25">
        <w:tab/>
      </w:r>
      <w:r w:rsidR="00C31ACD" w:rsidRPr="00C31ACD">
        <w:rPr>
          <w:lang w:val="en-GB"/>
        </w:rPr>
        <w:t>f</w:t>
      </w:r>
      <w:r w:rsidR="00C31ACD" w:rsidRPr="00C31ACD">
        <w:t>)</w:t>
      </w:r>
      <w:r w:rsidR="00C31ACD" w:rsidRPr="00C31ACD">
        <w:tab/>
        <w:t>согласились с тем, что интеграция территориально-пространственного планирования и планирования мобильности необходима для того, чтобы:</w:t>
      </w:r>
    </w:p>
    <w:p w:rsidR="00C31ACD" w:rsidRPr="00C31ACD" w:rsidRDefault="00C31ACD" w:rsidP="006D016A">
      <w:pPr>
        <w:pStyle w:val="SingleTxtG"/>
        <w:ind w:left="1701"/>
      </w:pPr>
      <w:r w:rsidRPr="00C31ACD">
        <w:rPr>
          <w:lang w:val="en-GB"/>
        </w:rPr>
        <w:t>i</w:t>
      </w:r>
      <w:r w:rsidRPr="00C31ACD">
        <w:t>)</w:t>
      </w:r>
      <w:r w:rsidRPr="00C31ACD">
        <w:tab/>
        <w:t>оптимизировать процедуры планирования транспорта, а также территориально-пространственного развития;</w:t>
      </w:r>
    </w:p>
    <w:p w:rsidR="00C31ACD" w:rsidRPr="00C31ACD" w:rsidRDefault="00C31ACD" w:rsidP="006D016A">
      <w:pPr>
        <w:pStyle w:val="SingleTxtG"/>
        <w:ind w:left="1701"/>
      </w:pPr>
      <w:r w:rsidRPr="00C31ACD">
        <w:rPr>
          <w:lang w:val="en-GB"/>
        </w:rPr>
        <w:t>ii</w:t>
      </w:r>
      <w:r w:rsidRPr="00C31ACD">
        <w:t>)</w:t>
      </w:r>
      <w:r w:rsidRPr="00C31ACD">
        <w:tab/>
        <w:t>в лучшем виде сохранить природный ландшафт;</w:t>
      </w:r>
    </w:p>
    <w:p w:rsidR="00C31ACD" w:rsidRPr="00C31ACD" w:rsidRDefault="00C31ACD" w:rsidP="006D016A">
      <w:pPr>
        <w:pStyle w:val="SingleTxtG"/>
        <w:ind w:left="1701"/>
      </w:pPr>
      <w:r w:rsidRPr="00C31ACD">
        <w:rPr>
          <w:lang w:val="en-GB"/>
        </w:rPr>
        <w:t>iii</w:t>
      </w:r>
      <w:r w:rsidRPr="00C31ACD">
        <w:t>)</w:t>
      </w:r>
      <w:r w:rsidRPr="00C31ACD">
        <w:tab/>
        <w:t>экономичным образом сохранить свободное пространство в редких незастроенных городских зонах;</w:t>
      </w:r>
    </w:p>
    <w:p w:rsidR="00C31ACD" w:rsidRPr="00C31ACD" w:rsidRDefault="00871DDC" w:rsidP="006D016A">
      <w:pPr>
        <w:pStyle w:val="SingleTxtG"/>
        <w:ind w:left="1701"/>
      </w:pPr>
      <w:r>
        <w:rPr>
          <w:lang w:val="en-GB"/>
        </w:rPr>
        <w:t>i</w:t>
      </w:r>
      <w:r w:rsidR="00C31ACD" w:rsidRPr="00C31ACD">
        <w:rPr>
          <w:lang w:val="en-GB"/>
        </w:rPr>
        <w:t>v</w:t>
      </w:r>
      <w:r w:rsidR="00C31ACD" w:rsidRPr="00C31ACD">
        <w:t>)</w:t>
      </w:r>
      <w:r w:rsidR="00C31ACD" w:rsidRPr="00C31ACD">
        <w:tab/>
        <w:t>избежать разрастания городов;</w:t>
      </w:r>
    </w:p>
    <w:p w:rsidR="00C31ACD" w:rsidRPr="00C31ACD" w:rsidRDefault="00C31ACD" w:rsidP="006D016A">
      <w:pPr>
        <w:pStyle w:val="SingleTxtG"/>
        <w:ind w:left="1701"/>
      </w:pPr>
      <w:r w:rsidRPr="00C31ACD">
        <w:rPr>
          <w:lang w:val="en-GB"/>
        </w:rPr>
        <w:t>v</w:t>
      </w:r>
      <w:r w:rsidRPr="00C31ACD">
        <w:t>)</w:t>
      </w:r>
      <w:r w:rsidRPr="00C31ACD">
        <w:tab/>
        <w:t>сохранить здоровую окружающую среду и социально жизнеспособную среду, включая незастроенные пространства в других зонах;</w:t>
      </w:r>
    </w:p>
    <w:p w:rsidR="00C31ACD" w:rsidRPr="00C31ACD" w:rsidRDefault="006D016A" w:rsidP="00C31ACD">
      <w:pPr>
        <w:pStyle w:val="SingleTxtG"/>
      </w:pPr>
      <w:r w:rsidRPr="00F46063">
        <w:tab/>
      </w:r>
      <w:r w:rsidRPr="00F46063">
        <w:tab/>
      </w:r>
      <w:r w:rsidR="00C31ACD" w:rsidRPr="00C31ACD">
        <w:rPr>
          <w:lang w:val="en-GB"/>
        </w:rPr>
        <w:t>g</w:t>
      </w:r>
      <w:r w:rsidR="00C31ACD" w:rsidRPr="00C31ACD">
        <w:t>)</w:t>
      </w:r>
      <w:r w:rsidR="00C31ACD" w:rsidRPr="00C31ACD">
        <w:tab/>
        <w:t>приветствовали представленные примеры из практики, а также экономический анализ выгод общественного транспорта.</w:t>
      </w:r>
    </w:p>
    <w:p w:rsidR="00C31ACD" w:rsidRPr="00C31ACD" w:rsidRDefault="00C31ACD" w:rsidP="00C31ACD">
      <w:pPr>
        <w:pStyle w:val="SingleTxtG"/>
      </w:pPr>
      <w:r w:rsidRPr="00C31ACD">
        <w:t>16.</w:t>
      </w:r>
      <w:r w:rsidRPr="00C31ACD">
        <w:tab/>
        <w:t>Рабочая группа приняла к сведению выступления экспертов и с удовлетворением отметила полученные к настоящему в</w:t>
      </w:r>
      <w:r w:rsidR="00BF65F8">
        <w:t>ремени от Франции</w:t>
      </w:r>
      <w:r w:rsidRPr="00C31ACD">
        <w:t xml:space="preserve"> взносы в натуральной форме в вид</w:t>
      </w:r>
      <w:r w:rsidR="00BF65F8">
        <w:t>е</w:t>
      </w:r>
      <w:r w:rsidRPr="00C31ACD">
        <w:t xml:space="preserve"> примеров передовой практики и тематических исследований. Она выразила признательность экспертам за их участие в рабочем совещании и поручила секретариату обеспечить регулярное обсуждение этой темы в рамках повестки дня Рабочей группы.</w:t>
      </w:r>
    </w:p>
    <w:p w:rsidR="00C31ACD" w:rsidRPr="00C31ACD" w:rsidRDefault="00C31ACD" w:rsidP="00C31ACD">
      <w:pPr>
        <w:pStyle w:val="SingleTxtG"/>
      </w:pPr>
      <w:r w:rsidRPr="00C31ACD">
        <w:t>17.</w:t>
      </w:r>
      <w:r w:rsidRPr="00C31ACD">
        <w:tab/>
        <w:t xml:space="preserve">Рабочая группа, возможно, пожелает также рассмотреть официальный документ </w:t>
      </w:r>
      <w:r w:rsidRPr="00C31ACD">
        <w:rPr>
          <w:lang w:val="en-GB"/>
        </w:rPr>
        <w:t>ECE</w:t>
      </w:r>
      <w:r w:rsidRPr="00C31ACD">
        <w:t>/</w:t>
      </w:r>
      <w:r w:rsidRPr="00C31ACD">
        <w:rPr>
          <w:lang w:val="en-GB"/>
        </w:rPr>
        <w:t>TRANS</w:t>
      </w:r>
      <w:r w:rsidRPr="00C31ACD">
        <w:t>/</w:t>
      </w:r>
      <w:r w:rsidRPr="00C31ACD">
        <w:rPr>
          <w:lang w:val="en-GB"/>
        </w:rPr>
        <w:t>WP</w:t>
      </w:r>
      <w:r w:rsidRPr="00C31ACD">
        <w:t xml:space="preserve">.5/2018/1, содержащий вопросник, который будет распространен среди государств-членов, с тем чтобы собрать как можно больше </w:t>
      </w:r>
      <w:r w:rsidRPr="00C31ACD">
        <w:lastRenderedPageBreak/>
        <w:t>сведений о примерах передового опыта и надлежаще</w:t>
      </w:r>
      <w:r w:rsidR="00BF65F8">
        <w:t>й практики по обсуждаемой теме. </w:t>
      </w:r>
      <w:r w:rsidRPr="00C31ACD">
        <w:t xml:space="preserve">Рабочая группа одобрила этот вопросник с внесенными в него изменениями. Пересмотренный вопросник был размещен </w:t>
      </w:r>
      <w:r w:rsidR="00BF65F8">
        <w:t>на веб-сайте Рабочей группы как </w:t>
      </w:r>
      <w:r w:rsidRPr="00C31ACD">
        <w:rPr>
          <w:lang w:val="en-GB"/>
        </w:rPr>
        <w:t>ECE</w:t>
      </w:r>
      <w:r w:rsidRPr="00C31ACD">
        <w:t>/</w:t>
      </w:r>
      <w:r w:rsidRPr="00C31ACD">
        <w:rPr>
          <w:lang w:val="en-GB"/>
        </w:rPr>
        <w:t>TRANS</w:t>
      </w:r>
      <w:r w:rsidRPr="00C31ACD">
        <w:t>/</w:t>
      </w:r>
      <w:r w:rsidRPr="00C31ACD">
        <w:rPr>
          <w:lang w:val="en-GB"/>
        </w:rPr>
        <w:t>WP</w:t>
      </w:r>
      <w:r w:rsidRPr="00C31ACD">
        <w:t>.5/2018/1/</w:t>
      </w:r>
      <w:r w:rsidRPr="00C31ACD">
        <w:rPr>
          <w:lang w:val="en-GB"/>
        </w:rPr>
        <w:t>Rev</w:t>
      </w:r>
      <w:r w:rsidRPr="00C31ACD">
        <w:t>.1. Рабочая группа поручила секретариату распространить вопросник по дипломатическим каналам среди министров транспорта региона ЕЭК, с тем чтобы они запросили соответствующую информацию из всех профильных органов, включая мэров городов уже применяющих передовую практику. Вопросник является достаточно открытым; подготовлен в общей рамочной форме для того, чтобы собрать все соответствующие данные. Однако правительства, города и другие соответствующие органы могут предоставить любую другую информацию/</w:t>
      </w:r>
      <w:r w:rsidR="00BF65F8">
        <w:t xml:space="preserve"> </w:t>
      </w:r>
      <w:r w:rsidRPr="00C31ACD">
        <w:t>примеры передовой практики, которые они считают важными для распространения. Подготовленная на основе ответов на вопросник информация, а также справочное руководство должны быть готовы к следующей сессии Рабочей группы.</w:t>
      </w:r>
    </w:p>
    <w:p w:rsidR="00C31ACD" w:rsidRPr="00C31ACD" w:rsidRDefault="00C31ACD" w:rsidP="00C31ACD">
      <w:pPr>
        <w:pStyle w:val="SingleTxtG"/>
        <w:rPr>
          <w:lang w:val="en-GB"/>
        </w:rPr>
      </w:pPr>
      <w:r w:rsidRPr="00C31ACD">
        <w:t>18.</w:t>
      </w:r>
      <w:r w:rsidRPr="00C31ACD">
        <w:tab/>
        <w:t xml:space="preserve">Отчет о работе рабочего совещания, тексты выступлений и все материалы </w:t>
      </w:r>
      <w:r w:rsidRPr="00734A25">
        <w:t xml:space="preserve">рабочего совещания размещены на веб-сайте ЕЭК ООН по адресу </w:t>
      </w:r>
      <w:hyperlink r:id="rId9" w:history="1">
        <w:r w:rsidRPr="00734A25">
          <w:rPr>
            <w:rStyle w:val="af1"/>
            <w:color w:val="auto"/>
            <w:lang w:val="en-GB"/>
          </w:rPr>
          <w:t>www</w:t>
        </w:r>
      </w:hyperlink>
      <w:hyperlink r:id="rId10" w:history="1">
        <w:r w:rsidRPr="00734A25">
          <w:rPr>
            <w:rStyle w:val="af1"/>
            <w:color w:val="auto"/>
          </w:rPr>
          <w:t>.</w:t>
        </w:r>
      </w:hyperlink>
      <w:hyperlink r:id="rId11" w:history="1">
        <w:r w:rsidRPr="00734A25">
          <w:rPr>
            <w:rStyle w:val="af1"/>
            <w:color w:val="auto"/>
            <w:lang w:val="en-GB"/>
          </w:rPr>
          <w:t>unece</w:t>
        </w:r>
      </w:hyperlink>
      <w:hyperlink r:id="rId12" w:history="1">
        <w:r w:rsidRPr="00734A25">
          <w:rPr>
            <w:rStyle w:val="af1"/>
            <w:color w:val="auto"/>
            <w:lang w:val="en-US"/>
          </w:rPr>
          <w:t>.</w:t>
        </w:r>
      </w:hyperlink>
      <w:hyperlink r:id="rId13" w:history="1">
        <w:r w:rsidRPr="00734A25">
          <w:rPr>
            <w:rStyle w:val="af1"/>
            <w:color w:val="auto"/>
            <w:lang w:val="en-GB"/>
          </w:rPr>
          <w:t>org</w:t>
        </w:r>
      </w:hyperlink>
      <w:hyperlink r:id="rId14" w:history="1">
        <w:r w:rsidRPr="00734A25">
          <w:rPr>
            <w:rStyle w:val="af1"/>
            <w:color w:val="auto"/>
            <w:lang w:val="en-US"/>
          </w:rPr>
          <w:t>/</w:t>
        </w:r>
      </w:hyperlink>
      <w:hyperlink r:id="rId15" w:history="1">
        <w:r w:rsidRPr="00734A25">
          <w:rPr>
            <w:rStyle w:val="af1"/>
            <w:color w:val="auto"/>
            <w:lang w:val="en-GB"/>
          </w:rPr>
          <w:t>trans</w:t>
        </w:r>
      </w:hyperlink>
      <w:hyperlink r:id="rId16" w:history="1">
        <w:r w:rsidRPr="00734A25">
          <w:rPr>
            <w:rStyle w:val="af1"/>
            <w:color w:val="auto"/>
            <w:lang w:val="en-US"/>
          </w:rPr>
          <w:t>/</w:t>
        </w:r>
      </w:hyperlink>
      <w:hyperlink r:id="rId17" w:history="1">
        <w:r w:rsidRPr="00734A25">
          <w:rPr>
            <w:rStyle w:val="af1"/>
            <w:color w:val="auto"/>
            <w:lang w:val="en-GB"/>
          </w:rPr>
          <w:t>main</w:t>
        </w:r>
      </w:hyperlink>
      <w:hyperlink r:id="rId18" w:history="1">
        <w:r w:rsidRPr="00734A25">
          <w:rPr>
            <w:rStyle w:val="af1"/>
            <w:color w:val="auto"/>
            <w:lang w:val="en-US"/>
          </w:rPr>
          <w:t>/</w:t>
        </w:r>
      </w:hyperlink>
      <w:hyperlink r:id="rId19" w:history="1">
        <w:r w:rsidRPr="00734A25">
          <w:rPr>
            <w:rStyle w:val="af1"/>
            <w:color w:val="auto"/>
            <w:lang w:val="en-GB"/>
          </w:rPr>
          <w:t>wp</w:t>
        </w:r>
      </w:hyperlink>
      <w:hyperlink r:id="rId20" w:history="1">
        <w:r w:rsidRPr="00734A25">
          <w:rPr>
            <w:rStyle w:val="af1"/>
            <w:color w:val="auto"/>
            <w:lang w:val="en-US"/>
          </w:rPr>
          <w:t>5/</w:t>
        </w:r>
      </w:hyperlink>
      <w:hyperlink r:id="rId21" w:history="1">
        <w:r w:rsidRPr="00734A25">
          <w:rPr>
            <w:rStyle w:val="af1"/>
            <w:color w:val="auto"/>
            <w:lang w:val="en-GB"/>
          </w:rPr>
          <w:t>transport</w:t>
        </w:r>
      </w:hyperlink>
      <w:hyperlink r:id="rId22" w:history="1">
        <w:r w:rsidRPr="00734A25">
          <w:rPr>
            <w:rStyle w:val="af1"/>
            <w:color w:val="auto"/>
            <w:lang w:val="en-US"/>
          </w:rPr>
          <w:t>_</w:t>
        </w:r>
      </w:hyperlink>
      <w:hyperlink r:id="rId23" w:history="1">
        <w:r w:rsidRPr="00734A25">
          <w:rPr>
            <w:rStyle w:val="af1"/>
            <w:color w:val="auto"/>
            <w:lang w:val="en-GB"/>
          </w:rPr>
          <w:t>and</w:t>
        </w:r>
      </w:hyperlink>
      <w:hyperlink r:id="rId24" w:history="1">
        <w:r w:rsidRPr="00734A25">
          <w:rPr>
            <w:rStyle w:val="af1"/>
            <w:color w:val="auto"/>
            <w:lang w:val="en-US"/>
          </w:rPr>
          <w:t>_</w:t>
        </w:r>
      </w:hyperlink>
      <w:hyperlink r:id="rId25" w:history="1">
        <w:r w:rsidRPr="00734A25">
          <w:rPr>
            <w:rStyle w:val="af1"/>
            <w:color w:val="auto"/>
            <w:lang w:val="en-GB"/>
          </w:rPr>
          <w:t>urban</w:t>
        </w:r>
      </w:hyperlink>
      <w:hyperlink r:id="rId26" w:history="1">
        <w:r w:rsidRPr="00734A25">
          <w:rPr>
            <w:rStyle w:val="af1"/>
            <w:color w:val="auto"/>
            <w:lang w:val="en-US"/>
          </w:rPr>
          <w:t>_</w:t>
        </w:r>
      </w:hyperlink>
      <w:hyperlink r:id="rId27" w:history="1">
        <w:r w:rsidRPr="00734A25">
          <w:rPr>
            <w:rStyle w:val="af1"/>
            <w:color w:val="auto"/>
            <w:lang w:val="en-GB"/>
          </w:rPr>
          <w:t>development</w:t>
        </w:r>
      </w:hyperlink>
      <w:hyperlink r:id="rId28" w:history="1">
        <w:r w:rsidRPr="00734A25">
          <w:rPr>
            <w:rStyle w:val="af1"/>
            <w:color w:val="auto"/>
            <w:lang w:val="en-US"/>
          </w:rPr>
          <w:t>.</w:t>
        </w:r>
      </w:hyperlink>
      <w:hyperlink r:id="rId29" w:history="1">
        <w:r w:rsidRPr="00734A25">
          <w:rPr>
            <w:rStyle w:val="af1"/>
            <w:color w:val="auto"/>
            <w:lang w:val="en-GB"/>
          </w:rPr>
          <w:t>html</w:t>
        </w:r>
      </w:hyperlink>
      <w:r w:rsidRPr="00734A25">
        <w:rPr>
          <w:lang w:val="en-US"/>
        </w:rPr>
        <w:t>.</w:t>
      </w:r>
    </w:p>
    <w:p w:rsidR="00C31ACD" w:rsidRPr="00C31ACD" w:rsidRDefault="00C31ACD" w:rsidP="006D016A">
      <w:pPr>
        <w:pStyle w:val="H1G"/>
      </w:pPr>
      <w:r w:rsidRPr="00C31ACD">
        <w:rPr>
          <w:lang w:val="en-US"/>
        </w:rPr>
        <w:tab/>
      </w:r>
      <w:r w:rsidRPr="00C31ACD">
        <w:rPr>
          <w:lang w:val="en-GB"/>
        </w:rPr>
        <w:t>C</w:t>
      </w:r>
      <w:r w:rsidRPr="00C31ACD">
        <w:t>.</w:t>
      </w:r>
      <w:r w:rsidRPr="00C31ACD">
        <w:tab/>
        <w:t>Группы экспертов</w:t>
      </w:r>
    </w:p>
    <w:p w:rsidR="00C31ACD" w:rsidRPr="00C31ACD" w:rsidRDefault="00C31ACD" w:rsidP="006D016A">
      <w:pPr>
        <w:pStyle w:val="H23G"/>
      </w:pPr>
      <w:r w:rsidRPr="00C31ACD">
        <w:tab/>
        <w:t>1.</w:t>
      </w:r>
      <w:r w:rsidRPr="00C31ACD">
        <w:tab/>
        <w:t>Группа экспертов по последствиям изменения климата для международных транспортных сетей и узлов и адаптации к ним</w:t>
      </w:r>
    </w:p>
    <w:p w:rsidR="00C31ACD" w:rsidRPr="00C31ACD" w:rsidRDefault="00C31ACD" w:rsidP="00C31ACD">
      <w:pPr>
        <w:pStyle w:val="SingleTxtG"/>
      </w:pPr>
      <w:r w:rsidRPr="00C31ACD">
        <w:t>19.</w:t>
      </w:r>
      <w:r w:rsidRPr="00C31ACD">
        <w:tab/>
        <w:t>На своей последней сессии (3</w:t>
      </w:r>
      <w:r w:rsidR="006D016A" w:rsidRPr="006D016A">
        <w:t>–</w:t>
      </w:r>
      <w:r w:rsidRPr="00C31ACD">
        <w:t xml:space="preserve">5 сентября 2018 года) </w:t>
      </w:r>
      <w:r w:rsidRPr="00C31ACD">
        <w:rPr>
          <w:lang w:val="en-GB"/>
        </w:rPr>
        <w:t>WP</w:t>
      </w:r>
      <w:r w:rsidRPr="00C31ACD">
        <w:t>.5 напомнила о том, что на своей предыдущей сессии она одобрила продление мандата этой группы еще на один год после окончательного утверждения Исполкомом, с тем чтобы она представила свой окончательный доклад Рабочей группе в сентябре 2019 года.</w:t>
      </w:r>
    </w:p>
    <w:p w:rsidR="00C31ACD" w:rsidRPr="00C31ACD" w:rsidRDefault="00C31ACD" w:rsidP="00C31ACD">
      <w:pPr>
        <w:pStyle w:val="SingleTxtG"/>
      </w:pPr>
      <w:r w:rsidRPr="00C31ACD">
        <w:t>20.</w:t>
      </w:r>
      <w:r w:rsidRPr="00C31ACD">
        <w:tab/>
        <w:t>На своей предыдущей сессии Группа экспертов пришла к выводу о том, что работа правительств по выявлению «горячих точек» представляет собой сложный и длительный процесс, в рамках которого сопоставление точных данных по транспортной инфраструктуре с прогнозами климатических факторов является лишь первым шагом. Следует провести подробный анализ геоморфологических ус</w:t>
      </w:r>
      <w:r w:rsidR="00BF65F8">
        <w:t>ловий, а </w:t>
      </w:r>
      <w:r w:rsidRPr="00C31ACD">
        <w:t>также состояния, качества и технических характеристик транспортной инфраструктуры и ее подверженности воздействию климатических изменений. Кроме того, следует использовать соответствующие показатели, позволяющие измерять такие характеристики, как подверженность воздействию, уязвимость и критичность элементов транспортных сетей, а также должны учитываться прогнозы, касающиеся интенсивности дорожного движения и землепользования; следует также выработать четкое и согласованное определение понятия «горячая точка».</w:t>
      </w:r>
    </w:p>
    <w:p w:rsidR="00C31ACD" w:rsidRPr="00C31ACD" w:rsidRDefault="00C31ACD" w:rsidP="00C31ACD">
      <w:pPr>
        <w:pStyle w:val="SingleTxtG"/>
      </w:pPr>
      <w:r w:rsidRPr="00C31ACD">
        <w:t>21.</w:t>
      </w:r>
      <w:r w:rsidRPr="00C31ACD">
        <w:tab/>
        <w:t>Кроме того, эксперты согласились с тем, что картографирование таких «горячих точек» в собственных странах/регионах могли бы осуществлять только те государства, которые уже создали соответствующую правительственную структуру и уже приступили к анализу этих «горячих точек»; вместе с тем даже эти страны столкнутся с ограничениями в плане доступности, охвата и пространственного разрешения данных, необходимых для полного анализа ситуации в своем транспортном секторе.</w:t>
      </w:r>
    </w:p>
    <w:p w:rsidR="00C31ACD" w:rsidRPr="00C31ACD" w:rsidRDefault="00C31ACD" w:rsidP="00C31ACD">
      <w:pPr>
        <w:pStyle w:val="SingleTxtG"/>
      </w:pPr>
      <w:r w:rsidRPr="00C31ACD">
        <w:t>22.</w:t>
      </w:r>
      <w:r w:rsidRPr="00C31ACD">
        <w:tab/>
        <w:t>Рабочая группа с удовлетворением отметила сотрудничество с ВМО, охарактеризовав его как крайне положительный пример межучрежденческого сотрудничества, и выразила признательность ее представителю за ее поддержку и вклад. Рабочая группа приняла к сведению информацию, переданную секретариатом, и поручила секретариату на ее следующей сессии дополнительно проинформировать о ходе работы Группы экспертов.</w:t>
      </w:r>
    </w:p>
    <w:p w:rsidR="00C31ACD" w:rsidRPr="00C31ACD" w:rsidRDefault="00C31ACD" w:rsidP="00C31ACD">
      <w:pPr>
        <w:pStyle w:val="SingleTxtG"/>
      </w:pPr>
      <w:r w:rsidRPr="00C31ACD">
        <w:t>23.</w:t>
      </w:r>
      <w:r w:rsidRPr="00C31ACD">
        <w:tab/>
        <w:t>Вместе с тем</w:t>
      </w:r>
      <w:r w:rsidR="00734A25">
        <w:t>,</w:t>
      </w:r>
      <w:r w:rsidRPr="00C31ACD">
        <w:t xml:space="preserve"> для того чтобы Группа смогла завершить свою работу и достичь поставленных целей в соответствии с положениями о ее круге ведения, предстоит еще многое сделать, в том числе создать «карту горячих точек». В</w:t>
      </w:r>
      <w:r w:rsidRPr="00C31ACD">
        <w:rPr>
          <w:lang w:val="en-GB"/>
        </w:rPr>
        <w:t> </w:t>
      </w:r>
      <w:r w:rsidRPr="00C31ACD">
        <w:t>этой связи Группа просила Рабочую группу продлить ее мандат на основе того же круга ведения еще на один год.</w:t>
      </w:r>
    </w:p>
    <w:p w:rsidR="00C31ACD" w:rsidRPr="00C31ACD" w:rsidRDefault="00C31ACD" w:rsidP="006D016A">
      <w:pPr>
        <w:pStyle w:val="H23G"/>
      </w:pPr>
      <w:r w:rsidRPr="00C31ACD">
        <w:lastRenderedPageBreak/>
        <w:tab/>
        <w:t>2.</w:t>
      </w:r>
      <w:r w:rsidRPr="00C31ACD">
        <w:tab/>
        <w:t>Группа экспертов по сопоставительному анализу затрат на</w:t>
      </w:r>
      <w:r w:rsidR="006D016A" w:rsidRPr="006D016A">
        <w:t xml:space="preserve"> </w:t>
      </w:r>
      <w:r w:rsidRPr="00C31ACD">
        <w:t>строительство транспортной инфраструктуры</w:t>
      </w:r>
    </w:p>
    <w:p w:rsidR="00C31ACD" w:rsidRPr="00C31ACD" w:rsidRDefault="00C31ACD" w:rsidP="00C31ACD">
      <w:pPr>
        <w:pStyle w:val="SingleTxtG"/>
      </w:pPr>
      <w:r w:rsidRPr="00C31ACD">
        <w:t>24.</w:t>
      </w:r>
      <w:r w:rsidRPr="00C31ACD">
        <w:tab/>
        <w:t>Сопоставительный анализ затрат на строительство транспортной инфраструктуры имеет крайне важное значение для получения представления о реальной стоимости строительства, усиления руководства и реализации стабильной инвестиционной программы без непредвиденного роста затрат. Такой анализ строительных затрат может быть полезным также для составления сметы проектных расходов и контроля за ними.</w:t>
      </w:r>
    </w:p>
    <w:p w:rsidR="00C31ACD" w:rsidRPr="00C31ACD" w:rsidRDefault="00C31ACD" w:rsidP="00C31ACD">
      <w:pPr>
        <w:pStyle w:val="SingleTxtG"/>
      </w:pPr>
      <w:r w:rsidRPr="00C31ACD">
        <w:t>25.</w:t>
      </w:r>
      <w:r w:rsidRPr="00C31ACD">
        <w:tab/>
        <w:t xml:space="preserve">Председатель Группы экспертов проинформировал </w:t>
      </w:r>
      <w:r w:rsidRPr="00C31ACD">
        <w:rPr>
          <w:lang w:val="en-US"/>
        </w:rPr>
        <w:t>WP</w:t>
      </w:r>
      <w:r w:rsidRPr="00C31ACD">
        <w:t xml:space="preserve">.5 на ее тридцать </w:t>
      </w:r>
      <w:r w:rsidR="006D016A">
        <w:t>пятой сессии (Женева, 3–</w:t>
      </w:r>
      <w:r w:rsidRPr="00C31ACD">
        <w:t>5 сентября 2018 года) о работе, проделанной в ходе трех совещаний Группы, состоявшихся после предыдущей сессии Рабочей группы. Рабочая группа отметила, что для всех видов транспорта, включая интермодальные терминалы и порты, были подготовлены подгруппы под руководством представителей правительств, железнодорожных предприятий, а</w:t>
      </w:r>
      <w:r w:rsidR="006D016A">
        <w:t>ссоциаций или Рабочей группы. В </w:t>
      </w:r>
      <w:r w:rsidRPr="00C31ACD">
        <w:t>рамках сопоставительного анализа по пяти обсуждаемым вопросам, а именно по автомобильным и железным дорогам, внутреннему водному транспорту, портам и интермодальным терминалам</w:t>
      </w:r>
      <w:r w:rsidR="00BF65F8">
        <w:t>,</w:t>
      </w:r>
      <w:r w:rsidRPr="00C31ACD">
        <w:t xml:space="preserve"> были подготовлены проекты терминологии и вопросники для сбора данных. По автомобильным дорогам терминология и вопросник уже были направлены правительствам для сбора соответствующих данных. По всем другим видам транспорта в настоящее время проводится работа, в связи с которой необходимы предложения правительств.</w:t>
      </w:r>
    </w:p>
    <w:p w:rsidR="00C31ACD" w:rsidRPr="00C31ACD" w:rsidRDefault="00C31ACD" w:rsidP="00C31ACD">
      <w:pPr>
        <w:pStyle w:val="SingleTxtG"/>
      </w:pPr>
      <w:r w:rsidRPr="00C31ACD">
        <w:t>26.</w:t>
      </w:r>
      <w:r w:rsidRPr="00C31ACD">
        <w:tab/>
        <w:t xml:space="preserve">Председатель группы экспертов заявил том, что для достижения целей, поставленных перед Группой экспертов, и представления окончательного доклада потребуется дополнительное время. </w:t>
      </w:r>
      <w:r w:rsidRPr="00C31ACD">
        <w:rPr>
          <w:lang w:val="en-US"/>
        </w:rPr>
        <w:t>WP</w:t>
      </w:r>
      <w:r w:rsidRPr="00C31ACD">
        <w:t xml:space="preserve">.5 высоко оценила работу, проделанную Группой экспертов, и поблагодарила экспертов за их усилия и вклад. </w:t>
      </w:r>
      <w:r w:rsidRPr="00C31ACD">
        <w:rPr>
          <w:lang w:val="en-US"/>
        </w:rPr>
        <w:t>WP</w:t>
      </w:r>
      <w:r w:rsidRPr="00C31ACD">
        <w:t>.5 также признала существование проблемы, с которыми сталкивается Группа экспертов и в этой связи приняла решение одобрить продление мандата Группы экспертов еще на один год. Решение о таком продлении на один год следует реализовать после окончательного утверждения Исполнительным комитетом (Исполкомом) в 2019 году, с тем чтобы эксперты имели возможность встретиться по крайней мере четыре раза, прежде чем представить свой заключительный доклад на тридцать третьей сессии Рабочей группы в 2020 году.</w:t>
      </w:r>
    </w:p>
    <w:p w:rsidR="00C31ACD" w:rsidRPr="00C31ACD" w:rsidRDefault="00C31ACD" w:rsidP="00C31ACD">
      <w:pPr>
        <w:pStyle w:val="SingleTxtG"/>
      </w:pPr>
      <w:r w:rsidRPr="00C31ACD">
        <w:t>27.</w:t>
      </w:r>
      <w:r w:rsidRPr="00C31ACD">
        <w:tab/>
        <w:t>Рабочая группа приняла к сведению информацию, представленную Председателем Группы и секретариатом, и поручила секретариату представить на ее следующей сессии более подробную информацию по данному вопросу.</w:t>
      </w:r>
    </w:p>
    <w:p w:rsidR="00C31ACD" w:rsidRPr="00C31ACD" w:rsidRDefault="00C31ACD" w:rsidP="006D016A">
      <w:pPr>
        <w:pStyle w:val="H1G"/>
      </w:pPr>
      <w:r w:rsidRPr="00C31ACD">
        <w:tab/>
      </w:r>
      <w:r w:rsidRPr="00C31ACD">
        <w:rPr>
          <w:lang w:val="en-GB"/>
        </w:rPr>
        <w:t>D</w:t>
      </w:r>
      <w:r w:rsidRPr="00C31ACD">
        <w:t>.</w:t>
      </w:r>
      <w:r w:rsidRPr="00C31ACD">
        <w:tab/>
        <w:t>Проекты</w:t>
      </w:r>
    </w:p>
    <w:p w:rsidR="00C31ACD" w:rsidRPr="00C31ACD" w:rsidRDefault="00C31ACD" w:rsidP="006D016A">
      <w:pPr>
        <w:pStyle w:val="H23G"/>
      </w:pPr>
      <w:r w:rsidRPr="00C31ACD">
        <w:tab/>
        <w:t>1.</w:t>
      </w:r>
      <w:r w:rsidRPr="00C31ACD">
        <w:tab/>
        <w:t>Общеевропейский генеральный п</w:t>
      </w:r>
      <w:r w:rsidR="006D016A">
        <w:t>лан развития инфраструктуры для </w:t>
      </w:r>
      <w:r w:rsidRPr="00C31ACD">
        <w:t>велосипедного движения</w:t>
      </w:r>
    </w:p>
    <w:p w:rsidR="00C31ACD" w:rsidRPr="00C31ACD" w:rsidRDefault="00C31ACD" w:rsidP="00C31ACD">
      <w:pPr>
        <w:pStyle w:val="SingleTxtG"/>
      </w:pPr>
      <w:r w:rsidRPr="00C31ACD">
        <w:t>28.</w:t>
      </w:r>
      <w:r w:rsidRPr="00C31ACD">
        <w:tab/>
        <w:t>Рабочая группа напомнила о том, что на своей предыдущей сессии она была проинформирована секретариатом о сотрудничестве с ОПТОСОЗ в разработке инфраструктурного модуля для Общеевропейского генерального плана развития инфраструктуры для велосипедного движения (</w:t>
      </w:r>
      <w:r w:rsidRPr="00C31ACD">
        <w:rPr>
          <w:lang w:val="en-GB"/>
        </w:rPr>
        <w:t>ECE</w:t>
      </w:r>
      <w:r w:rsidRPr="00C31ACD">
        <w:t>/</w:t>
      </w:r>
      <w:r w:rsidRPr="00C31ACD">
        <w:rPr>
          <w:lang w:val="en-GB"/>
        </w:rPr>
        <w:t>TRANS</w:t>
      </w:r>
      <w:r w:rsidRPr="00C31ACD">
        <w:t>/</w:t>
      </w:r>
      <w:r w:rsidRPr="00C31ACD">
        <w:rPr>
          <w:lang w:val="en-GB"/>
        </w:rPr>
        <w:t>WP</w:t>
      </w:r>
      <w:r w:rsidRPr="00C31ACD">
        <w:t>.5/2016/4), основанного на методологии, используемой для других проектов ЕЭК в области транспортной инфраструктуры, в частности для ТЕА и ТЕЖ.</w:t>
      </w:r>
    </w:p>
    <w:p w:rsidR="00C31ACD" w:rsidRPr="00C31ACD" w:rsidRDefault="00C31ACD" w:rsidP="00C31ACD">
      <w:pPr>
        <w:pStyle w:val="SingleTxtG"/>
      </w:pPr>
      <w:r w:rsidRPr="00C31ACD">
        <w:t>29.</w:t>
      </w:r>
      <w:r w:rsidRPr="00C31ACD">
        <w:tab/>
        <w:t>Секретариат проинформировал Рабочую группу о том, что проект доклада был подготовлен консультантами (неофициальный документ № 5) и включает в себя карты инфраструктуры велосипедного движения большинства стран велосипедного партнерства ОПТОСОЗ и их столиц.</w:t>
      </w:r>
    </w:p>
    <w:p w:rsidR="00C31ACD" w:rsidRPr="00C31ACD" w:rsidRDefault="00C31ACD" w:rsidP="00C31ACD">
      <w:pPr>
        <w:pStyle w:val="SingleTxtG"/>
      </w:pPr>
      <w:r w:rsidRPr="00C31ACD">
        <w:t>30.</w:t>
      </w:r>
      <w:r w:rsidRPr="00C31ACD">
        <w:tab/>
        <w:t>Рабочая группа выразила признательность секретариату за представленную информацию и поручила представить более подробную информацию по этой теме на ее следующей сессии.</w:t>
      </w:r>
    </w:p>
    <w:p w:rsidR="00C31ACD" w:rsidRPr="00C31ACD" w:rsidRDefault="00C31ACD" w:rsidP="006D016A">
      <w:pPr>
        <w:pStyle w:val="H23G"/>
      </w:pPr>
      <w:r w:rsidRPr="00C31ACD">
        <w:lastRenderedPageBreak/>
        <w:tab/>
        <w:t>2.</w:t>
      </w:r>
      <w:r w:rsidRPr="00C31ACD">
        <w:tab/>
        <w:t>Международный центр мониторинга транспортной инфраструктуры</w:t>
      </w:r>
    </w:p>
    <w:p w:rsidR="00C31ACD" w:rsidRPr="000171DE" w:rsidRDefault="00C31ACD" w:rsidP="00C31ACD">
      <w:pPr>
        <w:pStyle w:val="SingleTxtG"/>
      </w:pPr>
      <w:r w:rsidRPr="00C31ACD">
        <w:t>31.</w:t>
      </w:r>
      <w:r w:rsidRPr="00C31ACD">
        <w:tab/>
        <w:t>Рабочая группа напомнила о том, что на своей предыдущей сессии была проинформирована о создании центра мониторинга транспортной инфраструктуры в Европе и Азии, который должен охватывать все существующие инициативы в области развития транспортной инфраструктуры на Европейском и Азиатском континентах (</w:t>
      </w:r>
      <w:r w:rsidRPr="00C31ACD">
        <w:rPr>
          <w:lang w:val="en-GB"/>
        </w:rPr>
        <w:t>ECE</w:t>
      </w:r>
      <w:r w:rsidRPr="00C31ACD">
        <w:t>/</w:t>
      </w:r>
      <w:r w:rsidRPr="00C31ACD">
        <w:rPr>
          <w:lang w:val="en-GB"/>
        </w:rPr>
        <w:t>TRANS</w:t>
      </w:r>
      <w:r w:rsidRPr="00C31ACD">
        <w:t>/</w:t>
      </w:r>
      <w:r w:rsidRPr="00C31ACD">
        <w:rPr>
          <w:lang w:val="en-GB"/>
        </w:rPr>
        <w:t>WP</w:t>
      </w:r>
      <w:r w:rsidRPr="00C31ACD">
        <w:t>.5/2016/3</w:t>
      </w:r>
      <w:r w:rsidR="00BF65F8" w:rsidRPr="00BF65F8">
        <w:t xml:space="preserve">, </w:t>
      </w:r>
      <w:r w:rsidR="00BF65F8" w:rsidRPr="00BF65F8">
        <w:rPr>
          <w:lang w:val="en-GB"/>
        </w:rPr>
        <w:t>ECE</w:t>
      </w:r>
      <w:r w:rsidR="00BF65F8" w:rsidRPr="00BF65F8">
        <w:t>/</w:t>
      </w:r>
      <w:r w:rsidR="00BF65F8" w:rsidRPr="00BF65F8">
        <w:rPr>
          <w:lang w:val="en-GB"/>
        </w:rPr>
        <w:t>TRANS</w:t>
      </w:r>
      <w:r w:rsidR="00BF65F8" w:rsidRPr="00BF65F8">
        <w:t>/2018/4</w:t>
      </w:r>
      <w:r w:rsidRPr="00C31ACD">
        <w:t xml:space="preserve">). С дополнительной информацией об этом центре мониторинга можно ознакомиться по адресу </w:t>
      </w:r>
      <w:hyperlink r:id="rId30" w:history="1">
        <w:r w:rsidRPr="000171DE">
          <w:rPr>
            <w:rStyle w:val="af1"/>
            <w:color w:val="auto"/>
            <w:lang w:val="en-GB"/>
          </w:rPr>
          <w:t>www</w:t>
        </w:r>
      </w:hyperlink>
      <w:hyperlink r:id="rId31" w:history="1">
        <w:r w:rsidRPr="000171DE">
          <w:rPr>
            <w:rStyle w:val="af1"/>
            <w:color w:val="auto"/>
          </w:rPr>
          <w:t>.</w:t>
        </w:r>
      </w:hyperlink>
      <w:hyperlink r:id="rId32" w:history="1">
        <w:r w:rsidRPr="000171DE">
          <w:rPr>
            <w:rStyle w:val="af1"/>
            <w:color w:val="auto"/>
            <w:lang w:val="en-GB"/>
          </w:rPr>
          <w:t>unece</w:t>
        </w:r>
      </w:hyperlink>
      <w:hyperlink r:id="rId33" w:history="1">
        <w:r w:rsidRPr="000171DE">
          <w:rPr>
            <w:rStyle w:val="af1"/>
            <w:color w:val="auto"/>
          </w:rPr>
          <w:t>.</w:t>
        </w:r>
      </w:hyperlink>
      <w:hyperlink r:id="rId34" w:history="1">
        <w:r w:rsidRPr="000171DE">
          <w:rPr>
            <w:rStyle w:val="af1"/>
            <w:color w:val="auto"/>
            <w:lang w:val="en-GB"/>
          </w:rPr>
          <w:t>org</w:t>
        </w:r>
      </w:hyperlink>
      <w:hyperlink r:id="rId35" w:history="1">
        <w:r w:rsidRPr="000171DE">
          <w:rPr>
            <w:rStyle w:val="af1"/>
            <w:color w:val="auto"/>
          </w:rPr>
          <w:t>/</w:t>
        </w:r>
      </w:hyperlink>
      <w:hyperlink r:id="rId36" w:history="1">
        <w:r w:rsidRPr="000171DE">
          <w:rPr>
            <w:rStyle w:val="af1"/>
            <w:color w:val="auto"/>
            <w:lang w:val="en-GB"/>
          </w:rPr>
          <w:t>trans</w:t>
        </w:r>
      </w:hyperlink>
      <w:hyperlink r:id="rId37" w:history="1">
        <w:r w:rsidRPr="000171DE">
          <w:rPr>
            <w:rStyle w:val="af1"/>
            <w:color w:val="auto"/>
          </w:rPr>
          <w:t>/</w:t>
        </w:r>
      </w:hyperlink>
      <w:r w:rsidR="00BF65F8">
        <w:t xml:space="preserve"> </w:t>
      </w:r>
      <w:hyperlink r:id="rId38" w:history="1">
        <w:r w:rsidRPr="000171DE">
          <w:rPr>
            <w:rStyle w:val="af1"/>
            <w:color w:val="auto"/>
            <w:lang w:val="en-GB"/>
          </w:rPr>
          <w:t>main</w:t>
        </w:r>
      </w:hyperlink>
      <w:hyperlink r:id="rId39" w:history="1">
        <w:r w:rsidRPr="000171DE">
          <w:rPr>
            <w:rStyle w:val="af1"/>
            <w:color w:val="auto"/>
          </w:rPr>
          <w:t>/</w:t>
        </w:r>
      </w:hyperlink>
      <w:hyperlink r:id="rId40" w:history="1">
        <w:r w:rsidRPr="000171DE">
          <w:rPr>
            <w:rStyle w:val="af1"/>
            <w:color w:val="auto"/>
            <w:lang w:val="en-GB"/>
          </w:rPr>
          <w:t>wp</w:t>
        </w:r>
      </w:hyperlink>
      <w:hyperlink r:id="rId41" w:history="1">
        <w:r w:rsidRPr="000171DE">
          <w:rPr>
            <w:rStyle w:val="af1"/>
            <w:color w:val="auto"/>
          </w:rPr>
          <w:t>5/</w:t>
        </w:r>
      </w:hyperlink>
      <w:r w:rsidR="006D016A" w:rsidRPr="00F46063">
        <w:t xml:space="preserve"> </w:t>
      </w:r>
      <w:hyperlink r:id="rId42" w:history="1">
        <w:r w:rsidRPr="000171DE">
          <w:rPr>
            <w:rStyle w:val="af1"/>
            <w:color w:val="auto"/>
            <w:lang w:val="en-GB"/>
          </w:rPr>
          <w:t>international</w:t>
        </w:r>
      </w:hyperlink>
      <w:hyperlink r:id="rId43" w:history="1">
        <w:r w:rsidRPr="000171DE">
          <w:rPr>
            <w:rStyle w:val="af1"/>
            <w:color w:val="auto"/>
          </w:rPr>
          <w:t>_</w:t>
        </w:r>
      </w:hyperlink>
      <w:hyperlink r:id="rId44" w:history="1">
        <w:r w:rsidRPr="000171DE">
          <w:rPr>
            <w:rStyle w:val="af1"/>
            <w:color w:val="auto"/>
            <w:lang w:val="en-GB"/>
          </w:rPr>
          <w:t>transport</w:t>
        </w:r>
      </w:hyperlink>
      <w:hyperlink r:id="rId45" w:history="1">
        <w:r w:rsidRPr="000171DE">
          <w:rPr>
            <w:rStyle w:val="af1"/>
            <w:color w:val="auto"/>
          </w:rPr>
          <w:t>_</w:t>
        </w:r>
      </w:hyperlink>
      <w:hyperlink r:id="rId46" w:history="1">
        <w:r w:rsidRPr="000171DE">
          <w:rPr>
            <w:rStyle w:val="af1"/>
            <w:color w:val="auto"/>
            <w:lang w:val="en-GB"/>
          </w:rPr>
          <w:t>infrastructure</w:t>
        </w:r>
      </w:hyperlink>
      <w:hyperlink r:id="rId47" w:history="1">
        <w:r w:rsidRPr="000171DE">
          <w:rPr>
            <w:rStyle w:val="af1"/>
            <w:color w:val="auto"/>
          </w:rPr>
          <w:t>_</w:t>
        </w:r>
      </w:hyperlink>
      <w:hyperlink r:id="rId48" w:history="1">
        <w:r w:rsidRPr="000171DE">
          <w:rPr>
            <w:rStyle w:val="af1"/>
            <w:color w:val="auto"/>
            <w:lang w:val="en-GB"/>
          </w:rPr>
          <w:t>observatory</w:t>
        </w:r>
      </w:hyperlink>
      <w:hyperlink r:id="rId49" w:history="1">
        <w:r w:rsidRPr="000171DE">
          <w:rPr>
            <w:rStyle w:val="af1"/>
            <w:color w:val="auto"/>
          </w:rPr>
          <w:t>.</w:t>
        </w:r>
      </w:hyperlink>
      <w:hyperlink r:id="rId50" w:history="1">
        <w:r w:rsidRPr="000171DE">
          <w:rPr>
            <w:rStyle w:val="af1"/>
            <w:color w:val="auto"/>
            <w:lang w:val="en-GB"/>
          </w:rPr>
          <w:t>html</w:t>
        </w:r>
      </w:hyperlink>
      <w:r w:rsidRPr="000171DE">
        <w:t>.</w:t>
      </w:r>
    </w:p>
    <w:p w:rsidR="00C31ACD" w:rsidRPr="00C31ACD" w:rsidRDefault="00C31ACD" w:rsidP="00C31ACD">
      <w:pPr>
        <w:pStyle w:val="SingleTxtG"/>
      </w:pPr>
      <w:r w:rsidRPr="00C31ACD">
        <w:t>32.</w:t>
      </w:r>
      <w:r w:rsidRPr="00C31ACD">
        <w:tab/>
        <w:t xml:space="preserve">Секретариат проинформировал Рабочую группу о том, что создание этого центра мониторинга осуществляется на средства, полученные Исламским банком развития для финансирования аналогичного проекта в области транспортной инфраструктуры «Укрепление региональных связей посредством создания географической информационной системы (ГИС)». Центр мониторинга является новаторским примером того, как правительственные данные о новых проектах в области транспортной инфраструктуры будут представляться финансовым учреждениям прозрачным, всеобъемлющим и приемлемым для финансирования образом. Центр мониторинга задуман как онлайновая платформа, которая поможет: </w:t>
      </w:r>
      <w:r w:rsidRPr="00C31ACD">
        <w:rPr>
          <w:lang w:val="en-GB"/>
        </w:rPr>
        <w:t>a</w:t>
      </w:r>
      <w:r w:rsidRPr="00C31ACD">
        <w:t>)</w:t>
      </w:r>
      <w:r w:rsidRPr="00C31ACD">
        <w:rPr>
          <w:lang w:val="en-GB"/>
        </w:rPr>
        <w:t> </w:t>
      </w:r>
      <w:r w:rsidRPr="00C31ACD">
        <w:t xml:space="preserve">правительствам в поиске данных для подготовки, сравнительной оценки и представления своих проектов в области транспортной инфраструктуры и </w:t>
      </w:r>
      <w:r w:rsidRPr="00C31ACD">
        <w:rPr>
          <w:lang w:val="en-GB"/>
        </w:rPr>
        <w:t>b</w:t>
      </w:r>
      <w:r w:rsidRPr="00C31ACD">
        <w:t>)</w:t>
      </w:r>
      <w:r w:rsidRPr="00C31ACD">
        <w:rPr>
          <w:lang w:val="en-GB"/>
        </w:rPr>
        <w:t> </w:t>
      </w:r>
      <w:r w:rsidRPr="00C31ACD">
        <w:t>финансовым учреждениям в рассм</w:t>
      </w:r>
      <w:r w:rsidR="00734A25">
        <w:t>о</w:t>
      </w:r>
      <w:r w:rsidRPr="00C31ACD">
        <w:t>трении, анализе и сравнении проектов с региональной/международной точки зрения, а также в выявлении проектов, приемлемых для финансирования.</w:t>
      </w:r>
    </w:p>
    <w:p w:rsidR="00C31ACD" w:rsidRPr="00C31ACD" w:rsidRDefault="00C31ACD" w:rsidP="00C31ACD">
      <w:pPr>
        <w:pStyle w:val="SingleTxtG"/>
      </w:pPr>
      <w:r w:rsidRPr="00C31ACD">
        <w:t>33.</w:t>
      </w:r>
      <w:r w:rsidRPr="00C31ACD">
        <w:tab/>
      </w:r>
      <w:r w:rsidRPr="00C31ACD">
        <w:rPr>
          <w:lang w:val="en-GB"/>
        </w:rPr>
        <w:t>WP</w:t>
      </w:r>
      <w:r w:rsidRPr="00C31ACD">
        <w:t>.5 просила представить на своей следующей сессии дополнительную обновленную информацию по этому вопросу.</w:t>
      </w:r>
    </w:p>
    <w:p w:rsidR="00C31ACD" w:rsidRPr="00C31ACD" w:rsidRDefault="00C31ACD" w:rsidP="000171DE">
      <w:pPr>
        <w:pStyle w:val="H23G"/>
      </w:pPr>
      <w:r w:rsidRPr="00C31ACD">
        <w:tab/>
        <w:t>3.</w:t>
      </w:r>
      <w:r w:rsidRPr="00C31ACD">
        <w:tab/>
        <w:t xml:space="preserve">Устойчивое транспортное сообщение и осуществление </w:t>
      </w:r>
      <w:r w:rsidRPr="00C31ACD">
        <w:rPr>
          <w:bCs/>
        </w:rPr>
        <w:t xml:space="preserve">связанных </w:t>
      </w:r>
      <w:r w:rsidR="000171DE">
        <w:rPr>
          <w:bCs/>
        </w:rPr>
        <w:br/>
      </w:r>
      <w:r w:rsidRPr="00C31ACD">
        <w:rPr>
          <w:bCs/>
        </w:rPr>
        <w:t>с транспортом ЦУР в отдельных странах, не имеющих выхода к морю, и</w:t>
      </w:r>
      <w:r w:rsidR="000171DE">
        <w:t> </w:t>
      </w:r>
      <w:r w:rsidRPr="00C31ACD">
        <w:t>транзитных/связующих странах</w:t>
      </w:r>
    </w:p>
    <w:p w:rsidR="00C31ACD" w:rsidRPr="00C31ACD" w:rsidRDefault="00C31ACD" w:rsidP="00C31ACD">
      <w:pPr>
        <w:pStyle w:val="SingleTxtG"/>
      </w:pPr>
      <w:r w:rsidRPr="00C31ACD">
        <w:t>34.</w:t>
      </w:r>
      <w:r w:rsidRPr="00C31ACD">
        <w:tab/>
        <w:t>По линии Счета развития Организации Объединенных Наций (СРООН) было получено финансирование (в размере 550</w:t>
      </w:r>
      <w:r w:rsidR="00BF65F8">
        <w:t> </w:t>
      </w:r>
      <w:r w:rsidRPr="00C31ACD">
        <w:t xml:space="preserve">200 долл. США) в рамках проекта «Устойчивое транспортное сообщение и осуществление </w:t>
      </w:r>
      <w:r w:rsidRPr="00C31ACD">
        <w:rPr>
          <w:bCs/>
        </w:rPr>
        <w:t>связанных с транспортом ЦУР в отдельных странах, не имеющих выхода к морю, и</w:t>
      </w:r>
      <w:r w:rsidRPr="00C31ACD">
        <w:t xml:space="preserve"> транзитных/связующих странах». В рамках этого проекта, реализация которого продлится с сентября 2018 года по декабрь 2020 года, будет разработан набор показателей устойчивого внутреннего транспортного сообщения (НПУВТС), на основе которого страны смогут проанализировать эффективность и действенность своих транспортных систем и уровень соответствия национальных административных и правовых рамок правовым документам Организации Объединенных Наций в области транспорта. Этот проект, направленный на оказание прямой поддержки Венской программе действий для РСНВМ</w:t>
      </w:r>
      <w:r w:rsidRPr="00C31ACD">
        <w:rPr>
          <w:vertAlign w:val="superscript"/>
        </w:rPr>
        <w:footnoteReference w:id="1"/>
      </w:r>
      <w:r w:rsidRPr="00C31ACD">
        <w:t xml:space="preserve"> и Повестке дня в области устойчивого развития на период до 2030 года, будет осуществляться совместно с ЕЭК (в качестве учреждения-руководителя), ЭСКЗА и ЭКЛАК. Он позволит укрепить потенциал четырех стран, не имеющих выхода к морю, и </w:t>
      </w:r>
      <w:r w:rsidR="00335701">
        <w:t xml:space="preserve">одной </w:t>
      </w:r>
      <w:r w:rsidRPr="00C31ACD">
        <w:t>стран</w:t>
      </w:r>
      <w:r w:rsidR="00335701">
        <w:t>ы</w:t>
      </w:r>
      <w:r w:rsidRPr="00C31ACD">
        <w:t xml:space="preserve"> транзита (т.</w:t>
      </w:r>
      <w:r w:rsidR="000171DE">
        <w:rPr>
          <w:lang w:val="en-US"/>
        </w:rPr>
        <w:t> </w:t>
      </w:r>
      <w:r w:rsidRPr="00C31ACD">
        <w:t>е. Грузии, Иордании, Казахстана, Парагвая и Сербии) в области разработки и осуществления соответствующих фактическим условиям стратегических рамок.</w:t>
      </w:r>
    </w:p>
    <w:p w:rsidR="00C31ACD" w:rsidRPr="00C31ACD" w:rsidRDefault="00C31ACD" w:rsidP="00C31ACD">
      <w:pPr>
        <w:pStyle w:val="SingleTxtG"/>
      </w:pPr>
      <w:r w:rsidRPr="00C31ACD">
        <w:t>35.</w:t>
      </w:r>
      <w:r w:rsidRPr="00C31ACD">
        <w:tab/>
        <w:t xml:space="preserve">Обновленная информация о ходе осуществления этого проекта, будет регулярно представляться на предстоящих совещаниях </w:t>
      </w:r>
      <w:r w:rsidRPr="00C31ACD">
        <w:rPr>
          <w:lang w:val="en-GB"/>
        </w:rPr>
        <w:t>WP</w:t>
      </w:r>
      <w:r w:rsidRPr="00C31ACD">
        <w:t>.5.</w:t>
      </w:r>
    </w:p>
    <w:p w:rsidR="00C31ACD" w:rsidRPr="00C31ACD" w:rsidRDefault="00C31ACD" w:rsidP="000171DE">
      <w:pPr>
        <w:pStyle w:val="H23G"/>
      </w:pPr>
      <w:r w:rsidRPr="00C31ACD">
        <w:tab/>
        <w:t>4.</w:t>
      </w:r>
      <w:r w:rsidRPr="00C31ACD">
        <w:tab/>
        <w:t>«Укрепление потенциала РСНВМ</w:t>
      </w:r>
      <w:r w:rsidR="000171DE">
        <w:t xml:space="preserve"> в рамках инициативы </w:t>
      </w:r>
      <w:r w:rsidR="00BF65F8" w:rsidRPr="00BF65F8">
        <w:t>"</w:t>
      </w:r>
      <w:r w:rsidR="000171DE">
        <w:t>Пояс и путь</w:t>
      </w:r>
      <w:r w:rsidR="00BF65F8" w:rsidRPr="00BF65F8">
        <w:t>"</w:t>
      </w:r>
      <w:r w:rsidRPr="00C31ACD">
        <w:t xml:space="preserve"> для</w:t>
      </w:r>
      <w:r w:rsidR="000171DE">
        <w:t> </w:t>
      </w:r>
      <w:r w:rsidRPr="00C31ACD">
        <w:t>разработки и осуществления политики, направленной на поощрение транспортных связей в интересах достижения ЦУР»</w:t>
      </w:r>
    </w:p>
    <w:p w:rsidR="00C31ACD" w:rsidRPr="00C31ACD" w:rsidRDefault="00C31ACD" w:rsidP="00C31ACD">
      <w:pPr>
        <w:pStyle w:val="SingleTxtG"/>
      </w:pPr>
      <w:r w:rsidRPr="00C31ACD">
        <w:t>36.</w:t>
      </w:r>
      <w:r w:rsidRPr="00C31ACD">
        <w:tab/>
        <w:t>По линии СРООН были выделены средства (773</w:t>
      </w:r>
      <w:r w:rsidR="00734A25">
        <w:t> </w:t>
      </w:r>
      <w:r w:rsidRPr="00C31ACD">
        <w:t>805 фунтов стерлингов) для КВПНРМ, ЕЭК, ЭСКАТО и других региональных комиссий, являющихся партнерами-исполнителями проекта под названием «</w:t>
      </w:r>
      <w:r w:rsidRPr="00C31ACD">
        <w:rPr>
          <w:bCs/>
        </w:rPr>
        <w:t xml:space="preserve">Укрепление потенциала </w:t>
      </w:r>
      <w:r w:rsidRPr="00C31ACD">
        <w:t>РСНВМ</w:t>
      </w:r>
      <w:r w:rsidR="000171DE">
        <w:rPr>
          <w:bCs/>
        </w:rPr>
        <w:t xml:space="preserve"> в рамках </w:t>
      </w:r>
      <w:r w:rsidR="000171DE">
        <w:rPr>
          <w:bCs/>
        </w:rPr>
        <w:lastRenderedPageBreak/>
        <w:t>инициативы «Пояс и путь»</w:t>
      </w:r>
      <w:r w:rsidRPr="00C31ACD">
        <w:rPr>
          <w:bCs/>
        </w:rPr>
        <w:t xml:space="preserve"> для разработки и осуществления политики, направленной на поощрение транспортных связей в интересах достижения ЦУР</w:t>
      </w:r>
      <w:r w:rsidRPr="00C31ACD">
        <w:t>». Проект получил финансирование в рамках управляемого ДЭСВ «Субфонда для Повестки дня на период до 2030 года Целевого фонда мира и развития ООН». В дополнение к финансированию регионального совещания по среднесрочному обзору Венской программы действий для евро-азиатского и азиа</w:t>
      </w:r>
      <w:r w:rsidR="000171DE">
        <w:t>тско-тихоокеанского регионов (в </w:t>
      </w:r>
      <w:r w:rsidRPr="00C31ACD">
        <w:t>феврале 2019 года) проект позволит провести мероприятия по наращиванию потенциала министерств транспорта РСНВМ с упором на обмен опытом и передачу технологий в области развития транспортной инфраструктуры. На заключительном этапе осуществления проекта будет оказана поддержка двум отобранным РСНВМ, которые участвуют в инициативе «</w:t>
      </w:r>
      <w:r w:rsidRPr="00C31ACD">
        <w:rPr>
          <w:bCs/>
        </w:rPr>
        <w:t>Пояс и путь</w:t>
      </w:r>
      <w:r w:rsidR="00734A25">
        <w:rPr>
          <w:bCs/>
        </w:rPr>
        <w:t>»</w:t>
      </w:r>
      <w:r w:rsidRPr="00C31ACD">
        <w:t xml:space="preserve"> по вопросам подготовки приемлемых для финансирования проектов. На заключительном этапе проекта будет оказана поддержка Азиатскому банку развития и Африканскому банку развития. Осуществление этого проекта начнется в январе 2019 года.</w:t>
      </w:r>
    </w:p>
    <w:p w:rsidR="00C31ACD" w:rsidRPr="00C31ACD" w:rsidRDefault="00C31ACD" w:rsidP="00C31ACD">
      <w:pPr>
        <w:pStyle w:val="SingleTxtG"/>
      </w:pPr>
      <w:r w:rsidRPr="00C31ACD">
        <w:t>37.</w:t>
      </w:r>
      <w:r w:rsidRPr="00C31ACD">
        <w:tab/>
        <w:t>Обновленная информация о хо</w:t>
      </w:r>
      <w:r w:rsidR="00BF65F8">
        <w:t>де осуществления этого проекта</w:t>
      </w:r>
      <w:r w:rsidRPr="00C31ACD">
        <w:t xml:space="preserve"> будет регулярно представляться на предстоящих совещаниях </w:t>
      </w:r>
      <w:r w:rsidRPr="00C31ACD">
        <w:rPr>
          <w:lang w:val="en-GB"/>
        </w:rPr>
        <w:t>WP</w:t>
      </w:r>
      <w:r w:rsidRPr="00C31ACD">
        <w:t>.5.</w:t>
      </w:r>
    </w:p>
    <w:p w:rsidR="00C31ACD" w:rsidRPr="00C31ACD" w:rsidRDefault="00C31ACD" w:rsidP="000171DE">
      <w:pPr>
        <w:pStyle w:val="HChG"/>
      </w:pPr>
      <w:r w:rsidRPr="00C31ACD">
        <w:tab/>
      </w:r>
      <w:r w:rsidRPr="00C31ACD">
        <w:rPr>
          <w:lang w:val="en-GB"/>
        </w:rPr>
        <w:t>II</w:t>
      </w:r>
      <w:r w:rsidRPr="00C31ACD">
        <w:t>.</w:t>
      </w:r>
      <w:r w:rsidRPr="00C31ACD">
        <w:tab/>
        <w:t>Аналитическая деятельность Отдела устойчивого транспорта</w:t>
      </w:r>
    </w:p>
    <w:p w:rsidR="00C31ACD" w:rsidRPr="00C31ACD" w:rsidRDefault="00C31ACD" w:rsidP="000171DE">
      <w:pPr>
        <w:pStyle w:val="H1G"/>
      </w:pPr>
      <w:r w:rsidRPr="00C31ACD">
        <w:tab/>
      </w:r>
      <w:r w:rsidRPr="00C31ACD">
        <w:rPr>
          <w:lang w:val="en-GB"/>
        </w:rPr>
        <w:t>A</w:t>
      </w:r>
      <w:r w:rsidRPr="00C31ACD">
        <w:t>.</w:t>
      </w:r>
      <w:r w:rsidRPr="00C31ACD">
        <w:tab/>
        <w:t>Аналитические инструменты, разработанные Отделом</w:t>
      </w:r>
    </w:p>
    <w:p w:rsidR="00C31ACD" w:rsidRPr="00C31ACD" w:rsidRDefault="00C31ACD" w:rsidP="000171DE">
      <w:pPr>
        <w:pStyle w:val="H23G"/>
      </w:pPr>
      <w:r w:rsidRPr="00C31ACD">
        <w:tab/>
        <w:t>1.</w:t>
      </w:r>
      <w:r w:rsidRPr="00C31ACD">
        <w:tab/>
        <w:t>В интересах будущих систем внутреннего транспорта</w:t>
      </w:r>
    </w:p>
    <w:p w:rsidR="00C31ACD" w:rsidRPr="00C31ACD" w:rsidRDefault="00C31ACD" w:rsidP="00C31ACD">
      <w:pPr>
        <w:pStyle w:val="SingleTxtG"/>
      </w:pPr>
      <w:r w:rsidRPr="00C31ACD">
        <w:t>38.</w:t>
      </w:r>
      <w:r w:rsidRPr="00C31ACD">
        <w:tab/>
        <w:t>Инструмент «В интересах будущих систем внутреннего транспорта» («</w:t>
      </w:r>
      <w:r w:rsidRPr="00C31ACD">
        <w:rPr>
          <w:lang w:val="en-GB"/>
        </w:rPr>
        <w:t>ForFITS</w:t>
      </w:r>
      <w:r w:rsidR="00734A25">
        <w:t>»</w:t>
      </w:r>
      <w:r w:rsidRPr="00C31ACD">
        <w:t>) представляет собой первоклассный аналитический продукт, разработанный в рамках проекта по наращиванию потенциала, который получил финансирование по линии СРООН. В настоящее время проект по созданию инструмента «</w:t>
      </w:r>
      <w:r w:rsidRPr="00C31ACD">
        <w:rPr>
          <w:lang w:val="en-GB"/>
        </w:rPr>
        <w:t>ForFITS</w:t>
      </w:r>
      <w:r w:rsidR="00734A25">
        <w:t>»</w:t>
      </w:r>
      <w:r w:rsidRPr="00C31ACD">
        <w:t xml:space="preserve"> осуществляется в городе Мангейм. В ознаменование двухсот лет изобретения дрезины, ставшей предшественником современного велосипеда, в Мангейме, Германия, была организована двенадцатая «эстафета» рабочего совещания Общеевропейской программы по транспорту, окружающей среде и охране здоровья (ОПТОСОЗ) на тему «Езда на велосипеде и ходьба пешком обеспечивают взаимосвязь между аспектами транспорта, охраны здоровья и окружающей среды» (21 сентября 2017 года). В рамках усилий по накоплению знаний, представляющих интерес для выработки политики, и распространению информации о передовой практике Отделу устойчивого транспорта ЕЭК, являющ</w:t>
      </w:r>
      <w:r w:rsidR="00BF65F8">
        <w:t>ему</w:t>
      </w:r>
      <w:r w:rsidRPr="00C31ACD">
        <w:t>ся одним из трех учредителей ОПТОСОЗ, было предложено подготовить с использованием инструмента «ForFITS» анализ прогнозов выбросов СО</w:t>
      </w:r>
      <w:r w:rsidRPr="00BF65F8">
        <w:rPr>
          <w:vertAlign w:val="subscript"/>
        </w:rPr>
        <w:t>2</w:t>
      </w:r>
      <w:r w:rsidRPr="00C31ACD">
        <w:t xml:space="preserve"> в городе Мангейм.</w:t>
      </w:r>
    </w:p>
    <w:p w:rsidR="00C31ACD" w:rsidRPr="00C31ACD" w:rsidRDefault="00C31ACD" w:rsidP="000171DE">
      <w:pPr>
        <w:pStyle w:val="H1G"/>
      </w:pPr>
      <w:r w:rsidRPr="00C31ACD">
        <w:tab/>
      </w:r>
      <w:r w:rsidRPr="00C31ACD">
        <w:rPr>
          <w:lang w:val="en-GB"/>
        </w:rPr>
        <w:t>B</w:t>
      </w:r>
      <w:r w:rsidRPr="00C31ACD">
        <w:t>.</w:t>
      </w:r>
      <w:r w:rsidRPr="00C31ACD">
        <w:tab/>
        <w:t xml:space="preserve">Публикации </w:t>
      </w:r>
      <w:r w:rsidR="000171DE">
        <w:t>–</w:t>
      </w:r>
      <w:r w:rsidRPr="00C31ACD">
        <w:t xml:space="preserve"> исследования</w:t>
      </w:r>
    </w:p>
    <w:p w:rsidR="00C31ACD" w:rsidRPr="00C31ACD" w:rsidRDefault="00C31ACD" w:rsidP="000171DE">
      <w:pPr>
        <w:pStyle w:val="H23G"/>
      </w:pPr>
      <w:r w:rsidRPr="00C31ACD">
        <w:rPr>
          <w:noProof/>
        </w:rPr>
        <w:drawing>
          <wp:anchor distT="0" distB="0" distL="114300" distR="114300" simplePos="0" relativeHeight="251661312" behindDoc="0" locked="0" layoutInCell="1" allowOverlap="1" wp14:anchorId="10E6C4D6" wp14:editId="001A0B48">
            <wp:simplePos x="0" y="0"/>
            <wp:positionH relativeFrom="column">
              <wp:posOffset>4011120</wp:posOffset>
            </wp:positionH>
            <wp:positionV relativeFrom="paragraph">
              <wp:posOffset>28080</wp:posOffset>
            </wp:positionV>
            <wp:extent cx="1380959" cy="1982519"/>
            <wp:effectExtent l="0" t="0" r="0" b="0"/>
            <wp:wrapSquare wrapText="bothSides"/>
            <wp:docPr id="11" name="Picture 2" descr="https://www.unece.org/fileadmin/user_upload/financing_transpo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959" cy="19825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31ACD">
        <w:tab/>
        <w:t>1.</w:t>
      </w:r>
      <w:r w:rsidRPr="00C31ACD">
        <w:tab/>
        <w:t>Инновационные способы финансирования транспортной инфраструктуры (2018 год)</w:t>
      </w:r>
    </w:p>
    <w:p w:rsidR="00C31ACD" w:rsidRPr="00C31ACD" w:rsidRDefault="00C31ACD" w:rsidP="00C31ACD">
      <w:pPr>
        <w:pStyle w:val="SingleTxtG"/>
      </w:pPr>
      <w:r w:rsidRPr="00C31ACD">
        <w:t>39.</w:t>
      </w:r>
      <w:r w:rsidRPr="00C31ACD">
        <w:tab/>
        <w:t>В этой публикации содержится обзор разнообразных инновационных способов привлечения средств для строительства транспортной инфраструктуры без использования ресурсов правительства (государства). В частности, в ней приводятся примеры следующих моделей финансирования: сборы с пользователей/</w:t>
      </w:r>
      <w:r w:rsidR="00734A25">
        <w:t xml:space="preserve"> </w:t>
      </w:r>
      <w:r w:rsidRPr="00C31ACD">
        <w:t xml:space="preserve">электронные системы оплаты дорожных сборов, заимствования и участие частного сектора, программы в рамках ГЧП, взимание налога на стоимость земли и многие другие инициативы. В ней также указано говорится о необходимости разработать и осуществить </w:t>
      </w:r>
      <w:r w:rsidRPr="00C31ACD">
        <w:lastRenderedPageBreak/>
        <w:t xml:space="preserve">транспарентный и подотчетный процесс закупок и управления для проектов в области транспортной инфраструктуры. Публикация размещена на </w:t>
      </w:r>
      <w:hyperlink r:id="rId52" w:history="1">
        <w:r w:rsidRPr="00E27B70">
          <w:rPr>
            <w:rStyle w:val="af1"/>
          </w:rPr>
          <w:t>веб-сайте ЕЭК</w:t>
        </w:r>
      </w:hyperlink>
      <w:r w:rsidRPr="00C31ACD">
        <w:t>.</w:t>
      </w:r>
    </w:p>
    <w:p w:rsidR="00C31ACD" w:rsidRPr="00C31ACD" w:rsidRDefault="00C31ACD" w:rsidP="000171DE">
      <w:pPr>
        <w:pStyle w:val="H23G"/>
      </w:pPr>
      <w:r w:rsidRPr="00C31ACD">
        <w:tab/>
        <w:t>2.</w:t>
      </w:r>
      <w:r w:rsidRPr="00C31ACD">
        <w:tab/>
        <w:t xml:space="preserve">Роль железных дорог в интермодальных перевозках </w:t>
      </w:r>
      <w:r w:rsidRPr="00C31ACD">
        <w:rPr>
          <w:bCs/>
        </w:rPr>
        <w:t>и переход к цифровому документообороту на транспорте</w:t>
      </w:r>
    </w:p>
    <w:p w:rsidR="00C31ACD" w:rsidRPr="00C31ACD" w:rsidRDefault="00C31ACD" w:rsidP="00C31ACD">
      <w:pPr>
        <w:pStyle w:val="SingleTxtG"/>
      </w:pPr>
      <w:r w:rsidRPr="00C31ACD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22F6BDA" wp14:editId="7049417E">
            <wp:simplePos x="0" y="0"/>
            <wp:positionH relativeFrom="column">
              <wp:posOffset>4055760</wp:posOffset>
            </wp:positionH>
            <wp:positionV relativeFrom="paragraph">
              <wp:posOffset>24840</wp:posOffset>
            </wp:positionV>
            <wp:extent cx="1324080" cy="1905120"/>
            <wp:effectExtent l="0" t="0" r="9420" b="0"/>
            <wp:wrapSquare wrapText="bothSides"/>
            <wp:docPr id="12" name="Picture 5" descr="https://www.unece.org/fileadmin/user_upload/coverwp24pu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080" cy="190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31ACD">
        <w:t>40.</w:t>
      </w:r>
      <w:r w:rsidRPr="00C31ACD">
        <w:tab/>
        <w:t>В этой публикации рассматривается вопрос об интермодальных перевозках с уделением особого внимания роли железных дорог в интермодальных перевозках и важности</w:t>
      </w:r>
      <w:r w:rsidRPr="00C31ACD">
        <w:rPr>
          <w:bCs/>
        </w:rPr>
        <w:t xml:space="preserve"> перехода к цифровому документообороту для их осуществлени</w:t>
      </w:r>
      <w:r w:rsidR="00723B45">
        <w:rPr>
          <w:bCs/>
        </w:rPr>
        <w:t>я</w:t>
      </w:r>
      <w:bookmarkStart w:id="0" w:name="_GoBack"/>
      <w:bookmarkEnd w:id="0"/>
      <w:r w:rsidRPr="00C31ACD">
        <w:t>.</w:t>
      </w:r>
    </w:p>
    <w:p w:rsidR="00C31ACD" w:rsidRPr="00C31ACD" w:rsidRDefault="00C31ACD" w:rsidP="00C31ACD">
      <w:pPr>
        <w:pStyle w:val="SingleTxtG"/>
      </w:pPr>
      <w:r w:rsidRPr="00C31ACD">
        <w:t>41.</w:t>
      </w:r>
      <w:r w:rsidRPr="00C31ACD">
        <w:tab/>
        <w:t xml:space="preserve">С публикацией можно ознакомиться </w:t>
      </w:r>
      <w:hyperlink r:id="rId54" w:history="1">
        <w:r w:rsidRPr="00C31ACD">
          <w:rPr>
            <w:rStyle w:val="af1"/>
          </w:rPr>
          <w:t>здесь</w:t>
        </w:r>
      </w:hyperlink>
      <w:r w:rsidRPr="00CA1B77">
        <w:rPr>
          <w:bCs/>
        </w:rPr>
        <w:t>;</w:t>
      </w:r>
      <w:r w:rsidRPr="00C31ACD">
        <w:t xml:space="preserve"> она разделена на три части:</w:t>
      </w:r>
    </w:p>
    <w:p w:rsidR="00C31ACD" w:rsidRPr="00C31ACD" w:rsidRDefault="00C31ACD" w:rsidP="00C31ACD">
      <w:pPr>
        <w:pStyle w:val="SingleTxtG"/>
      </w:pPr>
      <w:r w:rsidRPr="00C31ACD">
        <w:tab/>
      </w:r>
      <w:r w:rsidRPr="00C31ACD">
        <w:tab/>
      </w:r>
      <w:r w:rsidRPr="00C31ACD">
        <w:rPr>
          <w:lang w:val="en-GB"/>
        </w:rPr>
        <w:t>a</w:t>
      </w:r>
      <w:r w:rsidRPr="00C31ACD">
        <w:t>)</w:t>
      </w:r>
      <w:r w:rsidRPr="00C31ACD">
        <w:tab/>
        <w:t xml:space="preserve">В первом разделе обсуждается вопрос об интермодальных перевозках с уделением особого внимания роли железных дорог в их осуществлении; в ней приводятся данные данных о значимости вклада железнодорожных дорог в интермодальные перевозки, которые были подготовлены на основе официальной статистики. Описание роли железных дорог в интермодальных перевозках проиллюстрировано примерами из практики таких перевозок </w:t>
      </w:r>
      <w:r w:rsidR="00BF65F8">
        <w:t>по железным дорогам региона ЕЭК.</w:t>
      </w:r>
    </w:p>
    <w:p w:rsidR="00C31ACD" w:rsidRPr="00C31ACD" w:rsidRDefault="000171DE" w:rsidP="00C31ACD">
      <w:pPr>
        <w:pStyle w:val="SingleTxtG"/>
      </w:pPr>
      <w:r w:rsidRPr="00BF65F8">
        <w:tab/>
      </w:r>
      <w:r w:rsidRPr="00BF65F8">
        <w:tab/>
      </w:r>
      <w:r w:rsidR="00C31ACD" w:rsidRPr="00C31ACD">
        <w:rPr>
          <w:lang w:val="en-GB"/>
        </w:rPr>
        <w:t>b</w:t>
      </w:r>
      <w:r w:rsidR="00C31ACD" w:rsidRPr="00C31ACD">
        <w:t>)</w:t>
      </w:r>
      <w:r w:rsidR="00C31ACD" w:rsidRPr="00C31ACD">
        <w:tab/>
      </w:r>
      <w:r w:rsidR="00BF65F8" w:rsidRPr="00C31ACD">
        <w:t>В</w:t>
      </w:r>
      <w:r w:rsidR="00C31ACD" w:rsidRPr="00C31ACD">
        <w:t xml:space="preserve">о втором разделе рассматриваются вопросы, касающиеся </w:t>
      </w:r>
      <w:r w:rsidR="00C31ACD" w:rsidRPr="00C31ACD">
        <w:rPr>
          <w:bCs/>
        </w:rPr>
        <w:t xml:space="preserve">цифрового документооборота на транспорте и </w:t>
      </w:r>
      <w:r w:rsidR="00C31ACD" w:rsidRPr="00C31ACD">
        <w:t xml:space="preserve">перехода на использование электронных </w:t>
      </w:r>
      <w:r w:rsidR="00C31ACD" w:rsidRPr="00C31ACD">
        <w:rPr>
          <w:bCs/>
        </w:rPr>
        <w:t>документов</w:t>
      </w:r>
      <w:r w:rsidR="00C31ACD" w:rsidRPr="00C31ACD">
        <w:t>, а также возникающие в</w:t>
      </w:r>
      <w:r w:rsidR="00BF65F8">
        <w:t xml:space="preserve"> этой связи риски и препятствия.</w:t>
      </w:r>
    </w:p>
    <w:p w:rsidR="00C31ACD" w:rsidRPr="00C31ACD" w:rsidRDefault="000171DE" w:rsidP="00C31ACD">
      <w:pPr>
        <w:pStyle w:val="SingleTxtG"/>
      </w:pPr>
      <w:r w:rsidRPr="00BF65F8">
        <w:tab/>
      </w:r>
      <w:r w:rsidRPr="00BF65F8">
        <w:tab/>
      </w:r>
      <w:r w:rsidR="00C31ACD" w:rsidRPr="00C31ACD">
        <w:rPr>
          <w:lang w:val="en-GB"/>
        </w:rPr>
        <w:t>c</w:t>
      </w:r>
      <w:r w:rsidR="00C31ACD" w:rsidRPr="00C31ACD">
        <w:t>)</w:t>
      </w:r>
      <w:r w:rsidR="00C31ACD" w:rsidRPr="00C31ACD">
        <w:tab/>
      </w:r>
      <w:r w:rsidR="00BF65F8" w:rsidRPr="00C31ACD">
        <w:t>В</w:t>
      </w:r>
      <w:r w:rsidR="00C31ACD" w:rsidRPr="00C31ACD">
        <w:t xml:space="preserve"> третьем разделе приведены тематические исследования, обсуждавшиеся в ходе рабочего совещания, посвященного железным дорогам, интермодальным перевозкам и переходу к цифровому документообороту на транспорте, которое состоялось в Женеве 23 ноября 2017 года в ходе шестидесятой сессии Рабочей группы по интермодальным перевозкам и логистике. Этот раздел состоит из двух частей; в одной из них приводятся тематические исследования, рассмотренные в связи с ролью железных дорог в интермодальных перевозках, а в другой обсуждается вопрос о </w:t>
      </w:r>
      <w:r w:rsidR="00C31ACD" w:rsidRPr="00C31ACD">
        <w:rPr>
          <w:bCs/>
        </w:rPr>
        <w:t>переходе к цифровому документообороту на транспорте</w:t>
      </w:r>
      <w:r w:rsidR="00C31ACD" w:rsidRPr="00C31ACD">
        <w:t>.</w:t>
      </w:r>
    </w:p>
    <w:p w:rsidR="00C31ACD" w:rsidRPr="00C31ACD" w:rsidRDefault="00C31ACD" w:rsidP="000171DE">
      <w:pPr>
        <w:pStyle w:val="H23G"/>
      </w:pPr>
      <w:r w:rsidRPr="00C31ACD">
        <w:tab/>
        <w:t>3.</w:t>
      </w:r>
      <w:r w:rsidRPr="00C31ACD">
        <w:tab/>
        <w:t>Обзоры результатов деятельности в области безопасно</w:t>
      </w:r>
      <w:r w:rsidR="000171DE">
        <w:t>сти дорожного движения: Албания</w:t>
      </w:r>
      <w:r w:rsidR="00CA1B77">
        <w:t xml:space="preserve"> </w:t>
      </w:r>
      <w:r w:rsidR="000171DE">
        <w:t>–</w:t>
      </w:r>
      <w:r w:rsidR="00CA1B77">
        <w:t xml:space="preserve"> </w:t>
      </w:r>
      <w:r w:rsidRPr="00C31ACD">
        <w:t>Камерун</w:t>
      </w:r>
      <w:r w:rsidR="00CA1B77">
        <w:t xml:space="preserve"> </w:t>
      </w:r>
      <w:r w:rsidR="000171DE">
        <w:t>–</w:t>
      </w:r>
      <w:r w:rsidR="00CA1B77">
        <w:t xml:space="preserve"> </w:t>
      </w:r>
      <w:r w:rsidRPr="00C31ACD">
        <w:t>Грузия</w:t>
      </w:r>
      <w:r w:rsidR="00CA1B77">
        <w:t xml:space="preserve"> </w:t>
      </w:r>
      <w:r w:rsidR="000171DE">
        <w:t>–</w:t>
      </w:r>
      <w:r w:rsidR="00CA1B77">
        <w:t xml:space="preserve"> </w:t>
      </w:r>
      <w:r w:rsidRPr="00C31ACD">
        <w:t>Уганда</w:t>
      </w:r>
    </w:p>
    <w:p w:rsidR="00C31ACD" w:rsidRPr="00C31ACD" w:rsidRDefault="00C31ACD" w:rsidP="00C31ACD">
      <w:pPr>
        <w:pStyle w:val="SingleTxtG"/>
      </w:pPr>
      <w:r w:rsidRPr="00C31AC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6268EF" wp14:editId="6B6081A6">
            <wp:simplePos x="0" y="0"/>
            <wp:positionH relativeFrom="column">
              <wp:posOffset>4080600</wp:posOffset>
            </wp:positionH>
            <wp:positionV relativeFrom="paragraph">
              <wp:posOffset>100800</wp:posOffset>
            </wp:positionV>
            <wp:extent cx="1343160" cy="1905120"/>
            <wp:effectExtent l="0" t="0" r="9390" b="0"/>
            <wp:wrapSquare wrapText="bothSides"/>
            <wp:docPr id="13" name="Picture 6" descr="http://www.unece.org/fileadmin/user_upload/Road_Safety_Performance_Review_%E2%80%93_Camero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160" cy="190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31ACD">
        <w:t xml:space="preserve">42. </w:t>
      </w:r>
      <w:r w:rsidRPr="00C31ACD">
        <w:tab/>
        <w:t>Признавая необходимость оказания поддержки государствам-членам в безотлагательном и эффективном решении проблем безопасности дорожного движения, три региональные комиссии Организации Объединенных Наций приступили к осуществлению проекта по укреплению национального потенциала отдельных развивающихся стран и стран с переходной экономикой в области обеспечения безопасности дорожного движения. В</w:t>
      </w:r>
      <w:r w:rsidR="00BF65F8">
        <w:t> </w:t>
      </w:r>
      <w:r w:rsidRPr="00C31ACD">
        <w:t>рамках проекта помощь в укреплении национального потенциала, необходимого для управления безопасностью дорожного движения и эффективного решения национальных проблем, связанных с безопасностью дорожного движения и ее повышением, была оказана четырем странам: Албании, Вьетнаму, Грузии и Доминиканской Республике.</w:t>
      </w:r>
    </w:p>
    <w:p w:rsidR="00C31ACD" w:rsidRPr="00C31ACD" w:rsidRDefault="00C31ACD" w:rsidP="00C31ACD">
      <w:pPr>
        <w:pStyle w:val="SingleTxtG"/>
      </w:pPr>
      <w:r w:rsidRPr="00C31ACD">
        <w:t xml:space="preserve">43. </w:t>
      </w:r>
      <w:r w:rsidRPr="00C31ACD">
        <w:tab/>
        <w:t>В рамках о</w:t>
      </w:r>
      <w:r w:rsidRPr="00C31ACD">
        <w:rPr>
          <w:bCs/>
        </w:rPr>
        <w:t>бзоров результатов деятельности в области безопасности дорожного движения</w:t>
      </w:r>
      <w:r w:rsidRPr="00C31ACD">
        <w:t xml:space="preserve"> проведена оценка нынешнего положения дел с безопасностью дорожного движения, с тем чтобы помочь странам-бенефициарам в выявлении наиболее важных проблем безопасности дорожного движения и рекомендовать меры, которые необходимо принять в этой связи. С учетом выявленных вопросов, имеющих критически важное значение для национальных заинтересованных сторон, занимающихся вопросами безопасности дорожного движения, были организованы </w:t>
      </w:r>
      <w:r w:rsidRPr="00C31ACD">
        <w:lastRenderedPageBreak/>
        <w:t>рабочие совещания по наращиванию потенциала. Этот проект позволил повысить осведомленность общественности по вопросам безопасности дорожного движения и привлечь внимание национальных экспертов и неправительственных организаций к необходимости постановки амбициозных задач в области безопасности дорожного движения и принятия конкретных мер по повышению безопасности дорожного движения.</w:t>
      </w:r>
    </w:p>
    <w:p w:rsidR="00C31ACD" w:rsidRPr="00C31ACD" w:rsidRDefault="00C31ACD" w:rsidP="00C31ACD">
      <w:pPr>
        <w:pStyle w:val="SingleTxtG"/>
      </w:pPr>
      <w:r w:rsidRPr="00C31ACD">
        <w:t>44.</w:t>
      </w:r>
      <w:r w:rsidRPr="00C31ACD">
        <w:tab/>
        <w:t>Осуществлением проекта в Камеруне занимались ЕЭК и ЭКА при поддержке Специального посланника Генерального секретаря по обеспечению безопасности дорожного движения.</w:t>
      </w:r>
    </w:p>
    <w:tbl>
      <w:tblPr>
        <w:tblW w:w="96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10"/>
        <w:gridCol w:w="3210"/>
      </w:tblGrid>
      <w:tr w:rsidR="00C31ACD" w:rsidRPr="00C31ACD" w:rsidTr="00C31ACD">
        <w:trPr>
          <w:jc w:val="center"/>
        </w:trPr>
        <w:tc>
          <w:tcPr>
            <w:tcW w:w="3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CD" w:rsidRPr="00C31ACD" w:rsidRDefault="00C31ACD" w:rsidP="00C31ACD">
            <w:pPr>
              <w:pStyle w:val="SingleTxtG"/>
              <w:rPr>
                <w:lang w:val="en-GB"/>
              </w:rPr>
            </w:pPr>
            <w:r w:rsidRPr="00C31ACD">
              <w:rPr>
                <w:noProof/>
                <w:lang w:eastAsia="ru-RU"/>
              </w:rPr>
              <w:drawing>
                <wp:inline distT="0" distB="0" distL="0" distR="0" wp14:anchorId="705A9B90" wp14:editId="5F0ED0A2">
                  <wp:extent cx="1347480" cy="1914479"/>
                  <wp:effectExtent l="0" t="0" r="5070" b="0"/>
                  <wp:docPr id="4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80" cy="191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CD" w:rsidRPr="00C31ACD" w:rsidRDefault="00C31ACD" w:rsidP="00C31ACD">
            <w:pPr>
              <w:pStyle w:val="SingleTxtG"/>
              <w:rPr>
                <w:lang w:val="en-GB"/>
              </w:rPr>
            </w:pPr>
            <w:r w:rsidRPr="00C31ACD">
              <w:rPr>
                <w:noProof/>
                <w:lang w:eastAsia="ru-RU"/>
              </w:rPr>
              <w:drawing>
                <wp:inline distT="0" distB="0" distL="0" distR="0" wp14:anchorId="5666B14A" wp14:editId="3CAC46F0">
                  <wp:extent cx="1353240" cy="1908000"/>
                  <wp:effectExtent l="0" t="0" r="0" b="0"/>
                  <wp:docPr id="5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240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CD" w:rsidRPr="00C31ACD" w:rsidRDefault="00C31ACD" w:rsidP="00C31ACD">
            <w:pPr>
              <w:pStyle w:val="SingleTxtG"/>
              <w:rPr>
                <w:lang w:val="en-GB"/>
              </w:rPr>
            </w:pPr>
            <w:r w:rsidRPr="00C31ACD">
              <w:rPr>
                <w:noProof/>
                <w:lang w:eastAsia="ru-RU"/>
              </w:rPr>
              <w:drawing>
                <wp:inline distT="0" distB="0" distL="0" distR="0" wp14:anchorId="382A43F9" wp14:editId="487E78AE">
                  <wp:extent cx="1305000" cy="1901880"/>
                  <wp:effectExtent l="0" t="0" r="9450" b="3120"/>
                  <wp:docPr id="6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000" cy="190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ACD" w:rsidRPr="00C31ACD" w:rsidRDefault="000171DE" w:rsidP="000171DE">
      <w:pPr>
        <w:pStyle w:val="H23G"/>
      </w:pPr>
      <w:r>
        <w:tab/>
        <w:t>4.</w:t>
      </w:r>
      <w:r w:rsidR="00C31ACD" w:rsidRPr="000171DE">
        <w:tab/>
      </w:r>
      <w:r w:rsidR="00C31ACD" w:rsidRPr="00C31ACD">
        <w:t>Заключительный доклад об инструменте «SafeFITS»</w:t>
      </w:r>
    </w:p>
    <w:p w:rsidR="00C31ACD" w:rsidRPr="00C31ACD" w:rsidRDefault="00C31ACD" w:rsidP="00C31ACD">
      <w:pPr>
        <w:pStyle w:val="SingleTxtG"/>
      </w:pPr>
      <w:r w:rsidRPr="00C31AC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6E88128" wp14:editId="10AF9C1F">
            <wp:simplePos x="0" y="0"/>
            <wp:positionH relativeFrom="column">
              <wp:posOffset>4161240</wp:posOffset>
            </wp:positionH>
            <wp:positionV relativeFrom="paragraph">
              <wp:posOffset>50040</wp:posOffset>
            </wp:positionV>
            <wp:extent cx="1247760" cy="1905120"/>
            <wp:effectExtent l="0" t="0" r="0" b="0"/>
            <wp:wrapSquare wrapText="bothSides"/>
            <wp:docPr id="7" name="Picture 8" descr="http://www.unece.org/fileadmin/user_upload/cover_safefit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60" cy="190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31ACD">
        <w:t>45.</w:t>
      </w:r>
      <w:r w:rsidRPr="00C31ACD">
        <w:tab/>
        <w:t>С помощью «каркасного представления» в докладе наглядно показана реализации модели для веб-приложения «</w:t>
      </w:r>
      <w:r w:rsidRPr="00C31ACD">
        <w:rPr>
          <w:lang w:val="en-GB"/>
        </w:rPr>
        <w:t>SafeFITS</w:t>
      </w:r>
      <w:r w:rsidRPr="00C31ACD">
        <w:t>». Модель позволяет получать прогнозные и сравнительные оценки по 130 странам на основе:</w:t>
      </w:r>
    </w:p>
    <w:p w:rsidR="00C31ACD" w:rsidRPr="00C31ACD" w:rsidRDefault="000171DE" w:rsidP="00C31ACD">
      <w:pPr>
        <w:pStyle w:val="SingleTxtG"/>
      </w:pPr>
      <w:r w:rsidRPr="00F46063">
        <w:tab/>
      </w:r>
      <w:r w:rsidRPr="00F46063">
        <w:tab/>
      </w:r>
      <w:r w:rsidR="00C31ACD" w:rsidRPr="00C31ACD">
        <w:rPr>
          <w:lang w:val="en-GB"/>
        </w:rPr>
        <w:t>a</w:t>
      </w:r>
      <w:r w:rsidR="00C31ACD" w:rsidRPr="00C31ACD">
        <w:t>)</w:t>
      </w:r>
      <w:r w:rsidR="00C31ACD" w:rsidRPr="00C31ACD">
        <w:tab/>
        <w:t>базовых сценариев, построенных только на основе прогнозов ВНД (либо официальных, либо определенны</w:t>
      </w:r>
      <w:r w:rsidR="00BF65F8">
        <w:t>х</w:t>
      </w:r>
      <w:r w:rsidR="00C31ACD" w:rsidRPr="00C31ACD">
        <w:t xml:space="preserve"> пользователем). Такие сценарии служат ориентиром для оценки последствий принимаемых мер;</w:t>
      </w:r>
    </w:p>
    <w:p w:rsidR="00C31ACD" w:rsidRPr="00C31ACD" w:rsidRDefault="00C31ACD" w:rsidP="00C31ACD">
      <w:pPr>
        <w:pStyle w:val="SingleTxtG"/>
      </w:pPr>
      <w:r w:rsidRPr="00C31ACD">
        <w:tab/>
      </w:r>
      <w:r w:rsidRPr="00C31ACD">
        <w:tab/>
        <w:t>b)</w:t>
      </w:r>
      <w:r w:rsidRPr="00C31ACD">
        <w:tab/>
        <w:t>сценариев, построенных с учетом дополняющих изменения параметров ВНД мер политики, максимальное количество которых</w:t>
      </w:r>
      <w:r w:rsidR="000171DE">
        <w:t xml:space="preserve"> может доходить до восьми. Это </w:t>
      </w:r>
      <w:r w:rsidRPr="00C31ACD">
        <w:t>позволяет оценить совокупное воздействие таких мер на прогнозируемые итоговые показатели безопасности дор</w:t>
      </w:r>
      <w:r w:rsidR="000171DE">
        <w:t xml:space="preserve">ожного движения, а также место </w:t>
      </w:r>
      <w:r w:rsidRPr="00C31ACD">
        <w:t>страны в глобальном рейтинге и в ее страновой группе.</w:t>
      </w:r>
    </w:p>
    <w:p w:rsidR="00C31ACD" w:rsidRPr="00C31ACD" w:rsidRDefault="000171DE" w:rsidP="000171DE">
      <w:pPr>
        <w:pStyle w:val="H23G"/>
      </w:pPr>
      <w:r>
        <w:tab/>
      </w:r>
      <w:r w:rsidR="00C31ACD" w:rsidRPr="00C31ACD">
        <w:t>5.</w:t>
      </w:r>
      <w:r w:rsidR="00C31ACD" w:rsidRPr="00C31ACD">
        <w:tab/>
        <w:t>Реформа на железнодорожном транспорте в регионе ЕЭК</w:t>
      </w:r>
    </w:p>
    <w:p w:rsidR="00C31ACD" w:rsidRDefault="00C31ACD" w:rsidP="00C31ACD">
      <w:pPr>
        <w:pStyle w:val="SingleTxtG"/>
        <w:rPr>
          <w:bCs/>
        </w:rPr>
      </w:pPr>
      <w:r w:rsidRPr="00C31ACD">
        <w:rPr>
          <w:bCs/>
        </w:rPr>
        <w:tab/>
        <w:t>46.</w:t>
      </w:r>
      <w:r w:rsidRPr="00C31ACD">
        <w:rPr>
          <w:bCs/>
        </w:rPr>
        <w:tab/>
        <w:t xml:space="preserve">В исследовании на ряде примеров рассматривается история реформы </w:t>
      </w:r>
      <w:r w:rsidRPr="00C31ACD">
        <w:rPr>
          <w:bCs/>
        </w:rPr>
        <w:tab/>
        <w:t>железнодорожного транспорта в государствах</w:t>
      </w:r>
      <w:r w:rsidR="00BF65F8">
        <w:rPr>
          <w:bCs/>
        </w:rPr>
        <w:t xml:space="preserve"> –</w:t>
      </w:r>
      <w:r w:rsidR="00871DDC" w:rsidRPr="00871DDC">
        <w:rPr>
          <w:bCs/>
        </w:rPr>
        <w:t xml:space="preserve"> </w:t>
      </w:r>
      <w:r w:rsidRPr="00C31ACD">
        <w:rPr>
          <w:bCs/>
        </w:rPr>
        <w:t xml:space="preserve">членах ЕЭК ООН и ход ее </w:t>
      </w:r>
      <w:r w:rsidRPr="00C31ACD">
        <w:rPr>
          <w:bCs/>
        </w:rPr>
        <w:tab/>
        <w:t xml:space="preserve">осуществления. Реформа железнодорожного транспорта в регионе ЕЭК ООН </w:t>
      </w:r>
      <w:r w:rsidRPr="00C31ACD">
        <w:rPr>
          <w:bCs/>
        </w:rPr>
        <w:tab/>
        <w:t>проводилась с участием различных институциональных структур, рыночных игроков и с учетом различий в развитии этого сектора.</w:t>
      </w:r>
    </w:p>
    <w:p w:rsidR="00734A25" w:rsidRDefault="00734A25" w:rsidP="00C31ACD">
      <w:pPr>
        <w:pStyle w:val="SingleTxtG"/>
        <w:rPr>
          <w:bCs/>
        </w:rPr>
        <w:sectPr w:rsidR="00734A25" w:rsidSect="00C31ACD">
          <w:headerReference w:type="even" r:id="rId60"/>
          <w:headerReference w:type="default" r:id="rId61"/>
          <w:footerReference w:type="even" r:id="rId62"/>
          <w:footerReference w:type="default" r:id="rId63"/>
          <w:footerReference w:type="first" r:id="rId64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:rsidR="00734A25" w:rsidRPr="00C31ACD" w:rsidRDefault="00734A25" w:rsidP="00734A25">
      <w:pPr>
        <w:pStyle w:val="HChG"/>
      </w:pPr>
      <w:r w:rsidRPr="00C31ACD">
        <w:lastRenderedPageBreak/>
        <w:t>Приложение</w:t>
      </w:r>
    </w:p>
    <w:p w:rsidR="00734A25" w:rsidRPr="00C31ACD" w:rsidRDefault="00734A25" w:rsidP="00734A25">
      <w:pPr>
        <w:pStyle w:val="HChG"/>
      </w:pPr>
      <w:r w:rsidRPr="00C31ACD">
        <w:tab/>
      </w:r>
      <w:r w:rsidRPr="00C31ACD">
        <w:tab/>
        <w:t>Выводы и рекомендации Международной конференции на тему «Введение евро-азиатских транспортных коридоров в действие»</w:t>
      </w:r>
    </w:p>
    <w:p w:rsidR="00734A25" w:rsidRPr="00C31ACD" w:rsidRDefault="00734A25" w:rsidP="00734A25">
      <w:pPr>
        <w:pStyle w:val="SingleTxtG"/>
        <w:rPr>
          <w:lang w:val="en-GB"/>
        </w:rPr>
      </w:pPr>
      <w:r w:rsidRPr="00C31ACD">
        <w:rPr>
          <w:lang w:val="en-GB"/>
        </w:rPr>
        <w:t>1.</w:t>
      </w:r>
      <w:r w:rsidRPr="00C31ACD">
        <w:rPr>
          <w:lang w:val="en-GB"/>
        </w:rPr>
        <w:tab/>
      </w:r>
      <w:r w:rsidRPr="00C31ACD">
        <w:t>Конференция признала важность</w:t>
      </w:r>
      <w:r w:rsidRPr="00C31ACD">
        <w:rPr>
          <w:lang w:val="en-GB"/>
        </w:rPr>
        <w:t>:</w:t>
      </w:r>
    </w:p>
    <w:p w:rsidR="00734A25" w:rsidRPr="00C31ACD" w:rsidRDefault="00734A25" w:rsidP="00734A25">
      <w:pPr>
        <w:pStyle w:val="Bullet1G"/>
      </w:pPr>
      <w:r w:rsidRPr="00C31ACD">
        <w:t>дальнейшего развития эффективных транспортных связей между Европой и Азией;</w:t>
      </w:r>
    </w:p>
    <w:p w:rsidR="00734A25" w:rsidRPr="00C31ACD" w:rsidRDefault="00734A25" w:rsidP="00734A25">
      <w:pPr>
        <w:pStyle w:val="Bullet1G"/>
      </w:pPr>
      <w:r w:rsidRPr="00C31ACD">
        <w:t>устранения узких мест;</w:t>
      </w:r>
    </w:p>
    <w:p w:rsidR="00734A25" w:rsidRPr="00C31ACD" w:rsidRDefault="00734A25" w:rsidP="00734A25">
      <w:pPr>
        <w:pStyle w:val="Bullet1G"/>
      </w:pPr>
      <w:r w:rsidRPr="00C31ACD">
        <w:t>упрощения процедур пересечения границ; и</w:t>
      </w:r>
    </w:p>
    <w:p w:rsidR="00734A25" w:rsidRPr="00C31ACD" w:rsidRDefault="00734A25" w:rsidP="00734A25">
      <w:pPr>
        <w:pStyle w:val="Bullet1G"/>
      </w:pPr>
      <w:r w:rsidRPr="00C31ACD">
        <w:t>признания значения и последствий для перевозок по евро-азиатским транспортным маршрутам внедрения интеллектуальных транспортных систем, цифровизации перевозок, полной компьютеризации пограничных контрольно-пропускных пунктов, использования спутниковых услуг обнаружения и отслеживания железнодорожных и автомобильных перевозок, развертывания автономных транспортных средств (грузовиков и локомотивов), а также необходимости уделять особое внимание этим тенденциям.</w:t>
      </w:r>
    </w:p>
    <w:p w:rsidR="00734A25" w:rsidRPr="00C31ACD" w:rsidRDefault="00734A25" w:rsidP="00734A25">
      <w:pPr>
        <w:pStyle w:val="SingleTxtG"/>
      </w:pPr>
      <w:r w:rsidRPr="00C31ACD">
        <w:t>2.</w:t>
      </w:r>
      <w:r w:rsidRPr="00C31ACD">
        <w:tab/>
        <w:t xml:space="preserve">Для достижения этих целей должное внимание должно уделяться унификации режимов, регулирующих железнодорожные перевозки, в частности </w:t>
      </w:r>
      <w:r w:rsidRPr="00C31ACD">
        <w:rPr>
          <w:bCs/>
        </w:rPr>
        <w:t xml:space="preserve">переотправке </w:t>
      </w:r>
      <w:r w:rsidRPr="00C31ACD">
        <w:t>грузов из зоны Соглашения о международном железнодорожном грузовом сообщении (СМГС) в зону действия Единообразных правил, касающихся договора международной перевозки грузов железнодорожным транспортом (ЦИМ), которая является причиной дополнительных затрат времени и средств. Любая ошибка при переносе данных из одной накладной в другую может стоить недель ожидания на пунктах пересечения границы и т.</w:t>
      </w:r>
      <w:r w:rsidR="00BF65F8">
        <w:t xml:space="preserve"> </w:t>
      </w:r>
      <w:r w:rsidRPr="00C31ACD">
        <w:t>д. Отсутствие единого договора перевозки, одной ответственности и единой накладной по всему маршруту железнодорожной перевозки снижает надежность услуг и доверие рынка к предоставляемым услугам.</w:t>
      </w:r>
    </w:p>
    <w:p w:rsidR="00734A25" w:rsidRPr="00C31ACD" w:rsidRDefault="00734A25" w:rsidP="00734A25">
      <w:pPr>
        <w:pStyle w:val="SingleTxtG"/>
      </w:pPr>
      <w:r w:rsidRPr="00C31ACD">
        <w:t>3.</w:t>
      </w:r>
      <w:r w:rsidRPr="00C31ACD">
        <w:tab/>
        <w:t>Участники также отметили:</w:t>
      </w:r>
    </w:p>
    <w:p w:rsidR="00734A25" w:rsidRPr="00C31ACD" w:rsidRDefault="00734A25" w:rsidP="00734A25">
      <w:pPr>
        <w:pStyle w:val="SingleTxtG"/>
      </w:pPr>
      <w:r w:rsidRPr="00734A25">
        <w:tab/>
      </w:r>
      <w:r w:rsidRPr="00734A25">
        <w:tab/>
      </w:r>
      <w:r w:rsidRPr="00C31ACD">
        <w:rPr>
          <w:lang w:val="en-GB"/>
        </w:rPr>
        <w:t>a</w:t>
      </w:r>
      <w:r w:rsidRPr="00C31ACD">
        <w:t>)</w:t>
      </w:r>
      <w:r w:rsidRPr="00C31ACD">
        <w:tab/>
        <w:t>важность диалога между представителями исполнительных органов власти, деловых кругов, научных и международных организаций с целью достижения вышеупомянутых целей;</w:t>
      </w:r>
    </w:p>
    <w:p w:rsidR="00734A25" w:rsidRPr="00C31ACD" w:rsidRDefault="00734A25" w:rsidP="00734A25">
      <w:pPr>
        <w:pStyle w:val="SingleTxtG"/>
      </w:pPr>
      <w:r w:rsidRPr="00734A25">
        <w:tab/>
      </w:r>
      <w:r w:rsidRPr="00734A25">
        <w:tab/>
      </w:r>
      <w:r w:rsidRPr="00C31ACD">
        <w:rPr>
          <w:lang w:val="en-GB"/>
        </w:rPr>
        <w:t>b</w:t>
      </w:r>
      <w:r w:rsidRPr="00C31ACD">
        <w:t>)</w:t>
      </w:r>
      <w:r w:rsidRPr="00C31ACD">
        <w:tab/>
        <w:t>важность уделения должного внимания функционированию международных транспортных коридоров, сокращению времени транзита, затратам, безопасности и надежности перевозок.</w:t>
      </w:r>
    </w:p>
    <w:p w:rsidR="00734A25" w:rsidRPr="00C31ACD" w:rsidRDefault="00734A25" w:rsidP="00734A25">
      <w:pPr>
        <w:pStyle w:val="SingleTxtG"/>
      </w:pPr>
      <w:r w:rsidRPr="00C31ACD">
        <w:t>4.</w:t>
      </w:r>
      <w:r w:rsidRPr="00C31ACD">
        <w:tab/>
        <w:t>Участники также отметили, что:</w:t>
      </w:r>
    </w:p>
    <w:p w:rsidR="00734A25" w:rsidRPr="00C31ACD" w:rsidRDefault="00734A25" w:rsidP="00734A25">
      <w:pPr>
        <w:pStyle w:val="SingleTxtG"/>
      </w:pPr>
      <w:r w:rsidRPr="00734A25">
        <w:tab/>
      </w:r>
      <w:r w:rsidRPr="00734A25">
        <w:tab/>
      </w:r>
      <w:r w:rsidRPr="00C31ACD">
        <w:rPr>
          <w:lang w:val="en-GB"/>
        </w:rPr>
        <w:t>a</w:t>
      </w:r>
      <w:r w:rsidRPr="00C31ACD">
        <w:t>)</w:t>
      </w:r>
      <w:r w:rsidRPr="00C31ACD">
        <w:tab/>
        <w:t>объем грузовых перевозок в восточном направлении меньше объема грузов, перевозимых в западном направлении, при этом тенденция к увеличению такого разрыва только усиливается; однако эти статистические данные относятся главным образом к торговле между Европой и Китаем и не включают в себя другие страны</w:t>
      </w:r>
      <w:r w:rsidR="00BF65F8">
        <w:t>–</w:t>
      </w:r>
      <w:r w:rsidRPr="00C31ACD">
        <w:t>«производители», в частности Бангладеш,</w:t>
      </w:r>
      <w:r>
        <w:t xml:space="preserve"> Индию, Пакистан, Южную Корею и </w:t>
      </w:r>
      <w:r w:rsidRPr="00C31ACD">
        <w:t>др.;</w:t>
      </w:r>
    </w:p>
    <w:p w:rsidR="00734A25" w:rsidRPr="00C31ACD" w:rsidRDefault="00734A25" w:rsidP="00734A25">
      <w:pPr>
        <w:pStyle w:val="SingleTxtG"/>
      </w:pPr>
      <w:r w:rsidRPr="00734A25">
        <w:tab/>
      </w:r>
      <w:r w:rsidRPr="00734A25">
        <w:tab/>
      </w:r>
      <w:r w:rsidRPr="00C31ACD">
        <w:rPr>
          <w:lang w:val="en-GB"/>
        </w:rPr>
        <w:t>b</w:t>
      </w:r>
      <w:r w:rsidRPr="00C31ACD">
        <w:t>)</w:t>
      </w:r>
      <w:r w:rsidRPr="00C31ACD">
        <w:tab/>
        <w:t xml:space="preserve">распределение перевозок между Китаем и ЕС по видам транспорта в стоимостном выражении: морской транспорт </w:t>
      </w:r>
      <w:r w:rsidR="00CA1B77">
        <w:t>–</w:t>
      </w:r>
      <w:r w:rsidRPr="00C31ACD">
        <w:t xml:space="preserve"> 95</w:t>
      </w:r>
      <w:r w:rsidR="00CA1B77">
        <w:t>%</w:t>
      </w:r>
      <w:r w:rsidRPr="00C31ACD">
        <w:t xml:space="preserve">, авиаперевозки </w:t>
      </w:r>
      <w:r w:rsidR="00CA1B77">
        <w:t>–</w:t>
      </w:r>
      <w:r w:rsidRPr="00C31ACD">
        <w:t xml:space="preserve"> 4</w:t>
      </w:r>
      <w:r w:rsidR="00CA1B77">
        <w:t>%</w:t>
      </w:r>
      <w:r w:rsidR="00BF65F8">
        <w:t>,</w:t>
      </w:r>
      <w:r w:rsidR="00CA1B77">
        <w:t xml:space="preserve"> железная дорога – 1%</w:t>
      </w:r>
      <w:r w:rsidRPr="00C31ACD">
        <w:t>;</w:t>
      </w:r>
    </w:p>
    <w:p w:rsidR="00734A25" w:rsidRPr="00C31ACD" w:rsidRDefault="00734A25" w:rsidP="00734A25">
      <w:pPr>
        <w:pStyle w:val="SingleTxtG"/>
      </w:pPr>
      <w:r w:rsidRPr="00734A25">
        <w:tab/>
      </w:r>
      <w:r w:rsidRPr="00734A25">
        <w:tab/>
      </w:r>
      <w:r w:rsidRPr="00C31ACD">
        <w:rPr>
          <w:lang w:val="en-GB"/>
        </w:rPr>
        <w:t>c</w:t>
      </w:r>
      <w:r w:rsidRPr="00C31ACD">
        <w:t>)</w:t>
      </w:r>
      <w:r w:rsidRPr="00C31ACD">
        <w:tab/>
        <w:t>около 40</w:t>
      </w:r>
      <w:r w:rsidR="00CA1B77">
        <w:t>%</w:t>
      </w:r>
      <w:r w:rsidRPr="00C31ACD">
        <w:t xml:space="preserve"> всего грузооборота между Китаем и Европой приходится на продукцию с высокой добавленной стоимостью. Как обстоит дело с электронными деловыми операциями/малоразмерными упаковками, продуктами быстрого потребления, одеждой? Перевозимые в настоящее время из Европы в Китай продукты включают в себя: древесину, мебель, электроприборы, продукцию медицинского назначения, вино, продукцию машиностроения, металлоизделия и плиточные </w:t>
      </w:r>
      <w:r w:rsidRPr="00C31ACD">
        <w:lastRenderedPageBreak/>
        <w:t>материалы. К экспортируемым из Китая в Европу продуктам относятся: текстиль, одежда, игрушки, потребительские товары, запасные части для легковых автомобилей, сельскохозяйственная продукция, томатный соус, приправы, химические продукты, высокотехнологичные продукты, включая электрон</w:t>
      </w:r>
      <w:r w:rsidR="00BF65F8">
        <w:t>ику и аксессуары. Эти грузы, по</w:t>
      </w:r>
      <w:r w:rsidR="00BF65F8">
        <w:noBreakHyphen/>
      </w:r>
      <w:r w:rsidRPr="00C31ACD">
        <w:t>видимому, могут перевозиться судами внутреннего транспорта;</w:t>
      </w:r>
    </w:p>
    <w:p w:rsidR="00734A25" w:rsidRPr="00C31ACD" w:rsidRDefault="00734A25" w:rsidP="00734A25">
      <w:pPr>
        <w:pStyle w:val="SingleTxtG"/>
      </w:pPr>
      <w:r w:rsidRPr="00734A25">
        <w:tab/>
      </w:r>
      <w:r w:rsidRPr="00734A25">
        <w:tab/>
      </w:r>
      <w:r w:rsidRPr="00C31ACD">
        <w:rPr>
          <w:lang w:val="en-GB"/>
        </w:rPr>
        <w:t>d</w:t>
      </w:r>
      <w:r w:rsidRPr="00C31ACD">
        <w:t>)</w:t>
      </w:r>
      <w:r w:rsidRPr="00C31ACD">
        <w:tab/>
        <w:t>контейнерные поезда в Китае субсидируются властями некоторых крупных городов, через которые проходит их маршрут. В некоторых городах выделение субсидий предусмотрено до 2020 года. Для повышения надежности предоставляемых услуг и сохранения доверия рынка необходимо долгосрочное планирование;</w:t>
      </w:r>
    </w:p>
    <w:p w:rsidR="00734A25" w:rsidRPr="00C31ACD" w:rsidRDefault="00734A25" w:rsidP="00734A25">
      <w:pPr>
        <w:pStyle w:val="SingleTxtG"/>
      </w:pPr>
      <w:r w:rsidRPr="00734A25">
        <w:tab/>
      </w:r>
      <w:r w:rsidRPr="00734A25">
        <w:tab/>
      </w:r>
      <w:r w:rsidRPr="00C31ACD">
        <w:rPr>
          <w:lang w:val="en-GB"/>
        </w:rPr>
        <w:t>e</w:t>
      </w:r>
      <w:r w:rsidRPr="00C31ACD">
        <w:t>)</w:t>
      </w:r>
      <w:r w:rsidRPr="00C31ACD">
        <w:tab/>
        <w:t>с 1 августа 2018 года Китай перешел на новый код Гармонизированной системы (ГС) с 13 цифрами. Международные перевозки опасных грузов в контейнерах-цистернах не соответствуют международным конвенциям (СМГС и МПО</w:t>
      </w:r>
      <w:r w:rsidRPr="00C31ACD">
        <w:rPr>
          <w:vertAlign w:val="superscript"/>
        </w:rPr>
        <w:footnoteReference w:id="2"/>
      </w:r>
      <w:r w:rsidRPr="00C31ACD">
        <w:t>), поэтому они в принципе не могут быть реализованы. Для перевозки неопасных грузов в контейнерах-цистернах в Китае требуется сертификат для неопасных грузов, действительный только в случае его выдачи лабораторией, уполномоченной госкорпорацией «Китайские железные дороги»; таким образом, на практике к ним не применимы международные стандарты из документа по ПБМ.</w:t>
      </w:r>
    </w:p>
    <w:p w:rsidR="00734A25" w:rsidRPr="00C31ACD" w:rsidRDefault="00734A25" w:rsidP="00734A25">
      <w:pPr>
        <w:pStyle w:val="SingleTxtG"/>
      </w:pPr>
      <w:r w:rsidRPr="00C31ACD">
        <w:t>5.</w:t>
      </w:r>
      <w:r w:rsidRPr="00C31ACD">
        <w:tab/>
        <w:t>Участники приняли решение:</w:t>
      </w:r>
    </w:p>
    <w:p w:rsidR="00734A25" w:rsidRPr="00C31ACD" w:rsidRDefault="00734A25" w:rsidP="00734A25">
      <w:pPr>
        <w:pStyle w:val="SingleTxtG"/>
      </w:pPr>
      <w:r w:rsidRPr="00734A25">
        <w:tab/>
      </w:r>
      <w:r w:rsidRPr="00734A25">
        <w:tab/>
      </w:r>
      <w:r w:rsidRPr="00C31ACD">
        <w:rPr>
          <w:lang w:val="en-GB"/>
        </w:rPr>
        <w:t>a</w:t>
      </w:r>
      <w:r w:rsidRPr="00C31ACD">
        <w:t>)</w:t>
      </w:r>
      <w:r w:rsidRPr="00C31ACD">
        <w:tab/>
        <w:t>укреплять сотрудничество и связи между:</w:t>
      </w:r>
    </w:p>
    <w:p w:rsidR="00734A25" w:rsidRPr="00C31ACD" w:rsidRDefault="00734A25" w:rsidP="00734A25">
      <w:pPr>
        <w:pStyle w:val="SingleTxtG"/>
        <w:ind w:left="1701"/>
      </w:pPr>
      <w:r w:rsidRPr="00C31ACD">
        <w:rPr>
          <w:lang w:val="en-GB"/>
        </w:rPr>
        <w:t>i</w:t>
      </w:r>
      <w:r w:rsidRPr="00C31ACD">
        <w:t>)</w:t>
      </w:r>
      <w:r w:rsidRPr="00C31ACD">
        <w:tab/>
        <w:t>инициативами по развитию коридоров, реализуемыми международными организациями (ЕЭК, ЭСКАТО, ОЧЭС, ОСЖД</w:t>
      </w:r>
      <w:r w:rsidRPr="00C31ACD">
        <w:rPr>
          <w:vertAlign w:val="superscript"/>
        </w:rPr>
        <w:footnoteReference w:id="3"/>
      </w:r>
      <w:r w:rsidRPr="00C31ACD">
        <w:t>, ОТИФ, МСАТ и т.</w:t>
      </w:r>
      <w:r w:rsidR="00CA1B77">
        <w:t xml:space="preserve"> </w:t>
      </w:r>
      <w:r w:rsidRPr="00C31ACD">
        <w:t>д.);</w:t>
      </w:r>
    </w:p>
    <w:p w:rsidR="00734A25" w:rsidRPr="00C31ACD" w:rsidRDefault="00734A25" w:rsidP="00734A25">
      <w:pPr>
        <w:pStyle w:val="SingleTxtG"/>
        <w:ind w:left="1701"/>
      </w:pPr>
      <w:r w:rsidRPr="00C31ACD">
        <w:rPr>
          <w:lang w:val="en-GB"/>
        </w:rPr>
        <w:t>ii</w:t>
      </w:r>
      <w:r w:rsidRPr="00C31ACD">
        <w:t>)</w:t>
      </w:r>
      <w:r w:rsidRPr="00C31ACD">
        <w:tab/>
        <w:t>железнодорожными и логистическими предприятиями, которые осуществляют свою деятельность в каждом коридоре;</w:t>
      </w:r>
    </w:p>
    <w:p w:rsidR="00734A25" w:rsidRPr="00C31ACD" w:rsidRDefault="00734A25" w:rsidP="00734A25">
      <w:pPr>
        <w:pStyle w:val="SingleTxtG"/>
        <w:ind w:left="1701"/>
      </w:pPr>
      <w:r w:rsidRPr="00C31ACD">
        <w:rPr>
          <w:lang w:val="en-GB"/>
        </w:rPr>
        <w:t>iii</w:t>
      </w:r>
      <w:r w:rsidRPr="00C31ACD">
        <w:t>)</w:t>
      </w:r>
      <w:r w:rsidRPr="00C31ACD">
        <w:tab/>
        <w:t>рынком/частным сектором, правител</w:t>
      </w:r>
      <w:r w:rsidR="00BF65F8">
        <w:t>ьствами и секретариатом ЕЭК ООН;</w:t>
      </w:r>
    </w:p>
    <w:p w:rsidR="00734A25" w:rsidRPr="00C31ACD" w:rsidRDefault="00734A25" w:rsidP="00734A25">
      <w:pPr>
        <w:pStyle w:val="SingleTxtG"/>
      </w:pPr>
      <w:r w:rsidRPr="00734A25">
        <w:tab/>
      </w:r>
      <w:r w:rsidRPr="00734A25">
        <w:tab/>
      </w:r>
      <w:r w:rsidRPr="00C31ACD">
        <w:rPr>
          <w:lang w:val="en-GB"/>
        </w:rPr>
        <w:t>b</w:t>
      </w:r>
      <w:r w:rsidRPr="00C31ACD">
        <w:t>)</w:t>
      </w:r>
      <w:r w:rsidRPr="00C31ACD">
        <w:tab/>
        <w:t>Следует принять особые меры в целя</w:t>
      </w:r>
      <w:r w:rsidR="00CA1B77">
        <w:t>х введения в действие коридоров </w:t>
      </w:r>
      <w:r w:rsidRPr="00C31ACD">
        <w:t>ЕАТС.</w:t>
      </w:r>
    </w:p>
    <w:p w:rsidR="00734A25" w:rsidRPr="00C31ACD" w:rsidRDefault="00734A25" w:rsidP="00734A25">
      <w:pPr>
        <w:pStyle w:val="SingleTxtG"/>
      </w:pPr>
      <w:r w:rsidRPr="00C31ACD">
        <w:t>6.</w:t>
      </w:r>
      <w:r w:rsidRPr="00C31ACD">
        <w:tab/>
        <w:t>В частности, можно было бы рассмотреть следующие предложения:</w:t>
      </w:r>
    </w:p>
    <w:p w:rsidR="00734A25" w:rsidRPr="00C31ACD" w:rsidRDefault="00734A25" w:rsidP="00734A25">
      <w:pPr>
        <w:pStyle w:val="SingleTxtG"/>
      </w:pPr>
      <w:r w:rsidRPr="00734A25">
        <w:tab/>
      </w:r>
      <w:r w:rsidRPr="00734A25">
        <w:tab/>
      </w:r>
      <w:r w:rsidRPr="00C31ACD">
        <w:rPr>
          <w:lang w:val="en-GB"/>
        </w:rPr>
        <w:t>a</w:t>
      </w:r>
      <w:r w:rsidRPr="00C31ACD">
        <w:t>)</w:t>
      </w:r>
      <w:r w:rsidRPr="00C31ACD">
        <w:tab/>
        <w:t>возможность принятия за основу работы по координации, мониторингу и обсуждению выработанн</w:t>
      </w:r>
      <w:r w:rsidR="00335701">
        <w:t>ую</w:t>
      </w:r>
      <w:r w:rsidRPr="00C31ACD">
        <w:t xml:space="preserve"> в рамках Координационного совета по транссибирским перевозкам (КСТП) передов</w:t>
      </w:r>
      <w:r w:rsidR="00335701">
        <w:t>ую</w:t>
      </w:r>
      <w:r w:rsidRPr="00C31ACD">
        <w:t xml:space="preserve"> практик</w:t>
      </w:r>
      <w:r w:rsidR="00335701">
        <w:t>у</w:t>
      </w:r>
      <w:r w:rsidRPr="00C31ACD">
        <w:t xml:space="preserve"> и устоявш</w:t>
      </w:r>
      <w:r w:rsidR="00335701">
        <w:t>уюся платформу</w:t>
      </w:r>
      <w:r w:rsidRPr="00C31ACD">
        <w:t>, сформированн</w:t>
      </w:r>
      <w:r w:rsidR="00335701">
        <w:t>ую</w:t>
      </w:r>
      <w:r w:rsidRPr="00C31ACD">
        <w:t xml:space="preserve"> Рабочей группой 5 в сотрудничестве с другими рабочими органами КВТ;</w:t>
      </w:r>
    </w:p>
    <w:p w:rsidR="00734A25" w:rsidRPr="00C31ACD" w:rsidRDefault="00734A25" w:rsidP="00734A25">
      <w:pPr>
        <w:pStyle w:val="SingleTxtG"/>
      </w:pPr>
      <w:r w:rsidRPr="00734A25">
        <w:tab/>
      </w:r>
      <w:r w:rsidRPr="00734A25">
        <w:tab/>
      </w:r>
      <w:r w:rsidRPr="00C31ACD">
        <w:rPr>
          <w:lang w:val="en-GB"/>
        </w:rPr>
        <w:t>b</w:t>
      </w:r>
      <w:r w:rsidRPr="00C31ACD">
        <w:t>)</w:t>
      </w:r>
      <w:r w:rsidRPr="00C31ACD">
        <w:tab/>
        <w:t>рекомендовать сторонам, заинтересованным в международных транспортных коридорах, активизировать деятельность своих руководящих и соответствующих органов;</w:t>
      </w:r>
    </w:p>
    <w:p w:rsidR="00734A25" w:rsidRPr="00C31ACD" w:rsidRDefault="00734A25" w:rsidP="00734A25">
      <w:pPr>
        <w:pStyle w:val="SingleTxtG"/>
      </w:pPr>
      <w:r w:rsidRPr="00734A25">
        <w:tab/>
      </w:r>
      <w:r w:rsidRPr="00734A25">
        <w:tab/>
      </w:r>
      <w:r w:rsidRPr="00C31ACD">
        <w:rPr>
          <w:lang w:val="en-GB"/>
        </w:rPr>
        <w:t>c</w:t>
      </w:r>
      <w:r w:rsidRPr="00C31ACD">
        <w:t>)</w:t>
      </w:r>
      <w:r w:rsidRPr="00C31ACD">
        <w:tab/>
        <w:t>принять конкретные мер</w:t>
      </w:r>
      <w:r w:rsidR="00BF65F8">
        <w:t>ы</w:t>
      </w:r>
      <w:r w:rsidRPr="00C31ACD">
        <w:t>, направленные на достижение ОПД (сокращение сроков, подготовка единых тарифов и т.</w:t>
      </w:r>
      <w:r w:rsidR="00CA1B77">
        <w:t xml:space="preserve"> </w:t>
      </w:r>
      <w:r w:rsidRPr="00C31ACD">
        <w:t>д.);</w:t>
      </w:r>
    </w:p>
    <w:p w:rsidR="00734A25" w:rsidRPr="00C31ACD" w:rsidRDefault="00734A25" w:rsidP="00734A25">
      <w:pPr>
        <w:pStyle w:val="SingleTxtG"/>
      </w:pPr>
      <w:r w:rsidRPr="00734A25">
        <w:tab/>
      </w:r>
      <w:r w:rsidRPr="00734A25">
        <w:tab/>
      </w:r>
      <w:r w:rsidRPr="00C31ACD">
        <w:rPr>
          <w:lang w:val="en-GB"/>
        </w:rPr>
        <w:t>d</w:t>
      </w:r>
      <w:r w:rsidRPr="00C31ACD">
        <w:t>)</w:t>
      </w:r>
      <w:r w:rsidRPr="00C31ACD">
        <w:tab/>
        <w:t>принять скоординированные меры, направленные на формирование маршрутных поездов и грузовых автомобильных караванов;</w:t>
      </w:r>
    </w:p>
    <w:p w:rsidR="00734A25" w:rsidRPr="00C31ACD" w:rsidRDefault="00734A25" w:rsidP="00734A25">
      <w:pPr>
        <w:pStyle w:val="SingleTxtG"/>
      </w:pPr>
      <w:r w:rsidRPr="00734A25">
        <w:tab/>
      </w:r>
      <w:r w:rsidRPr="00734A25">
        <w:tab/>
      </w:r>
      <w:r w:rsidRPr="00C31ACD">
        <w:rPr>
          <w:lang w:val="en-GB"/>
        </w:rPr>
        <w:t>e</w:t>
      </w:r>
      <w:r w:rsidRPr="00C31ACD">
        <w:t>)</w:t>
      </w:r>
      <w:r w:rsidRPr="00C31ACD">
        <w:tab/>
        <w:t>рассмотреть вопросы упрощения процедур пересечения границ;</w:t>
      </w:r>
    </w:p>
    <w:p w:rsidR="00734A25" w:rsidRPr="00C31ACD" w:rsidRDefault="00734A25" w:rsidP="00734A25">
      <w:pPr>
        <w:pStyle w:val="SingleTxtG"/>
      </w:pPr>
      <w:r>
        <w:tab/>
      </w:r>
      <w:r>
        <w:tab/>
      </w:r>
      <w:r w:rsidRPr="00C31ACD">
        <w:rPr>
          <w:lang w:val="en-GB"/>
        </w:rPr>
        <w:t>f</w:t>
      </w:r>
      <w:r w:rsidRPr="00C31ACD">
        <w:t>)</w:t>
      </w:r>
      <w:r w:rsidRPr="00C31ACD">
        <w:tab/>
        <w:t>расширить использование цифровых технологий;</w:t>
      </w:r>
    </w:p>
    <w:p w:rsidR="00734A25" w:rsidRPr="00C31ACD" w:rsidRDefault="00734A25" w:rsidP="00734A25">
      <w:pPr>
        <w:pStyle w:val="SingleTxtG"/>
      </w:pPr>
      <w:r>
        <w:tab/>
      </w:r>
      <w:r>
        <w:tab/>
      </w:r>
      <w:r w:rsidRPr="00C31ACD">
        <w:rPr>
          <w:lang w:val="en-GB"/>
        </w:rPr>
        <w:t>g</w:t>
      </w:r>
      <w:r w:rsidRPr="00C31ACD">
        <w:t>)</w:t>
      </w:r>
      <w:r w:rsidRPr="00C31ACD">
        <w:tab/>
        <w:t>развивать вдоль коридоров интермодальные мегатерминалы, которые либо по возможности, либо по необходимости имели бы свою специализацию;</w:t>
      </w:r>
    </w:p>
    <w:p w:rsidR="00734A25" w:rsidRPr="00C31ACD" w:rsidRDefault="00734A25" w:rsidP="00734A25">
      <w:pPr>
        <w:pStyle w:val="SingleTxtG"/>
      </w:pPr>
      <w:r w:rsidRPr="00734A25">
        <w:tab/>
      </w:r>
      <w:r w:rsidRPr="00734A25">
        <w:tab/>
      </w:r>
      <w:r w:rsidRPr="00C31ACD">
        <w:rPr>
          <w:lang w:val="en-GB"/>
        </w:rPr>
        <w:t>h</w:t>
      </w:r>
      <w:r w:rsidRPr="00C31ACD">
        <w:t>)</w:t>
      </w:r>
      <w:r w:rsidRPr="00C31ACD">
        <w:tab/>
        <w:t>инициативы частного сектора в целях повышения производительности железнодорожных перевозок:</w:t>
      </w:r>
    </w:p>
    <w:p w:rsidR="00734A25" w:rsidRPr="00C31ACD" w:rsidRDefault="00734A25" w:rsidP="00734A25">
      <w:pPr>
        <w:pStyle w:val="SingleTxtG"/>
        <w:ind w:left="1701"/>
      </w:pPr>
      <w:r w:rsidRPr="00C31ACD">
        <w:rPr>
          <w:lang w:val="en-GB"/>
        </w:rPr>
        <w:lastRenderedPageBreak/>
        <w:t>i</w:t>
      </w:r>
      <w:r w:rsidRPr="00C31ACD">
        <w:t>)</w:t>
      </w:r>
      <w:r w:rsidRPr="00C31ACD">
        <w:tab/>
        <w:t>увеличение длины и веса поездов: это явилось бы дополнительным фактором укрепления сотрудничества между Европой и Азией;</w:t>
      </w:r>
    </w:p>
    <w:p w:rsidR="00734A25" w:rsidRPr="00C31ACD" w:rsidRDefault="00734A25" w:rsidP="00734A25">
      <w:pPr>
        <w:pStyle w:val="SingleTxtG"/>
        <w:ind w:left="1701"/>
      </w:pPr>
      <w:r w:rsidRPr="00C31ACD">
        <w:rPr>
          <w:lang w:val="en-GB"/>
        </w:rPr>
        <w:t>ii</w:t>
      </w:r>
      <w:r w:rsidRPr="00C31ACD">
        <w:t>)</w:t>
      </w:r>
      <w:r w:rsidRPr="00C31ACD">
        <w:tab/>
        <w:t>сокращение межпоездных интервалов: это позволило бы увеличить количество поездов и более эффективно использовать потенциал сети;</w:t>
      </w:r>
    </w:p>
    <w:p w:rsidR="00734A25" w:rsidRPr="00C31ACD" w:rsidRDefault="00734A25" w:rsidP="00734A25">
      <w:pPr>
        <w:pStyle w:val="SingleTxtG"/>
        <w:ind w:left="1701"/>
      </w:pPr>
      <w:r w:rsidRPr="00C31ACD">
        <w:rPr>
          <w:lang w:val="en-GB"/>
        </w:rPr>
        <w:t>iii</w:t>
      </w:r>
      <w:r w:rsidRPr="00C31ACD">
        <w:t>)</w:t>
      </w:r>
      <w:r w:rsidRPr="00C31ACD">
        <w:tab/>
        <w:t>изменение длины поезда с 600 м до 1</w:t>
      </w:r>
      <w:r w:rsidR="00CA1B77">
        <w:t> </w:t>
      </w:r>
      <w:r w:rsidRPr="00C31ACD">
        <w:t>500 м позволило бы существенно сократить транспортные расходы;</w:t>
      </w:r>
    </w:p>
    <w:p w:rsidR="00734A25" w:rsidRPr="00C31ACD" w:rsidRDefault="00734A25" w:rsidP="00734A25">
      <w:pPr>
        <w:pStyle w:val="SingleTxtG"/>
        <w:ind w:left="1701"/>
      </w:pPr>
      <w:r w:rsidRPr="00C31ACD">
        <w:rPr>
          <w:lang w:val="en-GB"/>
        </w:rPr>
        <w:t>iv</w:t>
      </w:r>
      <w:r w:rsidRPr="00C31ACD">
        <w:t>)</w:t>
      </w:r>
      <w:r w:rsidRPr="00C31ACD">
        <w:tab/>
        <w:t>необходимость расширения маршрутов ЕАТС с уделением внимания проектам Организации Объединенных Наций, ТЕА и ТЕЖ, а также другим новым инициативам, внесенным участниками, в частности инициированному</w:t>
      </w:r>
      <w:r w:rsidR="00CA1B77">
        <w:t xml:space="preserve"> правительством Польши проекту «</w:t>
      </w:r>
      <w:r w:rsidRPr="00C31ACD">
        <w:t>Виа Карпатия</w:t>
      </w:r>
      <w:r w:rsidR="00CA1B77">
        <w:t>»</w:t>
      </w:r>
      <w:r w:rsidRPr="00C31ACD">
        <w:t>, трансмагрибскому коридору, который курирует секретариат СЕТМО, а также глубоководному порту в Анаклиа, Грузия</w:t>
      </w:r>
      <w:r w:rsidR="00BF65F8">
        <w:t>,</w:t>
      </w:r>
      <w:r w:rsidRPr="00C31ACD">
        <w:t xml:space="preserve"> и т</w:t>
      </w:r>
      <w:r w:rsidR="00CA1B77">
        <w:t xml:space="preserve">. </w:t>
      </w:r>
      <w:r w:rsidRPr="00C31ACD">
        <w:t>д.</w:t>
      </w:r>
    </w:p>
    <w:p w:rsidR="00734A25" w:rsidRPr="00C31ACD" w:rsidRDefault="00734A25" w:rsidP="00734A25">
      <w:pPr>
        <w:pStyle w:val="SingleTxtG"/>
      </w:pPr>
      <w:r w:rsidRPr="00C31ACD">
        <w:t>7.</w:t>
      </w:r>
      <w:r w:rsidRPr="00C31ACD">
        <w:tab/>
        <w:t>В то же время участники Конференции отметили следующие проблемы на конкретных транспортных коридорах:</w:t>
      </w:r>
    </w:p>
    <w:p w:rsidR="00734A25" w:rsidRPr="00C31ACD" w:rsidRDefault="00734A25" w:rsidP="00734A25">
      <w:pPr>
        <w:pStyle w:val="SingleTxtG"/>
      </w:pPr>
      <w:r w:rsidRPr="00734A25">
        <w:tab/>
      </w:r>
      <w:r w:rsidRPr="00734A25">
        <w:tab/>
      </w:r>
      <w:r w:rsidRPr="00C31ACD">
        <w:rPr>
          <w:lang w:val="en-GB"/>
        </w:rPr>
        <w:t>a</w:t>
      </w:r>
      <w:r w:rsidRPr="00C31ACD">
        <w:t>)</w:t>
      </w:r>
      <w:r w:rsidRPr="00C31ACD">
        <w:tab/>
      </w:r>
      <w:r w:rsidR="00BF65F8" w:rsidRPr="00C31ACD">
        <w:t>М</w:t>
      </w:r>
      <w:r w:rsidRPr="00C31ACD">
        <w:t>аршруты 1,</w:t>
      </w:r>
      <w:r w:rsidR="00CA1B77">
        <w:t xml:space="preserve"> </w:t>
      </w:r>
      <w:r w:rsidRPr="00C31ACD">
        <w:t>2 и 6 ЕАТС (Китай, Монголия, Казахстан, Российская Федерация, Беларусь, Польша):</w:t>
      </w:r>
    </w:p>
    <w:p w:rsidR="00734A25" w:rsidRPr="00C31ACD" w:rsidRDefault="00734A25" w:rsidP="00734A25">
      <w:pPr>
        <w:pStyle w:val="SingleTxtG"/>
        <w:ind w:left="1701"/>
      </w:pPr>
      <w:r w:rsidRPr="00C31ACD">
        <w:rPr>
          <w:lang w:val="en-GB"/>
        </w:rPr>
        <w:t>i</w:t>
      </w:r>
      <w:r w:rsidRPr="00C31ACD">
        <w:t>)</w:t>
      </w:r>
      <w:r w:rsidRPr="00C31ACD">
        <w:tab/>
        <w:t>они являются действующими коридорами; время нахождения в пути по ним в сред</w:t>
      </w:r>
      <w:r w:rsidR="00CA1B77">
        <w:t>нем составляет 14 суток (Китай –</w:t>
      </w:r>
      <w:r w:rsidRPr="00C31ACD">
        <w:t xml:space="preserve"> Дуйсбург);</w:t>
      </w:r>
    </w:p>
    <w:p w:rsidR="00734A25" w:rsidRPr="00C31ACD" w:rsidRDefault="00734A25" w:rsidP="00734A25">
      <w:pPr>
        <w:pStyle w:val="SingleTxtG"/>
        <w:ind w:left="1701"/>
      </w:pPr>
      <w:r w:rsidRPr="00C31ACD">
        <w:rPr>
          <w:lang w:val="en-GB"/>
        </w:rPr>
        <w:t>ii</w:t>
      </w:r>
      <w:r w:rsidRPr="00C31ACD">
        <w:t>)</w:t>
      </w:r>
      <w:r w:rsidRPr="00C31ACD">
        <w:tab/>
        <w:t>в настоящее время по этим коридорам осуществляется движение большинства маршрутных поездов, обеспечивающих сообщение между двумя континентами;</w:t>
      </w:r>
    </w:p>
    <w:p w:rsidR="00734A25" w:rsidRPr="00C31ACD" w:rsidRDefault="00734A25" w:rsidP="00734A25">
      <w:pPr>
        <w:pStyle w:val="SingleTxtG"/>
        <w:ind w:left="1701"/>
      </w:pPr>
      <w:r w:rsidRPr="00C31ACD">
        <w:rPr>
          <w:lang w:val="en-GB"/>
        </w:rPr>
        <w:t>iii</w:t>
      </w:r>
      <w:r w:rsidRPr="00C31ACD">
        <w:t>)</w:t>
      </w:r>
      <w:r w:rsidRPr="00C31ACD">
        <w:tab/>
        <w:t>основными операторами этих коридоров являются крупные экспедиторские компании;</w:t>
      </w:r>
    </w:p>
    <w:p w:rsidR="00734A25" w:rsidRPr="00C31ACD" w:rsidRDefault="00734A25" w:rsidP="00734A25">
      <w:pPr>
        <w:pStyle w:val="SingleTxtG"/>
        <w:ind w:left="1701"/>
      </w:pPr>
      <w:r w:rsidRPr="00C31ACD">
        <w:rPr>
          <w:lang w:val="en-GB"/>
        </w:rPr>
        <w:t>iv</w:t>
      </w:r>
      <w:r w:rsidRPr="00C31ACD">
        <w:t>)</w:t>
      </w:r>
      <w:r w:rsidRPr="00C31ACD">
        <w:tab/>
        <w:t>требуется модернизация контрольно-пропускных пунктов и пограничных процедур;</w:t>
      </w:r>
    </w:p>
    <w:p w:rsidR="00734A25" w:rsidRPr="00C31ACD" w:rsidRDefault="00734A25" w:rsidP="00734A25">
      <w:pPr>
        <w:pStyle w:val="SingleTxtG"/>
        <w:ind w:left="1701"/>
      </w:pPr>
      <w:r w:rsidRPr="00C31ACD">
        <w:rPr>
          <w:lang w:val="en-GB"/>
        </w:rPr>
        <w:t>v</w:t>
      </w:r>
      <w:r w:rsidRPr="00C31ACD">
        <w:t>)</w:t>
      </w:r>
      <w:r w:rsidRPr="00C31ACD">
        <w:tab/>
        <w:t xml:space="preserve">потребность в увеличении парка контейнерных платформ до 2024 года составляет до 16 </w:t>
      </w:r>
      <w:r w:rsidR="00CA1B77">
        <w:t>000</w:t>
      </w:r>
      <w:r w:rsidRPr="00C31ACD">
        <w:t xml:space="preserve"> единиц;</w:t>
      </w:r>
    </w:p>
    <w:p w:rsidR="00734A25" w:rsidRPr="00C31ACD" w:rsidRDefault="00734A25" w:rsidP="00734A25">
      <w:pPr>
        <w:pStyle w:val="SingleTxtG"/>
        <w:ind w:left="1701"/>
      </w:pPr>
      <w:r w:rsidRPr="00C31ACD">
        <w:rPr>
          <w:lang w:val="en-GB"/>
        </w:rPr>
        <w:t>vi</w:t>
      </w:r>
      <w:r w:rsidRPr="00C31ACD">
        <w:t>)</w:t>
      </w:r>
      <w:r w:rsidRPr="00C31ACD">
        <w:tab/>
        <w:t>необходимо утвердить долгосрочные сквозные тарифы для транзитных маршрутов;</w:t>
      </w:r>
    </w:p>
    <w:p w:rsidR="00734A25" w:rsidRPr="00C31ACD" w:rsidRDefault="00734A25" w:rsidP="00734A25">
      <w:pPr>
        <w:pStyle w:val="SingleTxtG"/>
        <w:ind w:left="1701"/>
      </w:pPr>
      <w:r w:rsidRPr="00C31ACD">
        <w:rPr>
          <w:lang w:val="en-GB"/>
        </w:rPr>
        <w:t>vii</w:t>
      </w:r>
      <w:r w:rsidRPr="00C31ACD">
        <w:t>)</w:t>
      </w:r>
      <w:r w:rsidRPr="00C31ACD">
        <w:tab/>
        <w:t>в связи с погодными условиями, особенно в зимний период, для транспортировки конкретных грузов может потребоваться специальное оборудование для поддержания температуры;</w:t>
      </w:r>
    </w:p>
    <w:p w:rsidR="00734A25" w:rsidRPr="00C31ACD" w:rsidRDefault="00734A25" w:rsidP="00734A25">
      <w:pPr>
        <w:pStyle w:val="SingleTxtG"/>
        <w:ind w:left="1701"/>
      </w:pPr>
      <w:r w:rsidRPr="00C31ACD">
        <w:rPr>
          <w:lang w:val="en-GB"/>
        </w:rPr>
        <w:t>viii</w:t>
      </w:r>
      <w:r w:rsidRPr="00C31ACD">
        <w:t>)</w:t>
      </w:r>
      <w:r w:rsidRPr="00C31ACD">
        <w:tab/>
        <w:t>частный сектор предполагает, что внедрение технологии одноблочных поездов длиной 57</w:t>
      </w:r>
      <w:r w:rsidR="00CA1B77">
        <w:t>–</w:t>
      </w:r>
      <w:r w:rsidRPr="00C31ACD">
        <w:t>71 единиц позволит повысить грузоподъемность и увеличить общий д</w:t>
      </w:r>
      <w:r w:rsidR="00BF65F8">
        <w:t>оход железнодорожных операторов.</w:t>
      </w:r>
    </w:p>
    <w:p w:rsidR="00734A25" w:rsidRPr="00C31ACD" w:rsidRDefault="00734A25" w:rsidP="00734A25">
      <w:pPr>
        <w:pStyle w:val="SingleTxtG"/>
      </w:pPr>
      <w:r w:rsidRPr="00734A25">
        <w:tab/>
      </w:r>
      <w:r w:rsidRPr="00734A25">
        <w:tab/>
      </w:r>
      <w:r w:rsidRPr="00C31ACD">
        <w:rPr>
          <w:lang w:val="en-GB"/>
        </w:rPr>
        <w:t>b</w:t>
      </w:r>
      <w:r w:rsidRPr="00C31ACD">
        <w:t>)</w:t>
      </w:r>
      <w:r w:rsidRPr="00C31ACD">
        <w:tab/>
      </w:r>
      <w:r w:rsidR="00BF65F8" w:rsidRPr="00C31ACD">
        <w:t>М</w:t>
      </w:r>
      <w:r w:rsidRPr="00C31ACD">
        <w:t>аршруты 3,</w:t>
      </w:r>
      <w:r w:rsidR="00CA1B77">
        <w:t xml:space="preserve"> </w:t>
      </w:r>
      <w:r w:rsidRPr="00C31ACD">
        <w:t>4 и 7 ЕАТС (Китай, страны Центральной Азии, Турция</w:t>
      </w:r>
      <w:r w:rsidR="00BF65F8">
        <w:t>,</w:t>
      </w:r>
      <w:r w:rsidRPr="00C31ACD">
        <w:t xml:space="preserve"> или Румыния</w:t>
      </w:r>
      <w:r w:rsidR="00BF65F8">
        <w:t>, или</w:t>
      </w:r>
      <w:r w:rsidRPr="00C31ACD">
        <w:t xml:space="preserve"> Украина):</w:t>
      </w:r>
    </w:p>
    <w:p w:rsidR="00734A25" w:rsidRPr="00C31ACD" w:rsidRDefault="00734A25" w:rsidP="00734A25">
      <w:pPr>
        <w:pStyle w:val="SingleTxtG"/>
        <w:ind w:left="1701"/>
      </w:pPr>
      <w:r w:rsidRPr="00C31ACD">
        <w:rPr>
          <w:lang w:val="en-GB"/>
        </w:rPr>
        <w:t>i</w:t>
      </w:r>
      <w:r w:rsidRPr="00C31ACD">
        <w:t>)</w:t>
      </w:r>
      <w:r w:rsidRPr="00C31ACD">
        <w:tab/>
        <w:t>по-прежнему имеются недостающие звенья и требуется техническое обслуживание инфраструктуры;</w:t>
      </w:r>
    </w:p>
    <w:p w:rsidR="00734A25" w:rsidRPr="00C31ACD" w:rsidRDefault="00734A25" w:rsidP="00734A25">
      <w:pPr>
        <w:pStyle w:val="SingleTxtG"/>
        <w:ind w:left="1701"/>
      </w:pPr>
      <w:r w:rsidRPr="00C31ACD">
        <w:rPr>
          <w:lang w:val="en-GB"/>
        </w:rPr>
        <w:t>ii</w:t>
      </w:r>
      <w:r w:rsidRPr="00C31ACD">
        <w:t>)</w:t>
      </w:r>
      <w:r w:rsidRPr="00C31ACD">
        <w:tab/>
        <w:t>необходимо упростить процедуру пересечения границ;</w:t>
      </w:r>
    </w:p>
    <w:p w:rsidR="00734A25" w:rsidRPr="00C31ACD" w:rsidRDefault="00734A25" w:rsidP="00734A25">
      <w:pPr>
        <w:pStyle w:val="SingleTxtG"/>
        <w:ind w:left="1701"/>
      </w:pPr>
      <w:r w:rsidRPr="00C31ACD">
        <w:rPr>
          <w:lang w:val="en-GB"/>
        </w:rPr>
        <w:t>iii</w:t>
      </w:r>
      <w:r w:rsidRPr="00C31ACD">
        <w:t>)</w:t>
      </w:r>
      <w:r w:rsidRPr="00C31ACD">
        <w:tab/>
        <w:t>отмечалось отсутствие сотрудничества между железнодорожными предприятиями в целях осуществления перевозок маршрутными поездами (единых тарифов/графиков);</w:t>
      </w:r>
    </w:p>
    <w:p w:rsidR="00734A25" w:rsidRPr="00C31ACD" w:rsidRDefault="00734A25" w:rsidP="00734A25">
      <w:pPr>
        <w:pStyle w:val="SingleTxtG"/>
        <w:ind w:left="1701"/>
      </w:pPr>
      <w:r w:rsidRPr="00C31ACD">
        <w:rPr>
          <w:lang w:val="en-GB"/>
        </w:rPr>
        <w:t>iv</w:t>
      </w:r>
      <w:r w:rsidRPr="00C31ACD">
        <w:t>)</w:t>
      </w:r>
      <w:r w:rsidRPr="00C31ACD">
        <w:tab/>
        <w:t>было указано на вопросы безопасности/охраны;</w:t>
      </w:r>
    </w:p>
    <w:p w:rsidR="00734A25" w:rsidRPr="00C31ACD" w:rsidRDefault="00734A25" w:rsidP="00734A25">
      <w:pPr>
        <w:pStyle w:val="SingleTxtG"/>
        <w:ind w:left="1701"/>
      </w:pPr>
      <w:r w:rsidRPr="00C31ACD">
        <w:rPr>
          <w:lang w:val="en-GB"/>
        </w:rPr>
        <w:t>v</w:t>
      </w:r>
      <w:r w:rsidRPr="00C31ACD">
        <w:t>)</w:t>
      </w:r>
      <w:r w:rsidRPr="00C31ACD">
        <w:tab/>
        <w:t>украинский делегат упомянул о том, что в нынешней ситуации по причине ограничений, введенных Российской Федерацией на перевозки по маршруту 3 ЕАТС из Украин</w:t>
      </w:r>
      <w:r w:rsidR="00BF65F8">
        <w:t>ы</w:t>
      </w:r>
      <w:r w:rsidRPr="00C31ACD">
        <w:t xml:space="preserve"> в страны Центральной Ази</w:t>
      </w:r>
      <w:r w:rsidR="00BF65F8">
        <w:t>и, их объем сократился почти в три</w:t>
      </w:r>
      <w:r w:rsidRPr="00C31ACD">
        <w:t xml:space="preserve"> раза. Это привело к переориентации грузовых потоков на альтернативный маршрут с использованием паромной переправы на Черном и Каспийском морях и к прекращен</w:t>
      </w:r>
      <w:r w:rsidR="00BF65F8">
        <w:t>ию перевозок по маршруту 3 ЕАТС;</w:t>
      </w:r>
    </w:p>
    <w:p w:rsidR="00734A25" w:rsidRPr="00C31ACD" w:rsidRDefault="00734A25" w:rsidP="00734A25">
      <w:pPr>
        <w:pStyle w:val="SingleTxtG"/>
        <w:ind w:left="1701"/>
      </w:pPr>
      <w:r w:rsidRPr="00C31ACD">
        <w:rPr>
          <w:lang w:val="en-GB"/>
        </w:rPr>
        <w:lastRenderedPageBreak/>
        <w:t>vi</w:t>
      </w:r>
      <w:r w:rsidRPr="00C31ACD">
        <w:t>)</w:t>
      </w:r>
      <w:r w:rsidRPr="00C31ACD">
        <w:tab/>
      </w:r>
      <w:r w:rsidR="00BF65F8" w:rsidRPr="00C31ACD">
        <w:t>п</w:t>
      </w:r>
      <w:r w:rsidRPr="00C31ACD">
        <w:t>редставитель Российской Федерации отметил, что в настоящее время маршрут 3 ЕАТС является действующим и что перевозки по этому конкретному коридору осуществляются, но в условиях усиленных мер контроля. Кроме того, делегат от Российской Федерации заявил о том, что эта международная конференция посвящена развитию евро-азиатских коридоров и что следует избегать любых попыток политизировать эти усилия, поэтому о них определенно не следует упоминать в окончательных выводах и рекомендациях Конференции.</w:t>
      </w:r>
    </w:p>
    <w:p w:rsidR="00734A25" w:rsidRPr="00C31ACD" w:rsidRDefault="00734A25" w:rsidP="00734A25">
      <w:pPr>
        <w:pStyle w:val="SingleTxtG"/>
      </w:pPr>
      <w:r w:rsidRPr="00734A25">
        <w:tab/>
      </w:r>
      <w:r w:rsidRPr="00734A25">
        <w:tab/>
      </w:r>
      <w:r w:rsidRPr="00C31ACD">
        <w:rPr>
          <w:lang w:val="en-GB"/>
        </w:rPr>
        <w:t>c</w:t>
      </w:r>
      <w:r w:rsidRPr="00C31ACD">
        <w:t>)</w:t>
      </w:r>
      <w:r w:rsidRPr="00C31ACD">
        <w:tab/>
      </w:r>
      <w:r w:rsidR="00BF65F8" w:rsidRPr="00C31ACD">
        <w:t>М</w:t>
      </w:r>
      <w:r w:rsidRPr="00C31ACD">
        <w:t>аршруты 5,</w:t>
      </w:r>
      <w:r w:rsidR="00BF65F8">
        <w:t xml:space="preserve"> </w:t>
      </w:r>
      <w:r w:rsidRPr="00C31ACD">
        <w:t>8 и 9 ЕАТС (коридоры «Север</w:t>
      </w:r>
      <w:r w:rsidR="00BF65F8">
        <w:t>–</w:t>
      </w:r>
      <w:r w:rsidRPr="00C31ACD">
        <w:t>Юг»):</w:t>
      </w:r>
    </w:p>
    <w:p w:rsidR="00734A25" w:rsidRPr="00C31ACD" w:rsidRDefault="00734A25" w:rsidP="00734A25">
      <w:pPr>
        <w:pStyle w:val="SingleTxtG"/>
        <w:ind w:left="1701"/>
      </w:pPr>
      <w:r w:rsidRPr="00C31ACD">
        <w:rPr>
          <w:lang w:val="en-GB"/>
        </w:rPr>
        <w:t>i</w:t>
      </w:r>
      <w:r w:rsidRPr="00C31ACD">
        <w:t>)</w:t>
      </w:r>
      <w:r w:rsidRPr="00C31ACD">
        <w:tab/>
        <w:t>было налажено сотрудничество между различными заинтересованными сторонами;</w:t>
      </w:r>
    </w:p>
    <w:p w:rsidR="00734A25" w:rsidRPr="00C31ACD" w:rsidRDefault="00734A25" w:rsidP="00734A25">
      <w:pPr>
        <w:pStyle w:val="SingleTxtG"/>
        <w:ind w:left="1701"/>
      </w:pPr>
      <w:r w:rsidRPr="00C31ACD">
        <w:rPr>
          <w:lang w:val="en-GB"/>
        </w:rPr>
        <w:t>ii</w:t>
      </w:r>
      <w:r w:rsidRPr="00C31ACD">
        <w:t>)</w:t>
      </w:r>
      <w:r w:rsidRPr="00C31ACD">
        <w:tab/>
        <w:t>уже проводятся совещания Рабочей группы;</w:t>
      </w:r>
    </w:p>
    <w:p w:rsidR="00734A25" w:rsidRPr="00C31ACD" w:rsidRDefault="00734A25" w:rsidP="00734A25">
      <w:pPr>
        <w:pStyle w:val="SingleTxtG"/>
        <w:ind w:left="1701"/>
      </w:pPr>
      <w:r w:rsidRPr="00C31ACD">
        <w:rPr>
          <w:lang w:val="en-GB"/>
        </w:rPr>
        <w:t>iii</w:t>
      </w:r>
      <w:r w:rsidRPr="00C31ACD">
        <w:t>)</w:t>
      </w:r>
      <w:r w:rsidRPr="00C31ACD">
        <w:tab/>
        <w:t xml:space="preserve">недостающие звенья </w:t>
      </w:r>
      <w:r w:rsidR="00CA1B77">
        <w:t>–</w:t>
      </w:r>
      <w:r w:rsidRPr="00C31ACD">
        <w:t xml:space="preserve"> требуются инвестиции в инфраструктуру;</w:t>
      </w:r>
    </w:p>
    <w:p w:rsidR="00734A25" w:rsidRPr="00C31ACD" w:rsidRDefault="00734A25" w:rsidP="00734A25">
      <w:pPr>
        <w:pStyle w:val="SingleTxtG"/>
        <w:ind w:left="1701"/>
      </w:pPr>
      <w:r w:rsidRPr="00C31ACD">
        <w:rPr>
          <w:lang w:val="en-GB"/>
        </w:rPr>
        <w:t>iv</w:t>
      </w:r>
      <w:r w:rsidRPr="00C31ACD">
        <w:t>)</w:t>
      </w:r>
      <w:r w:rsidRPr="00C31ACD">
        <w:tab/>
        <w:t>необходимо внести дальнейшие улучшения в работу по упрощению процедур пересечения границ.</w:t>
      </w:r>
    </w:p>
    <w:p w:rsidR="00734A25" w:rsidRPr="00C31ACD" w:rsidRDefault="00734A25" w:rsidP="00734A25">
      <w:pPr>
        <w:pStyle w:val="SingleTxtG"/>
      </w:pPr>
      <w:r w:rsidRPr="00734A25">
        <w:tab/>
      </w:r>
      <w:r w:rsidRPr="00734A25">
        <w:tab/>
      </w:r>
      <w:r w:rsidRPr="00C31ACD">
        <w:rPr>
          <w:lang w:val="en-GB"/>
        </w:rPr>
        <w:t>d</w:t>
      </w:r>
      <w:r w:rsidRPr="00C31ACD">
        <w:t>)</w:t>
      </w:r>
      <w:r w:rsidRPr="00C31ACD">
        <w:tab/>
        <w:t>Общие проблемы:</w:t>
      </w:r>
    </w:p>
    <w:p w:rsidR="00734A25" w:rsidRPr="00C31ACD" w:rsidRDefault="00734A25" w:rsidP="00734A25">
      <w:pPr>
        <w:pStyle w:val="SingleTxtG"/>
        <w:ind w:left="1701"/>
      </w:pPr>
      <w:r w:rsidRPr="00C31ACD">
        <w:rPr>
          <w:lang w:val="en-GB"/>
        </w:rPr>
        <w:t>i</w:t>
      </w:r>
      <w:r w:rsidRPr="00C31ACD">
        <w:t>)</w:t>
      </w:r>
      <w:r w:rsidRPr="00C31ACD">
        <w:tab/>
        <w:t>в Китай из Европы возвращаются порожние поезда;</w:t>
      </w:r>
    </w:p>
    <w:p w:rsidR="00734A25" w:rsidRPr="00C31ACD" w:rsidRDefault="00734A25" w:rsidP="00734A25">
      <w:pPr>
        <w:pStyle w:val="SingleTxtG"/>
        <w:ind w:left="1701"/>
      </w:pPr>
      <w:r w:rsidRPr="00C31ACD">
        <w:rPr>
          <w:lang w:val="en-GB"/>
        </w:rPr>
        <w:t>ii</w:t>
      </w:r>
      <w:r w:rsidRPr="00C31ACD">
        <w:t>)</w:t>
      </w:r>
      <w:r w:rsidRPr="00C31ACD">
        <w:tab/>
        <w:t>поступали сообщения о различиях, касающихся:</w:t>
      </w:r>
    </w:p>
    <w:p w:rsidR="00734A25" w:rsidRPr="00C31ACD" w:rsidRDefault="00734A25" w:rsidP="00734A25">
      <w:pPr>
        <w:pStyle w:val="SingleTxtG"/>
        <w:ind w:left="2268"/>
      </w:pPr>
      <w:r w:rsidRPr="00C31ACD">
        <w:rPr>
          <w:lang w:val="en-GB"/>
        </w:rPr>
        <w:t>a</w:t>
      </w:r>
      <w:r w:rsidRPr="00C31ACD">
        <w:t>.</w:t>
      </w:r>
      <w:r w:rsidRPr="00C31ACD">
        <w:tab/>
        <w:t>ширины железнодорожной колеи;</w:t>
      </w:r>
    </w:p>
    <w:p w:rsidR="00734A25" w:rsidRPr="00C31ACD" w:rsidRDefault="00734A25" w:rsidP="00734A25">
      <w:pPr>
        <w:pStyle w:val="SingleTxtG"/>
        <w:ind w:left="2268"/>
      </w:pPr>
      <w:r w:rsidRPr="00C31ACD">
        <w:rPr>
          <w:lang w:val="en-GB"/>
        </w:rPr>
        <w:t>b</w:t>
      </w:r>
      <w:r w:rsidRPr="00C31ACD">
        <w:t>.</w:t>
      </w:r>
      <w:r w:rsidRPr="00C31ACD">
        <w:tab/>
        <w:t>энергетических систем;</w:t>
      </w:r>
    </w:p>
    <w:p w:rsidR="00734A25" w:rsidRPr="00C31ACD" w:rsidRDefault="00734A25" w:rsidP="00734A25">
      <w:pPr>
        <w:pStyle w:val="SingleTxtG"/>
        <w:ind w:left="2268"/>
      </w:pPr>
      <w:r w:rsidRPr="00C31ACD">
        <w:rPr>
          <w:lang w:val="en-GB"/>
        </w:rPr>
        <w:t>c</w:t>
      </w:r>
      <w:r w:rsidRPr="00C31ACD">
        <w:t>.</w:t>
      </w:r>
      <w:r w:rsidRPr="00C31ACD">
        <w:tab/>
        <w:t>габаритов приближения строений;</w:t>
      </w:r>
    </w:p>
    <w:p w:rsidR="00734A25" w:rsidRPr="00C31ACD" w:rsidRDefault="00734A25" w:rsidP="00734A25">
      <w:pPr>
        <w:pStyle w:val="SingleTxtG"/>
        <w:ind w:left="2268"/>
      </w:pPr>
      <w:r w:rsidRPr="00C31ACD">
        <w:rPr>
          <w:lang w:val="en-GB"/>
        </w:rPr>
        <w:t>d</w:t>
      </w:r>
      <w:r w:rsidRPr="00C31ACD">
        <w:t>.</w:t>
      </w:r>
      <w:r w:rsidRPr="00C31ACD">
        <w:tab/>
        <w:t>систем защиты поездов (&gt;20);</w:t>
      </w:r>
    </w:p>
    <w:p w:rsidR="00734A25" w:rsidRPr="00C31ACD" w:rsidRDefault="00734A25" w:rsidP="00734A25">
      <w:pPr>
        <w:pStyle w:val="SingleTxtG"/>
        <w:ind w:left="2268"/>
      </w:pPr>
      <w:r w:rsidRPr="00C31ACD">
        <w:rPr>
          <w:lang w:val="en-GB"/>
        </w:rPr>
        <w:t>e</w:t>
      </w:r>
      <w:r w:rsidRPr="00C31ACD">
        <w:t>.</w:t>
      </w:r>
      <w:r w:rsidRPr="00C31ACD">
        <w:tab/>
        <w:t>систем сигнализации;</w:t>
      </w:r>
    </w:p>
    <w:p w:rsidR="00734A25" w:rsidRPr="00C31ACD" w:rsidRDefault="00734A25" w:rsidP="00734A25">
      <w:pPr>
        <w:pStyle w:val="SingleTxtG"/>
        <w:ind w:left="2268"/>
      </w:pPr>
      <w:r w:rsidRPr="00C31ACD">
        <w:rPr>
          <w:lang w:val="en-GB"/>
        </w:rPr>
        <w:t>f</w:t>
      </w:r>
      <w:r w:rsidRPr="00C31ACD">
        <w:t>.</w:t>
      </w:r>
      <w:r w:rsidRPr="00C31ACD">
        <w:tab/>
        <w:t>изображений сигнальных знаков;</w:t>
      </w:r>
    </w:p>
    <w:p w:rsidR="00734A25" w:rsidRPr="00C31ACD" w:rsidRDefault="00734A25" w:rsidP="00734A25">
      <w:pPr>
        <w:pStyle w:val="SingleTxtG"/>
        <w:ind w:left="2268"/>
      </w:pPr>
      <w:r w:rsidRPr="00C31ACD">
        <w:rPr>
          <w:lang w:val="en-GB"/>
        </w:rPr>
        <w:t>g</w:t>
      </w:r>
      <w:r w:rsidRPr="00C31ACD">
        <w:t>.</w:t>
      </w:r>
      <w:r w:rsidRPr="00C31ACD">
        <w:tab/>
        <w:t>систем радиосвязи;</w:t>
      </w:r>
    </w:p>
    <w:p w:rsidR="00734A25" w:rsidRPr="00C31ACD" w:rsidRDefault="00734A25" w:rsidP="00734A25">
      <w:pPr>
        <w:pStyle w:val="SingleTxtG"/>
        <w:ind w:left="2268"/>
      </w:pPr>
      <w:r w:rsidRPr="00C31ACD">
        <w:rPr>
          <w:lang w:val="en-GB"/>
        </w:rPr>
        <w:t>h</w:t>
      </w:r>
      <w:r w:rsidRPr="00C31ACD">
        <w:t>.</w:t>
      </w:r>
      <w:r w:rsidRPr="00C31ACD">
        <w:tab/>
        <w:t>ширины токоприемников;</w:t>
      </w:r>
    </w:p>
    <w:p w:rsidR="00734A25" w:rsidRPr="00C31ACD" w:rsidRDefault="00734A25" w:rsidP="00734A25">
      <w:pPr>
        <w:pStyle w:val="SingleTxtG"/>
        <w:ind w:left="2268"/>
      </w:pPr>
      <w:r w:rsidRPr="00C31ACD">
        <w:rPr>
          <w:lang w:val="en-GB"/>
        </w:rPr>
        <w:t>i</w:t>
      </w:r>
      <w:r w:rsidRPr="00C31ACD">
        <w:t>.</w:t>
      </w:r>
      <w:r w:rsidRPr="00C31ACD">
        <w:tab/>
        <w:t>правил, устанавливающи</w:t>
      </w:r>
      <w:r w:rsidR="00BF65F8">
        <w:t>х</w:t>
      </w:r>
      <w:r w:rsidRPr="00C31ACD">
        <w:t xml:space="preserve"> критерии подготовки;</w:t>
      </w:r>
    </w:p>
    <w:p w:rsidR="00734A25" w:rsidRPr="00C31ACD" w:rsidRDefault="00734A25" w:rsidP="00734A25">
      <w:pPr>
        <w:pStyle w:val="SingleTxtG"/>
        <w:ind w:left="2268"/>
      </w:pPr>
      <w:r w:rsidRPr="00C31ACD">
        <w:rPr>
          <w:lang w:val="en-GB"/>
        </w:rPr>
        <w:t>j</w:t>
      </w:r>
      <w:r w:rsidRPr="00C31ACD">
        <w:t>.</w:t>
      </w:r>
      <w:r w:rsidRPr="00C31ACD">
        <w:tab/>
        <w:t>других технических, административных, языковых и культурных барьеров.</w:t>
      </w:r>
    </w:p>
    <w:p w:rsidR="00734A25" w:rsidRDefault="00734A25" w:rsidP="00CA1B77">
      <w:pPr>
        <w:pStyle w:val="SingleTxtG"/>
      </w:pPr>
      <w:r w:rsidRPr="00C31ACD">
        <w:t>8.</w:t>
      </w:r>
      <w:r w:rsidRPr="00C31ACD">
        <w:tab/>
        <w:t>Участники Конференции призвали заинтересованные правительства и впредь оказывать политическую поддержку проектам по развитию евразийских транспортных инициатив.</w:t>
      </w:r>
    </w:p>
    <w:p w:rsidR="00734A25" w:rsidRPr="00C31ACD" w:rsidRDefault="00734A25" w:rsidP="00734A2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A25" w:rsidRDefault="00734A25" w:rsidP="00C31ACD">
      <w:pPr>
        <w:pStyle w:val="SingleTxtG"/>
        <w:rPr>
          <w:bCs/>
        </w:rPr>
      </w:pPr>
    </w:p>
    <w:sectPr w:rsidR="00734A25" w:rsidSect="00734A25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footnotePr>
        <w:numRestart w:val="eachSect"/>
      </w:footnotePr>
      <w:endnotePr>
        <w:numFmt w:val="decimal"/>
      </w:endnotePr>
      <w:type w:val="evenPage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CD" w:rsidRPr="00A312BC" w:rsidRDefault="00C31ACD" w:rsidP="00A312BC"/>
  </w:endnote>
  <w:endnote w:type="continuationSeparator" w:id="0">
    <w:p w:rsidR="00C31ACD" w:rsidRPr="00A312BC" w:rsidRDefault="00C31AC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CD" w:rsidRDefault="00C31ACD" w:rsidP="008A1692">
    <w:pPr>
      <w:pStyle w:val="a8"/>
    </w:pPr>
    <w:r w:rsidRPr="00C31ACD">
      <w:rPr>
        <w:b/>
        <w:sz w:val="18"/>
      </w:rPr>
      <w:fldChar w:fldCharType="begin"/>
    </w:r>
    <w:r w:rsidRPr="00C31ACD">
      <w:rPr>
        <w:b/>
        <w:sz w:val="18"/>
      </w:rPr>
      <w:instrText xml:space="preserve"> PAGE  \* MERGEFORMAT </w:instrText>
    </w:r>
    <w:r w:rsidRPr="00C31ACD">
      <w:rPr>
        <w:b/>
        <w:sz w:val="18"/>
      </w:rPr>
      <w:fldChar w:fldCharType="separate"/>
    </w:r>
    <w:r w:rsidR="0073786D">
      <w:rPr>
        <w:b/>
        <w:noProof/>
        <w:sz w:val="18"/>
      </w:rPr>
      <w:t>10</w:t>
    </w:r>
    <w:r w:rsidRPr="00C31ACD">
      <w:rPr>
        <w:b/>
        <w:sz w:val="18"/>
      </w:rPr>
      <w:fldChar w:fldCharType="end"/>
    </w:r>
    <w:r>
      <w:rPr>
        <w:b/>
        <w:sz w:val="18"/>
      </w:rPr>
      <w:tab/>
    </w:r>
    <w:r>
      <w:t>GE.18-20542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CD" w:rsidRPr="008A1692" w:rsidRDefault="00C31ACD" w:rsidP="008A1692">
    <w:pPr>
      <w:pStyle w:val="a8"/>
      <w:rPr>
        <w:b/>
        <w:sz w:val="18"/>
      </w:rPr>
    </w:pPr>
    <w:r>
      <w:t>GE.18-20542</w:t>
    </w:r>
    <w:r>
      <w:tab/>
    </w:r>
    <w:r w:rsidRPr="00C31ACD">
      <w:rPr>
        <w:b/>
        <w:sz w:val="18"/>
      </w:rPr>
      <w:fldChar w:fldCharType="begin"/>
    </w:r>
    <w:r w:rsidRPr="00C31ACD">
      <w:rPr>
        <w:b/>
        <w:sz w:val="18"/>
      </w:rPr>
      <w:instrText xml:space="preserve"> PAGE  \* MERGEFORMAT </w:instrText>
    </w:r>
    <w:r w:rsidRPr="00C31ACD">
      <w:rPr>
        <w:b/>
        <w:sz w:val="18"/>
      </w:rPr>
      <w:fldChar w:fldCharType="separate"/>
    </w:r>
    <w:r w:rsidR="0073786D">
      <w:rPr>
        <w:b/>
        <w:noProof/>
        <w:sz w:val="18"/>
      </w:rPr>
      <w:t>11</w:t>
    </w:r>
    <w:r w:rsidRPr="00C31A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73" w:rsidRPr="00127D73" w:rsidRDefault="00127D73">
    <w:pPr>
      <w:pStyle w:val="a8"/>
      <w:rPr>
        <w:rFonts w:ascii="C39T30Lfz" w:hAnsi="C39T30Lfz"/>
        <w:kern w:val="14"/>
        <w:sz w:val="56"/>
      </w:rPr>
    </w:pPr>
    <w:r w:rsidRPr="00132CA1">
      <w:rPr>
        <w:sz w:val="20"/>
      </w:rPr>
      <w:t>GE.</w:t>
    </w:r>
    <w:r w:rsidRPr="00132CA1">
      <w:rPr>
        <w:b/>
        <w:noProof/>
        <w:sz w:val="20"/>
        <w:lang w:val="ru-RU"/>
      </w:rPr>
      <w:drawing>
        <wp:anchor distT="0" distB="0" distL="114300" distR="114300" simplePos="0" relativeHeight="251660288" behindDoc="0" locked="0" layoutInCell="1" allowOverlap="1" wp14:anchorId="23A266A4" wp14:editId="2848633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2CA1">
      <w:rPr>
        <w:sz w:val="20"/>
      </w:rPr>
      <w:t>1</w:t>
    </w:r>
    <w:r w:rsidRPr="00132CA1">
      <w:rPr>
        <w:sz w:val="20"/>
        <w:lang w:val="ru-RU"/>
      </w:rPr>
      <w:t>8</w:t>
    </w:r>
    <w:r w:rsidRPr="00132CA1">
      <w:rPr>
        <w:sz w:val="20"/>
      </w:rPr>
      <w:t>-</w:t>
    </w:r>
    <w:r w:rsidRPr="00132CA1">
      <w:rPr>
        <w:sz w:val="20"/>
        <w:lang w:val="ru-RU"/>
      </w:rPr>
      <w:t>20542</w:t>
    </w:r>
    <w:r w:rsidRPr="00132CA1">
      <w:rPr>
        <w:sz w:val="20"/>
      </w:rPr>
      <w:t xml:space="preserve">  (R)</w:t>
    </w:r>
    <w:r w:rsidRPr="00132CA1">
      <w:rPr>
        <w:sz w:val="20"/>
        <w:lang w:val="en-US"/>
      </w:rPr>
      <w:t xml:space="preserve">  </w:t>
    </w:r>
    <w:r w:rsidRPr="00132CA1">
      <w:rPr>
        <w:sz w:val="20"/>
        <w:lang w:val="ru-RU"/>
      </w:rPr>
      <w:t>261218</w:t>
    </w:r>
    <w:r w:rsidRPr="00132CA1">
      <w:rPr>
        <w:sz w:val="20"/>
        <w:lang w:val="en-US"/>
      </w:rPr>
      <w:t xml:space="preserve">  </w:t>
    </w:r>
    <w:r w:rsidRPr="00132CA1">
      <w:rPr>
        <w:sz w:val="20"/>
        <w:lang w:val="ru-RU"/>
      </w:rPr>
      <w:t>261218</w:t>
    </w:r>
    <w:r w:rsidRPr="00132CA1">
      <w:rPr>
        <w:sz w:val="20"/>
      </w:rPr>
      <w:br/>
    </w:r>
    <w:r>
      <w:rPr>
        <w:rFonts w:ascii="C39T30Lfz" w:hAnsi="C39T30Lfz"/>
        <w:noProof/>
        <w:kern w:val="14"/>
        <w:sz w:val="56"/>
        <w:lang w:val="ru-RU"/>
      </w:rPr>
      <w:drawing>
        <wp:anchor distT="0" distB="0" distL="114300" distR="114300" simplePos="0" relativeHeight="251658240" behindDoc="0" locked="0" layoutInCell="1" allowOverlap="1" wp14:anchorId="5F935F5C" wp14:editId="33BE36D3">
          <wp:simplePos x="0" y="0"/>
          <wp:positionH relativeFrom="margin">
            <wp:align>right</wp:align>
          </wp:positionH>
          <wp:positionV relativeFrom="paragraph">
            <wp:posOffset>5542</wp:posOffset>
          </wp:positionV>
          <wp:extent cx="628650" cy="628650"/>
          <wp:effectExtent l="0" t="0" r="0" b="0"/>
          <wp:wrapNone/>
          <wp:docPr id="14" name="Рисунок 2" descr="https://api.qrserver.com/v1/create-qr-code/?size=66x66&amp;data=https://undocs.org/ru/ECE/TRANS/2019/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api.qrserver.com/v1/create-qr-code/?size=66x66&amp;data=https://undocs.org/ru/ECE/TRANS/2019/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7D73">
      <w:rPr>
        <w:rFonts w:ascii="C39T30Lfz" w:hAnsi="C39T30Lfz"/>
        <w:kern w:val="14"/>
        <w:sz w:val="56"/>
      </w:rPr>
      <w:t></w:t>
    </w:r>
    <w:r w:rsidRPr="00127D73">
      <w:rPr>
        <w:rFonts w:ascii="C39T30Lfz" w:hAnsi="C39T30Lfz"/>
        <w:kern w:val="14"/>
        <w:sz w:val="56"/>
      </w:rPr>
      <w:t></w:t>
    </w:r>
    <w:r w:rsidRPr="00127D73">
      <w:rPr>
        <w:rFonts w:ascii="C39T30Lfz" w:hAnsi="C39T30Lfz"/>
        <w:kern w:val="14"/>
        <w:sz w:val="56"/>
      </w:rPr>
      <w:t></w:t>
    </w:r>
    <w:r w:rsidRPr="00127D73">
      <w:rPr>
        <w:rFonts w:ascii="C39T30Lfz" w:hAnsi="C39T30Lfz"/>
        <w:kern w:val="14"/>
        <w:sz w:val="56"/>
      </w:rPr>
      <w:t></w:t>
    </w:r>
    <w:r w:rsidRPr="00127D73">
      <w:rPr>
        <w:rFonts w:ascii="C39T30Lfz" w:hAnsi="C39T30Lfz"/>
        <w:kern w:val="14"/>
        <w:sz w:val="56"/>
      </w:rPr>
      <w:t></w:t>
    </w:r>
    <w:r w:rsidRPr="00127D73">
      <w:rPr>
        <w:rFonts w:ascii="C39T30Lfz" w:hAnsi="C39T30Lfz"/>
        <w:kern w:val="14"/>
        <w:sz w:val="56"/>
      </w:rPr>
      <w:t></w:t>
    </w:r>
    <w:r w:rsidRPr="00127D73">
      <w:rPr>
        <w:rFonts w:ascii="C39T30Lfz" w:hAnsi="C39T30Lfz"/>
        <w:kern w:val="14"/>
        <w:sz w:val="56"/>
      </w:rPr>
      <w:t></w:t>
    </w:r>
    <w:r w:rsidRPr="00127D73">
      <w:rPr>
        <w:rFonts w:ascii="C39T30Lfz" w:hAnsi="C39T30Lfz"/>
        <w:kern w:val="14"/>
        <w:sz w:val="56"/>
      </w:rPr>
      <w:t></w:t>
    </w:r>
    <w:r w:rsidRPr="00127D73">
      <w:rPr>
        <w:rFonts w:ascii="C39T30Lfz" w:hAnsi="C39T30Lfz"/>
        <w:kern w:val="14"/>
        <w:sz w:val="56"/>
      </w:rPr>
      <w:t>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CD" w:rsidRDefault="00C31ACD" w:rsidP="008A1692">
    <w:pPr>
      <w:pStyle w:val="a8"/>
    </w:pPr>
    <w:r w:rsidRPr="00C31ACD">
      <w:rPr>
        <w:b/>
        <w:sz w:val="18"/>
      </w:rPr>
      <w:fldChar w:fldCharType="begin"/>
    </w:r>
    <w:r w:rsidRPr="00C31ACD">
      <w:rPr>
        <w:b/>
        <w:sz w:val="18"/>
      </w:rPr>
      <w:instrText xml:space="preserve"> PAGE  \* MERGEFORMAT </w:instrText>
    </w:r>
    <w:r w:rsidRPr="00C31ACD">
      <w:rPr>
        <w:b/>
        <w:sz w:val="18"/>
      </w:rPr>
      <w:fldChar w:fldCharType="separate"/>
    </w:r>
    <w:r w:rsidR="0073786D">
      <w:rPr>
        <w:b/>
        <w:noProof/>
        <w:sz w:val="18"/>
      </w:rPr>
      <w:t>14</w:t>
    </w:r>
    <w:r w:rsidRPr="00C31ACD">
      <w:rPr>
        <w:b/>
        <w:sz w:val="18"/>
      </w:rPr>
      <w:fldChar w:fldCharType="end"/>
    </w:r>
    <w:r>
      <w:rPr>
        <w:b/>
        <w:sz w:val="18"/>
      </w:rPr>
      <w:tab/>
    </w:r>
    <w:r>
      <w:t>GE.18-20542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CD" w:rsidRPr="008A1692" w:rsidRDefault="00C31ACD" w:rsidP="008A1692">
    <w:pPr>
      <w:pStyle w:val="a8"/>
      <w:rPr>
        <w:b/>
        <w:sz w:val="18"/>
      </w:rPr>
    </w:pPr>
    <w:r>
      <w:t>GE.18-20542</w:t>
    </w:r>
    <w:r>
      <w:tab/>
    </w:r>
    <w:r w:rsidRPr="00C31ACD">
      <w:rPr>
        <w:b/>
        <w:sz w:val="18"/>
      </w:rPr>
      <w:fldChar w:fldCharType="begin"/>
    </w:r>
    <w:r w:rsidRPr="00C31ACD">
      <w:rPr>
        <w:b/>
        <w:sz w:val="18"/>
      </w:rPr>
      <w:instrText xml:space="preserve"> PAGE  \* MERGEFORMAT </w:instrText>
    </w:r>
    <w:r w:rsidRPr="00C31ACD">
      <w:rPr>
        <w:b/>
        <w:sz w:val="18"/>
      </w:rPr>
      <w:fldChar w:fldCharType="separate"/>
    </w:r>
    <w:r w:rsidR="0073786D">
      <w:rPr>
        <w:b/>
        <w:noProof/>
        <w:sz w:val="18"/>
      </w:rPr>
      <w:t>15</w:t>
    </w:r>
    <w:r w:rsidRPr="00C31ACD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A25" w:rsidRDefault="00734A25" w:rsidP="00734A25">
    <w:pPr>
      <w:pStyle w:val="a8"/>
    </w:pPr>
    <w:r w:rsidRPr="00C31ACD">
      <w:rPr>
        <w:b/>
        <w:sz w:val="18"/>
      </w:rPr>
      <w:fldChar w:fldCharType="begin"/>
    </w:r>
    <w:r w:rsidRPr="00C31ACD">
      <w:rPr>
        <w:b/>
        <w:sz w:val="18"/>
      </w:rPr>
      <w:instrText xml:space="preserve"> PAGE  \* MERGEFORMAT </w:instrText>
    </w:r>
    <w:r w:rsidRPr="00C31ACD">
      <w:rPr>
        <w:b/>
        <w:sz w:val="18"/>
      </w:rPr>
      <w:fldChar w:fldCharType="separate"/>
    </w:r>
    <w:r w:rsidR="0073786D">
      <w:rPr>
        <w:b/>
        <w:noProof/>
        <w:sz w:val="18"/>
      </w:rPr>
      <w:t>12</w:t>
    </w:r>
    <w:r w:rsidRPr="00C31ACD">
      <w:rPr>
        <w:b/>
        <w:sz w:val="18"/>
      </w:rPr>
      <w:fldChar w:fldCharType="end"/>
    </w:r>
    <w:r>
      <w:rPr>
        <w:b/>
        <w:sz w:val="18"/>
      </w:rPr>
      <w:tab/>
    </w:r>
    <w:r>
      <w:t>GE.18-20542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CD" w:rsidRPr="001075E9" w:rsidRDefault="00C31AC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31ACD" w:rsidRDefault="00C31AC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31ACD" w:rsidRPr="00745066" w:rsidRDefault="000171DE" w:rsidP="00734A25">
      <w:pPr>
        <w:pStyle w:val="ad"/>
      </w:pPr>
      <w:r>
        <w:tab/>
      </w:r>
      <w:r w:rsidR="00C31ACD" w:rsidRPr="00734A25">
        <w:rPr>
          <w:rStyle w:val="aa"/>
          <w:rFonts w:eastAsia="SimSun"/>
        </w:rPr>
        <w:footnoteRef/>
      </w:r>
      <w:r w:rsidR="00C31ACD">
        <w:tab/>
        <w:t>Развивающиеся страны, не имеющие выхода к морю.</w:t>
      </w:r>
    </w:p>
  </w:footnote>
  <w:footnote w:id="2">
    <w:p w:rsidR="00734A25" w:rsidRPr="00734A25" w:rsidRDefault="00734A25" w:rsidP="00734A25">
      <w:pPr>
        <w:pStyle w:val="ad"/>
        <w:rPr>
          <w:szCs w:val="18"/>
        </w:rPr>
      </w:pPr>
      <w:r>
        <w:tab/>
      </w:r>
      <w:r w:rsidRPr="00734A25">
        <w:rPr>
          <w:rStyle w:val="aa"/>
          <w:rFonts w:eastAsia="SimSun"/>
        </w:rPr>
        <w:footnoteRef/>
      </w:r>
      <w:r>
        <w:tab/>
      </w:r>
      <w:r w:rsidRPr="00734A25">
        <w:rPr>
          <w:color w:val="333333"/>
          <w:szCs w:val="18"/>
          <w:shd w:val="clear" w:color="auto" w:fill="FFFFFF"/>
        </w:rPr>
        <w:t>Правила международной перевозки опасных грузов по железным дорогам</w:t>
      </w:r>
      <w:r w:rsidR="00CA1B77">
        <w:rPr>
          <w:color w:val="333333"/>
          <w:szCs w:val="18"/>
          <w:shd w:val="clear" w:color="auto" w:fill="FFFFFF"/>
        </w:rPr>
        <w:t>.</w:t>
      </w:r>
    </w:p>
  </w:footnote>
  <w:footnote w:id="3">
    <w:p w:rsidR="00734A25" w:rsidRPr="00734A25" w:rsidRDefault="00734A25" w:rsidP="00734A25">
      <w:pPr>
        <w:pStyle w:val="ad"/>
        <w:rPr>
          <w:szCs w:val="18"/>
        </w:rPr>
      </w:pPr>
      <w:r w:rsidRPr="00734A25">
        <w:rPr>
          <w:szCs w:val="18"/>
        </w:rPr>
        <w:tab/>
      </w:r>
      <w:r w:rsidRPr="00734A25">
        <w:rPr>
          <w:rStyle w:val="aa"/>
          <w:rFonts w:eastAsia="SimSun"/>
          <w:szCs w:val="18"/>
        </w:rPr>
        <w:footnoteRef/>
      </w:r>
      <w:r w:rsidRPr="00734A25">
        <w:rPr>
          <w:szCs w:val="18"/>
        </w:rPr>
        <w:tab/>
      </w:r>
      <w:r w:rsidRPr="00734A25">
        <w:rPr>
          <w:color w:val="333333"/>
          <w:szCs w:val="18"/>
          <w:shd w:val="clear" w:color="auto" w:fill="FFFFFF"/>
        </w:rPr>
        <w:t>Организация сотрудничества железных дорог</w:t>
      </w:r>
      <w:r w:rsidR="00CA1B77">
        <w:rPr>
          <w:color w:val="333333"/>
          <w:szCs w:val="18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CD" w:rsidRPr="00C31ACD" w:rsidRDefault="00B2579A">
    <w:pPr>
      <w:pStyle w:val="a5"/>
    </w:pPr>
    <w:fldSimple w:instr=" TITLE  \* MERGEFORMAT ">
      <w:r w:rsidR="0073786D">
        <w:t>ECE/TRANS/2019/5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CD" w:rsidRDefault="00B2579A" w:rsidP="00734A25">
    <w:pPr>
      <w:pStyle w:val="a5"/>
      <w:jc w:val="right"/>
    </w:pPr>
    <w:fldSimple w:instr=" TITLE  \* MERGEFORMAT ">
      <w:r w:rsidR="0073786D">
        <w:t>ECE/TRANS/2019/5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CD" w:rsidRPr="00C31ACD" w:rsidRDefault="0073786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ECE/TRANS/2019/5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ACD" w:rsidRDefault="0073786D" w:rsidP="00CA1B7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ECE/TRANS/2019/5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A25" w:rsidRDefault="0073786D" w:rsidP="00734A2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ECE/TRANS/2019/5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80537"/>
    <w:multiLevelType w:val="multilevel"/>
    <w:tmpl w:val="92E6F300"/>
    <w:styleLink w:val="WWNum19"/>
    <w:lvl w:ilvl="0">
      <w:start w:val="1"/>
      <w:numFmt w:val="lowerRoman"/>
      <w:lvlText w:val="%1."/>
      <w:lvlJc w:val="right"/>
      <w:pPr>
        <w:ind w:left="3195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0C4B549B"/>
    <w:multiLevelType w:val="multilevel"/>
    <w:tmpl w:val="FE360D1C"/>
    <w:styleLink w:val="WWNum10"/>
    <w:lvl w:ilvl="0"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4106DDE"/>
    <w:multiLevelType w:val="multilevel"/>
    <w:tmpl w:val="437E9E4C"/>
    <w:styleLink w:val="WWNum11"/>
    <w:lvl w:ilvl="0">
      <w:numFmt w:val="bullet"/>
      <w:lvlText w:val="•"/>
      <w:lvlJc w:val="left"/>
      <w:pPr>
        <w:ind w:left="1701" w:hanging="170"/>
      </w:pPr>
      <w:rPr>
        <w:rFonts w:ascii="Times New Roman" w:hAnsi="Times New Roman" w:cs="Times New Roman"/>
        <w:b w:val="0"/>
        <w:i w:val="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877963"/>
    <w:multiLevelType w:val="multilevel"/>
    <w:tmpl w:val="44B41B04"/>
    <w:styleLink w:val="WWNum24"/>
    <w:lvl w:ilvl="0">
      <w:numFmt w:val="bullet"/>
      <w:lvlText w:val="•"/>
      <w:lvlJc w:val="left"/>
      <w:pPr>
        <w:ind w:left="2268" w:hanging="170"/>
      </w:pPr>
      <w:rPr>
        <w:rFonts w:ascii="Times New Roman" w:hAnsi="Times New Roman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5712AF9"/>
    <w:multiLevelType w:val="multilevel"/>
    <w:tmpl w:val="9922318A"/>
    <w:styleLink w:val="WWNum1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78008F7"/>
    <w:multiLevelType w:val="multilevel"/>
    <w:tmpl w:val="4B7AF0B4"/>
    <w:styleLink w:val="WWNum7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B6040C7"/>
    <w:multiLevelType w:val="multilevel"/>
    <w:tmpl w:val="BC78EF16"/>
    <w:styleLink w:val="WWNum1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EA36524"/>
    <w:multiLevelType w:val="multilevel"/>
    <w:tmpl w:val="A0463C0A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449036F"/>
    <w:multiLevelType w:val="multilevel"/>
    <w:tmpl w:val="DFDEF58E"/>
    <w:styleLink w:val="WWNum21"/>
    <w:lvl w:ilvl="0">
      <w:start w:val="1"/>
      <w:numFmt w:val="lowerLetter"/>
      <w:lvlText w:val="%1)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0182D"/>
    <w:multiLevelType w:val="multilevel"/>
    <w:tmpl w:val="40FEBE34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D42875"/>
    <w:multiLevelType w:val="multilevel"/>
    <w:tmpl w:val="8C00450E"/>
    <w:styleLink w:val="WWNum12"/>
    <w:lvl w:ilvl="0">
      <w:numFmt w:val="bullet"/>
      <w:lvlText w:val="•"/>
      <w:lvlJc w:val="left"/>
      <w:pPr>
        <w:ind w:left="2268" w:hanging="17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DE36B9A"/>
    <w:multiLevelType w:val="multilevel"/>
    <w:tmpl w:val="69F0B96C"/>
    <w:styleLink w:val="WWNum18"/>
    <w:lvl w:ilvl="0">
      <w:numFmt w:val="bullet"/>
      <w:lvlText w:val="•"/>
      <w:lvlJc w:val="left"/>
      <w:pPr>
        <w:ind w:left="2268" w:hanging="17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0302049"/>
    <w:multiLevelType w:val="multilevel"/>
    <w:tmpl w:val="9CAE6E76"/>
    <w:styleLink w:val="WWNum9"/>
    <w:lvl w:ilvl="0"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56D12"/>
    <w:multiLevelType w:val="multilevel"/>
    <w:tmpl w:val="1046C55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7" w15:restartNumberingAfterBreak="0">
    <w:nsid w:val="4E65418D"/>
    <w:multiLevelType w:val="multilevel"/>
    <w:tmpl w:val="FD262C02"/>
    <w:styleLink w:val="WW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8B27531"/>
    <w:multiLevelType w:val="multilevel"/>
    <w:tmpl w:val="72F45586"/>
    <w:styleLink w:val="WWNum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8D6616E"/>
    <w:multiLevelType w:val="multilevel"/>
    <w:tmpl w:val="F5E27406"/>
    <w:styleLink w:val="WWNum8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A694367"/>
    <w:multiLevelType w:val="multilevel"/>
    <w:tmpl w:val="F5B276A8"/>
    <w:styleLink w:val="WWNum13"/>
    <w:lvl w:ilvl="0">
      <w:start w:val="1"/>
      <w:numFmt w:val="decimal"/>
      <w:lvlText w:val="%1."/>
      <w:lvlJc w:val="left"/>
      <w:pPr>
        <w:ind w:left="1134" w:firstLine="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823EF9"/>
    <w:multiLevelType w:val="multilevel"/>
    <w:tmpl w:val="3EE42C6C"/>
    <w:styleLink w:val="WWNum17"/>
    <w:lvl w:ilvl="0">
      <w:numFmt w:val="bullet"/>
      <w:lvlText w:val="•"/>
      <w:lvlJc w:val="left"/>
      <w:pPr>
        <w:ind w:left="1701" w:hanging="170"/>
      </w:pPr>
      <w:rPr>
        <w:rFonts w:ascii="Times New Roman" w:hAnsi="Times New Roman" w:cs="Times New Roman"/>
        <w:b w:val="0"/>
        <w:i w:val="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F771EDA"/>
    <w:multiLevelType w:val="multilevel"/>
    <w:tmpl w:val="B60C80DA"/>
    <w:styleLink w:val="WWNum2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F6489"/>
    <w:multiLevelType w:val="multilevel"/>
    <w:tmpl w:val="460210C8"/>
    <w:styleLink w:val="WWNum22"/>
    <w:lvl w:ilvl="0">
      <w:start w:val="1"/>
      <w:numFmt w:val="lowerLetter"/>
      <w:lvlText w:val="%1)"/>
      <w:lvlJc w:val="left"/>
      <w:pPr>
        <w:ind w:left="2055" w:hanging="360"/>
      </w:pPr>
    </w:lvl>
    <w:lvl w:ilvl="1">
      <w:start w:val="1"/>
      <w:numFmt w:val="lowerLetter"/>
      <w:lvlText w:val="%2."/>
      <w:lvlJc w:val="left"/>
      <w:pPr>
        <w:ind w:left="2775" w:hanging="360"/>
      </w:pPr>
    </w:lvl>
    <w:lvl w:ilvl="2">
      <w:start w:val="1"/>
      <w:numFmt w:val="lowerRoman"/>
      <w:lvlText w:val="%3."/>
      <w:lvlJc w:val="right"/>
      <w:pPr>
        <w:ind w:left="3495" w:hanging="180"/>
      </w:pPr>
    </w:lvl>
    <w:lvl w:ilvl="3">
      <w:start w:val="1"/>
      <w:numFmt w:val="decimal"/>
      <w:lvlText w:val="%4."/>
      <w:lvlJc w:val="left"/>
      <w:pPr>
        <w:ind w:left="4215" w:hanging="360"/>
      </w:pPr>
    </w:lvl>
    <w:lvl w:ilvl="4">
      <w:start w:val="1"/>
      <w:numFmt w:val="lowerLetter"/>
      <w:lvlText w:val="%5."/>
      <w:lvlJc w:val="left"/>
      <w:pPr>
        <w:ind w:left="4935" w:hanging="360"/>
      </w:pPr>
    </w:lvl>
    <w:lvl w:ilvl="5">
      <w:start w:val="1"/>
      <w:numFmt w:val="lowerRoman"/>
      <w:lvlText w:val="%6."/>
      <w:lvlJc w:val="right"/>
      <w:pPr>
        <w:ind w:left="5655" w:hanging="180"/>
      </w:pPr>
    </w:lvl>
    <w:lvl w:ilvl="6">
      <w:start w:val="1"/>
      <w:numFmt w:val="decimal"/>
      <w:lvlText w:val="%7."/>
      <w:lvlJc w:val="left"/>
      <w:pPr>
        <w:ind w:left="6375" w:hanging="360"/>
      </w:pPr>
    </w:lvl>
    <w:lvl w:ilvl="7">
      <w:start w:val="1"/>
      <w:numFmt w:val="lowerLetter"/>
      <w:lvlText w:val="%8."/>
      <w:lvlJc w:val="left"/>
      <w:pPr>
        <w:ind w:left="7095" w:hanging="360"/>
      </w:pPr>
    </w:lvl>
    <w:lvl w:ilvl="8">
      <w:start w:val="1"/>
      <w:numFmt w:val="lowerRoman"/>
      <w:lvlText w:val="%9."/>
      <w:lvlJc w:val="right"/>
      <w:pPr>
        <w:ind w:left="7815" w:hanging="180"/>
      </w:pPr>
    </w:lvl>
  </w:abstractNum>
  <w:abstractNum w:abstractNumId="37" w15:restartNumberingAfterBreak="0">
    <w:nsid w:val="6A8C4268"/>
    <w:multiLevelType w:val="multilevel"/>
    <w:tmpl w:val="AC885AE6"/>
    <w:styleLink w:val="WWNum16"/>
    <w:lvl w:ilvl="0">
      <w:start w:val="1"/>
      <w:numFmt w:val="upperRoman"/>
      <w:lvlText w:val="Article %1."/>
      <w:lvlJc w:val="left"/>
    </w:lvl>
    <w:lvl w:ilvl="1">
      <w:start w:val="1"/>
      <w:numFmt w:val="decimal"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E5C7E04"/>
    <w:multiLevelType w:val="multilevel"/>
    <w:tmpl w:val="7736B6F4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7072BE9"/>
    <w:multiLevelType w:val="multilevel"/>
    <w:tmpl w:val="96129AF6"/>
    <w:styleLink w:val="WWNum20"/>
    <w:lvl w:ilvl="0">
      <w:start w:val="1"/>
      <w:numFmt w:val="lowerRoman"/>
      <w:lvlText w:val="%1."/>
      <w:lvlJc w:val="right"/>
      <w:pPr>
        <w:ind w:left="4995" w:hanging="360"/>
      </w:pPr>
    </w:lvl>
    <w:lvl w:ilvl="1">
      <w:start w:val="1"/>
      <w:numFmt w:val="lowerLetter"/>
      <w:lvlText w:val="%2."/>
      <w:lvlJc w:val="left"/>
      <w:pPr>
        <w:ind w:left="5715" w:hanging="360"/>
      </w:pPr>
    </w:lvl>
    <w:lvl w:ilvl="2">
      <w:start w:val="1"/>
      <w:numFmt w:val="lowerRoman"/>
      <w:lvlText w:val="%3."/>
      <w:lvlJc w:val="right"/>
      <w:pPr>
        <w:ind w:left="6435" w:hanging="180"/>
      </w:pPr>
    </w:lvl>
    <w:lvl w:ilvl="3">
      <w:start w:val="1"/>
      <w:numFmt w:val="decimal"/>
      <w:lvlText w:val="%4."/>
      <w:lvlJc w:val="left"/>
      <w:pPr>
        <w:ind w:left="7155" w:hanging="360"/>
      </w:pPr>
    </w:lvl>
    <w:lvl w:ilvl="4">
      <w:start w:val="1"/>
      <w:numFmt w:val="lowerLetter"/>
      <w:lvlText w:val="%5."/>
      <w:lvlJc w:val="left"/>
      <w:pPr>
        <w:ind w:left="7875" w:hanging="360"/>
      </w:pPr>
    </w:lvl>
    <w:lvl w:ilvl="5">
      <w:start w:val="1"/>
      <w:numFmt w:val="lowerRoman"/>
      <w:lvlText w:val="%6."/>
      <w:lvlJc w:val="right"/>
      <w:pPr>
        <w:ind w:left="8595" w:hanging="180"/>
      </w:pPr>
    </w:lvl>
    <w:lvl w:ilvl="6">
      <w:start w:val="1"/>
      <w:numFmt w:val="decimal"/>
      <w:lvlText w:val="%7."/>
      <w:lvlJc w:val="left"/>
      <w:pPr>
        <w:ind w:left="9315" w:hanging="360"/>
      </w:pPr>
    </w:lvl>
    <w:lvl w:ilvl="7">
      <w:start w:val="1"/>
      <w:numFmt w:val="lowerLetter"/>
      <w:lvlText w:val="%8."/>
      <w:lvlJc w:val="left"/>
      <w:pPr>
        <w:ind w:left="10035" w:hanging="360"/>
      </w:pPr>
    </w:lvl>
    <w:lvl w:ilvl="8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38"/>
  </w:num>
  <w:num w:numId="2">
    <w:abstractNumId w:val="20"/>
  </w:num>
  <w:num w:numId="3">
    <w:abstractNumId w:val="13"/>
  </w:num>
  <w:num w:numId="4">
    <w:abstractNumId w:val="39"/>
  </w:num>
  <w:num w:numId="5">
    <w:abstractNumId w:val="3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5"/>
  </w:num>
  <w:num w:numId="17">
    <w:abstractNumId w:val="25"/>
  </w:num>
  <w:num w:numId="18">
    <w:abstractNumId w:val="32"/>
  </w:num>
  <w:num w:numId="19">
    <w:abstractNumId w:val="35"/>
  </w:num>
  <w:num w:numId="20">
    <w:abstractNumId w:val="25"/>
  </w:num>
  <w:num w:numId="21">
    <w:abstractNumId w:val="32"/>
  </w:num>
  <w:num w:numId="22">
    <w:abstractNumId w:val="26"/>
  </w:num>
  <w:num w:numId="23">
    <w:abstractNumId w:val="17"/>
  </w:num>
  <w:num w:numId="24">
    <w:abstractNumId w:val="34"/>
  </w:num>
  <w:num w:numId="25">
    <w:abstractNumId w:val="27"/>
  </w:num>
  <w:num w:numId="26">
    <w:abstractNumId w:val="28"/>
  </w:num>
  <w:num w:numId="27">
    <w:abstractNumId w:val="18"/>
  </w:num>
  <w:num w:numId="28">
    <w:abstractNumId w:val="40"/>
  </w:num>
  <w:num w:numId="29">
    <w:abstractNumId w:val="16"/>
  </w:num>
  <w:num w:numId="30">
    <w:abstractNumId w:val="29"/>
  </w:num>
  <w:num w:numId="31">
    <w:abstractNumId w:val="24"/>
  </w:num>
  <w:num w:numId="32">
    <w:abstractNumId w:val="11"/>
  </w:num>
  <w:num w:numId="33">
    <w:abstractNumId w:val="12"/>
  </w:num>
  <w:num w:numId="34">
    <w:abstractNumId w:val="22"/>
  </w:num>
  <w:num w:numId="35">
    <w:abstractNumId w:val="30"/>
  </w:num>
  <w:num w:numId="36">
    <w:abstractNumId w:val="21"/>
  </w:num>
  <w:num w:numId="37">
    <w:abstractNumId w:val="15"/>
  </w:num>
  <w:num w:numId="38">
    <w:abstractNumId w:val="37"/>
  </w:num>
  <w:num w:numId="39">
    <w:abstractNumId w:val="33"/>
  </w:num>
  <w:num w:numId="40">
    <w:abstractNumId w:val="23"/>
  </w:num>
  <w:num w:numId="41">
    <w:abstractNumId w:val="10"/>
  </w:num>
  <w:num w:numId="42">
    <w:abstractNumId w:val="41"/>
  </w:num>
  <w:num w:numId="43">
    <w:abstractNumId w:val="19"/>
  </w:num>
  <w:num w:numId="44">
    <w:abstractNumId w:val="36"/>
  </w:num>
  <w:num w:numId="4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B0"/>
    <w:rsid w:val="000171D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7D73"/>
    <w:rsid w:val="00132CA1"/>
    <w:rsid w:val="0014152F"/>
    <w:rsid w:val="00180183"/>
    <w:rsid w:val="0018024D"/>
    <w:rsid w:val="0018649F"/>
    <w:rsid w:val="00196389"/>
    <w:rsid w:val="001B3EF6"/>
    <w:rsid w:val="001C7A89"/>
    <w:rsid w:val="002354A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5701"/>
    <w:rsid w:val="003402C2"/>
    <w:rsid w:val="003510F6"/>
    <w:rsid w:val="00381C24"/>
    <w:rsid w:val="00387CD4"/>
    <w:rsid w:val="003958D0"/>
    <w:rsid w:val="003A0D43"/>
    <w:rsid w:val="003A48CE"/>
    <w:rsid w:val="003B00E5"/>
    <w:rsid w:val="003E0B46"/>
    <w:rsid w:val="00401F29"/>
    <w:rsid w:val="00407B78"/>
    <w:rsid w:val="00416466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1230"/>
    <w:rsid w:val="00572E19"/>
    <w:rsid w:val="005961C8"/>
    <w:rsid w:val="005966F1"/>
    <w:rsid w:val="005D7914"/>
    <w:rsid w:val="005E2B41"/>
    <w:rsid w:val="005F0B42"/>
    <w:rsid w:val="006023B0"/>
    <w:rsid w:val="00617A43"/>
    <w:rsid w:val="006345DB"/>
    <w:rsid w:val="00640F49"/>
    <w:rsid w:val="00680D03"/>
    <w:rsid w:val="00681A10"/>
    <w:rsid w:val="006A1ED8"/>
    <w:rsid w:val="006C2031"/>
    <w:rsid w:val="006D016A"/>
    <w:rsid w:val="006D461A"/>
    <w:rsid w:val="006E1061"/>
    <w:rsid w:val="006F35EE"/>
    <w:rsid w:val="007021FF"/>
    <w:rsid w:val="00712895"/>
    <w:rsid w:val="00723B45"/>
    <w:rsid w:val="00734A25"/>
    <w:rsid w:val="00734ACB"/>
    <w:rsid w:val="0073786D"/>
    <w:rsid w:val="00757357"/>
    <w:rsid w:val="00792497"/>
    <w:rsid w:val="007C3454"/>
    <w:rsid w:val="00806737"/>
    <w:rsid w:val="00825F8D"/>
    <w:rsid w:val="00834B71"/>
    <w:rsid w:val="0086445C"/>
    <w:rsid w:val="00871DDC"/>
    <w:rsid w:val="00894693"/>
    <w:rsid w:val="008A08D7"/>
    <w:rsid w:val="008A1692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407C"/>
    <w:rsid w:val="00A84021"/>
    <w:rsid w:val="00A84D35"/>
    <w:rsid w:val="00A917B3"/>
    <w:rsid w:val="00AB4B51"/>
    <w:rsid w:val="00B10CC7"/>
    <w:rsid w:val="00B12AEC"/>
    <w:rsid w:val="00B2579A"/>
    <w:rsid w:val="00B27C4C"/>
    <w:rsid w:val="00B36DF7"/>
    <w:rsid w:val="00B539E7"/>
    <w:rsid w:val="00B54FB5"/>
    <w:rsid w:val="00B62458"/>
    <w:rsid w:val="00BC18B2"/>
    <w:rsid w:val="00BD33EE"/>
    <w:rsid w:val="00BE1CC7"/>
    <w:rsid w:val="00BF65F8"/>
    <w:rsid w:val="00C106D6"/>
    <w:rsid w:val="00C119AE"/>
    <w:rsid w:val="00C31ACD"/>
    <w:rsid w:val="00C60F0C"/>
    <w:rsid w:val="00C71E84"/>
    <w:rsid w:val="00C805C9"/>
    <w:rsid w:val="00C92939"/>
    <w:rsid w:val="00CA1679"/>
    <w:rsid w:val="00CA1B77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1873"/>
    <w:rsid w:val="00DD78D1"/>
    <w:rsid w:val="00DE32CD"/>
    <w:rsid w:val="00DF5767"/>
    <w:rsid w:val="00DF71B9"/>
    <w:rsid w:val="00E12C5F"/>
    <w:rsid w:val="00E27B70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4606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9BD877"/>
  <w15:docId w15:val="{C4A9E7F1-638F-4F7D-A28F-13F3E1F5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Standard">
    <w:name w:val="Standard"/>
    <w:rsid w:val="00C31ACD"/>
    <w:pPr>
      <w:suppressAutoHyphens/>
      <w:autoSpaceDN w:val="0"/>
      <w:spacing w:line="240" w:lineRule="atLeast"/>
      <w:textAlignment w:val="baseline"/>
    </w:pPr>
    <w:rPr>
      <w:rFonts w:eastAsia="SimSun"/>
      <w:kern w:val="3"/>
      <w:lang w:val="en-GB" w:eastAsia="en-US"/>
    </w:rPr>
  </w:style>
  <w:style w:type="paragraph" w:customStyle="1" w:styleId="Heading">
    <w:name w:val="Heading"/>
    <w:basedOn w:val="Standard"/>
    <w:next w:val="Textbody"/>
    <w:rsid w:val="00C31A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31ACD"/>
    <w:pPr>
      <w:spacing w:after="140" w:line="288" w:lineRule="auto"/>
    </w:pPr>
  </w:style>
  <w:style w:type="paragraph" w:styleId="af3">
    <w:name w:val="List"/>
    <w:basedOn w:val="Textbody"/>
    <w:rsid w:val="00C31ACD"/>
    <w:rPr>
      <w:rFonts w:cs="Mangal"/>
      <w:sz w:val="24"/>
    </w:rPr>
  </w:style>
  <w:style w:type="paragraph" w:styleId="af4">
    <w:name w:val="caption"/>
    <w:basedOn w:val="Standard"/>
    <w:rsid w:val="00C31A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31ACD"/>
    <w:pPr>
      <w:suppressLineNumbers/>
    </w:pPr>
    <w:rPr>
      <w:rFonts w:cs="Mangal"/>
      <w:sz w:val="24"/>
    </w:rPr>
  </w:style>
  <w:style w:type="paragraph" w:styleId="af5">
    <w:name w:val="annotation text"/>
    <w:basedOn w:val="Standard"/>
    <w:link w:val="af6"/>
    <w:rsid w:val="00C31ACD"/>
    <w:pPr>
      <w:spacing w:line="240" w:lineRule="auto"/>
    </w:pPr>
  </w:style>
  <w:style w:type="character" w:customStyle="1" w:styleId="af6">
    <w:name w:val="Текст примечания Знак"/>
    <w:basedOn w:val="a0"/>
    <w:link w:val="af5"/>
    <w:rsid w:val="00C31ACD"/>
    <w:rPr>
      <w:rFonts w:eastAsia="SimSun"/>
      <w:kern w:val="3"/>
      <w:lang w:val="en-GB" w:eastAsia="en-US"/>
    </w:rPr>
  </w:style>
  <w:style w:type="paragraph" w:styleId="af7">
    <w:name w:val="annotation subject"/>
    <w:basedOn w:val="af5"/>
    <w:link w:val="af8"/>
    <w:rsid w:val="00C31ACD"/>
    <w:rPr>
      <w:b/>
      <w:bCs/>
    </w:rPr>
  </w:style>
  <w:style w:type="character" w:customStyle="1" w:styleId="af8">
    <w:name w:val="Тема примечания Знак"/>
    <w:basedOn w:val="af6"/>
    <w:link w:val="af7"/>
    <w:rsid w:val="00C31ACD"/>
    <w:rPr>
      <w:rFonts w:eastAsia="SimSun"/>
      <w:b/>
      <w:bCs/>
      <w:kern w:val="3"/>
      <w:lang w:val="en-GB" w:eastAsia="en-US"/>
    </w:rPr>
  </w:style>
  <w:style w:type="paragraph" w:styleId="af9">
    <w:name w:val="Normal (Web)"/>
    <w:basedOn w:val="Standard"/>
    <w:rsid w:val="00C31ACD"/>
    <w:pPr>
      <w:suppressAutoHyphens w:val="0"/>
      <w:spacing w:before="280" w:after="280" w:line="240" w:lineRule="auto"/>
    </w:pPr>
    <w:rPr>
      <w:rFonts w:eastAsia="Times New Roman"/>
      <w:sz w:val="24"/>
      <w:szCs w:val="24"/>
      <w:lang w:eastAsia="zh-CN"/>
    </w:rPr>
  </w:style>
  <w:style w:type="paragraph" w:customStyle="1" w:styleId="style131">
    <w:name w:val="style131"/>
    <w:basedOn w:val="Standard"/>
    <w:rsid w:val="00C31ACD"/>
    <w:pPr>
      <w:suppressAutoHyphens w:val="0"/>
      <w:spacing w:before="280" w:after="280" w:line="240" w:lineRule="auto"/>
    </w:pPr>
    <w:rPr>
      <w:rFonts w:eastAsia="Times New Roman"/>
      <w:sz w:val="24"/>
      <w:szCs w:val="24"/>
      <w:lang w:eastAsia="zh-CN"/>
    </w:rPr>
  </w:style>
  <w:style w:type="paragraph" w:styleId="afa">
    <w:name w:val="Revision"/>
    <w:rsid w:val="00C31ACD"/>
    <w:pPr>
      <w:suppressAutoHyphens/>
      <w:autoSpaceDN w:val="0"/>
      <w:textAlignment w:val="baseline"/>
    </w:pPr>
    <w:rPr>
      <w:rFonts w:eastAsia="SimSun"/>
      <w:kern w:val="3"/>
      <w:lang w:val="en-GB" w:eastAsia="en-US"/>
    </w:rPr>
  </w:style>
  <w:style w:type="paragraph" w:customStyle="1" w:styleId="Footnote">
    <w:name w:val="Footnote"/>
    <w:basedOn w:val="Standard"/>
    <w:rsid w:val="00C31ACD"/>
  </w:style>
  <w:style w:type="paragraph" w:customStyle="1" w:styleId="TableContents">
    <w:name w:val="Table Contents"/>
    <w:basedOn w:val="Standard"/>
    <w:rsid w:val="00C31ACD"/>
  </w:style>
  <w:style w:type="character" w:customStyle="1" w:styleId="Internetlink">
    <w:name w:val="Internet link"/>
    <w:basedOn w:val="a0"/>
    <w:rsid w:val="00C31ACD"/>
    <w:rPr>
      <w:color w:val="00000A"/>
      <w:u w:val="none"/>
    </w:rPr>
  </w:style>
  <w:style w:type="character" w:customStyle="1" w:styleId="BalloonTextChar">
    <w:name w:val="Balloon Text Char"/>
    <w:basedOn w:val="a0"/>
    <w:rsid w:val="00C31ACD"/>
    <w:rPr>
      <w:rFonts w:ascii="Tahoma" w:eastAsia="Tahoma" w:hAnsi="Tahoma" w:cs="Tahoma"/>
      <w:sz w:val="16"/>
      <w:szCs w:val="16"/>
      <w:lang w:eastAsia="en-US"/>
    </w:rPr>
  </w:style>
  <w:style w:type="character" w:customStyle="1" w:styleId="HChGChar">
    <w:name w:val="_ H _Ch_G Char"/>
    <w:rsid w:val="00C31ACD"/>
    <w:rPr>
      <w:b/>
      <w:sz w:val="28"/>
      <w:lang w:eastAsia="en-US"/>
    </w:rPr>
  </w:style>
  <w:style w:type="character" w:customStyle="1" w:styleId="FootnoteTextChar">
    <w:name w:val="Footnote Text Char"/>
    <w:rsid w:val="00C31ACD"/>
    <w:rPr>
      <w:sz w:val="18"/>
      <w:lang w:eastAsia="en-US"/>
    </w:rPr>
  </w:style>
  <w:style w:type="character" w:customStyle="1" w:styleId="SingleTxtGChar">
    <w:name w:val="_ Single Txt_G Char"/>
    <w:rsid w:val="00C31ACD"/>
    <w:rPr>
      <w:lang w:eastAsia="en-US"/>
    </w:rPr>
  </w:style>
  <w:style w:type="character" w:customStyle="1" w:styleId="H1GChar">
    <w:name w:val="_ H_1_G Char"/>
    <w:rsid w:val="00C31ACD"/>
    <w:rPr>
      <w:b/>
      <w:sz w:val="24"/>
      <w:lang w:eastAsia="en-US"/>
    </w:rPr>
  </w:style>
  <w:style w:type="character" w:styleId="afb">
    <w:name w:val="annotation reference"/>
    <w:basedOn w:val="a0"/>
    <w:rsid w:val="00C31ACD"/>
    <w:rPr>
      <w:sz w:val="16"/>
      <w:szCs w:val="16"/>
    </w:rPr>
  </w:style>
  <w:style w:type="character" w:customStyle="1" w:styleId="CommentTextChar">
    <w:name w:val="Comment Text Char"/>
    <w:basedOn w:val="a0"/>
    <w:rsid w:val="00C31ACD"/>
    <w:rPr>
      <w:lang w:eastAsia="en-US"/>
    </w:rPr>
  </w:style>
  <w:style w:type="character" w:customStyle="1" w:styleId="CommentSubjectChar">
    <w:name w:val="Comment Subject Char"/>
    <w:basedOn w:val="CommentTextChar"/>
    <w:rsid w:val="00C31ACD"/>
    <w:rPr>
      <w:b/>
      <w:bCs/>
      <w:lang w:eastAsia="en-US"/>
    </w:rPr>
  </w:style>
  <w:style w:type="character" w:customStyle="1" w:styleId="style13">
    <w:name w:val="style13"/>
    <w:basedOn w:val="a0"/>
    <w:rsid w:val="00C31ACD"/>
  </w:style>
  <w:style w:type="character" w:customStyle="1" w:styleId="style2">
    <w:name w:val="style2"/>
    <w:basedOn w:val="a0"/>
    <w:rsid w:val="00C31ACD"/>
  </w:style>
  <w:style w:type="character" w:customStyle="1" w:styleId="style10">
    <w:name w:val="style10"/>
    <w:basedOn w:val="a0"/>
    <w:rsid w:val="00C31ACD"/>
  </w:style>
  <w:style w:type="character" w:customStyle="1" w:styleId="style14">
    <w:name w:val="style14"/>
    <w:basedOn w:val="a0"/>
    <w:rsid w:val="00C31ACD"/>
  </w:style>
  <w:style w:type="character" w:customStyle="1" w:styleId="UnresolvedMention">
    <w:name w:val="Unresolved Mention"/>
    <w:basedOn w:val="a0"/>
    <w:rsid w:val="00C31ACD"/>
    <w:rPr>
      <w:color w:val="808080"/>
      <w:shd w:val="clear" w:color="auto" w:fill="E6E6E6"/>
    </w:rPr>
  </w:style>
  <w:style w:type="character" w:styleId="afc">
    <w:name w:val="Emphasis"/>
    <w:basedOn w:val="a0"/>
    <w:rsid w:val="00C31ACD"/>
    <w:rPr>
      <w:i/>
      <w:iCs/>
    </w:rPr>
  </w:style>
  <w:style w:type="character" w:styleId="afd">
    <w:name w:val="Strong"/>
    <w:basedOn w:val="a0"/>
    <w:rsid w:val="00C31ACD"/>
    <w:rPr>
      <w:b/>
      <w:bCs/>
    </w:rPr>
  </w:style>
  <w:style w:type="character" w:customStyle="1" w:styleId="ListLabel1">
    <w:name w:val="ListLabel 1"/>
    <w:rsid w:val="00C31ACD"/>
    <w:rPr>
      <w:rFonts w:cs="Times New Roman"/>
      <w:b w:val="0"/>
      <w:i w:val="0"/>
      <w:sz w:val="20"/>
    </w:rPr>
  </w:style>
  <w:style w:type="character" w:customStyle="1" w:styleId="ListLabel2">
    <w:name w:val="ListLabel 2"/>
    <w:rsid w:val="00C31ACD"/>
    <w:rPr>
      <w:rFonts w:cs="Times New Roman"/>
    </w:rPr>
  </w:style>
  <w:style w:type="character" w:customStyle="1" w:styleId="ListLabel3">
    <w:name w:val="ListLabel 3"/>
    <w:rsid w:val="00C31ACD"/>
    <w:rPr>
      <w:b w:val="0"/>
      <w:i w:val="0"/>
      <w:sz w:val="20"/>
    </w:rPr>
  </w:style>
  <w:style w:type="character" w:customStyle="1" w:styleId="ListLabel4">
    <w:name w:val="ListLabel 4"/>
    <w:rsid w:val="00C31ACD"/>
    <w:rPr>
      <w:rFonts w:cs="Times New Roman"/>
      <w:b w:val="0"/>
      <w:i w:val="0"/>
      <w:sz w:val="20"/>
    </w:rPr>
  </w:style>
  <w:style w:type="character" w:customStyle="1" w:styleId="ListLabel5">
    <w:name w:val="ListLabel 5"/>
    <w:rsid w:val="00C31ACD"/>
    <w:rPr>
      <w:rFonts w:cs="Courier New"/>
    </w:rPr>
  </w:style>
  <w:style w:type="character" w:customStyle="1" w:styleId="ListLabel6">
    <w:name w:val="ListLabel 6"/>
    <w:rsid w:val="00C31ACD"/>
    <w:rPr>
      <w:rFonts w:cs="Courier New"/>
    </w:rPr>
  </w:style>
  <w:style w:type="character" w:customStyle="1" w:styleId="ListLabel7">
    <w:name w:val="ListLabel 7"/>
    <w:rsid w:val="00C31ACD"/>
    <w:rPr>
      <w:rFonts w:cs="Courier New"/>
    </w:rPr>
  </w:style>
  <w:style w:type="character" w:customStyle="1" w:styleId="ListLabel8">
    <w:name w:val="ListLabel 8"/>
    <w:rsid w:val="00C31ACD"/>
    <w:rPr>
      <w:rFonts w:cs="Times New Roman"/>
    </w:rPr>
  </w:style>
  <w:style w:type="character" w:customStyle="1" w:styleId="ListLabel9">
    <w:name w:val="ListLabel 9"/>
    <w:rsid w:val="00C31ACD"/>
    <w:rPr>
      <w:rFonts w:cs="Courier New"/>
    </w:rPr>
  </w:style>
  <w:style w:type="character" w:customStyle="1" w:styleId="ListLabel10">
    <w:name w:val="ListLabel 10"/>
    <w:rsid w:val="00C31ACD"/>
    <w:rPr>
      <w:rFonts w:cs="Courier New"/>
    </w:rPr>
  </w:style>
  <w:style w:type="character" w:customStyle="1" w:styleId="ListLabel11">
    <w:name w:val="ListLabel 11"/>
    <w:rsid w:val="00C31ACD"/>
    <w:rPr>
      <w:rFonts w:cs="Courier New"/>
    </w:rPr>
  </w:style>
  <w:style w:type="character" w:customStyle="1" w:styleId="ListLabel12">
    <w:name w:val="ListLabel 12"/>
    <w:rsid w:val="00C31ACD"/>
    <w:rPr>
      <w:rFonts w:eastAsia="Times New Roman" w:cs="Times New Roman"/>
    </w:rPr>
  </w:style>
  <w:style w:type="character" w:customStyle="1" w:styleId="FootnoteSymbol">
    <w:name w:val="Footnote Symbol"/>
    <w:rsid w:val="00C31ACD"/>
  </w:style>
  <w:style w:type="character" w:customStyle="1" w:styleId="EndnoteSymbol">
    <w:name w:val="Endnote Symbol"/>
    <w:rsid w:val="00C31ACD"/>
  </w:style>
  <w:style w:type="character" w:customStyle="1" w:styleId="Footnoteanchor">
    <w:name w:val="Footnote anchor"/>
    <w:rsid w:val="00C31ACD"/>
    <w:rPr>
      <w:position w:val="0"/>
      <w:vertAlign w:val="superscript"/>
    </w:rPr>
  </w:style>
  <w:style w:type="character" w:customStyle="1" w:styleId="ListLabel13">
    <w:name w:val="ListLabel 13"/>
    <w:rsid w:val="00C31ACD"/>
    <w:rPr>
      <w:rFonts w:cs="Times New Roman"/>
      <w:sz w:val="24"/>
    </w:rPr>
  </w:style>
  <w:style w:type="character" w:customStyle="1" w:styleId="ListLabel14">
    <w:name w:val="ListLabel 14"/>
    <w:rsid w:val="00C31ACD"/>
    <w:rPr>
      <w:rFonts w:cs="Courier New"/>
    </w:rPr>
  </w:style>
  <w:style w:type="character" w:customStyle="1" w:styleId="ListLabel15">
    <w:name w:val="ListLabel 15"/>
    <w:rsid w:val="00C31ACD"/>
    <w:rPr>
      <w:rFonts w:cs="Courier New"/>
    </w:rPr>
  </w:style>
  <w:style w:type="character" w:customStyle="1" w:styleId="ListLabel16">
    <w:name w:val="ListLabel 16"/>
    <w:rsid w:val="00C31ACD"/>
    <w:rPr>
      <w:rFonts w:cs="Courier New"/>
    </w:rPr>
  </w:style>
  <w:style w:type="numbering" w:customStyle="1" w:styleId="NoList1">
    <w:name w:val="No List_1"/>
    <w:basedOn w:val="a2"/>
    <w:rsid w:val="00C31ACD"/>
    <w:pPr>
      <w:numPr>
        <w:numId w:val="22"/>
      </w:numPr>
    </w:pPr>
  </w:style>
  <w:style w:type="numbering" w:customStyle="1" w:styleId="WWNum1">
    <w:name w:val="WWNum1"/>
    <w:basedOn w:val="a2"/>
    <w:rsid w:val="00C31ACD"/>
    <w:pPr>
      <w:numPr>
        <w:numId w:val="23"/>
      </w:numPr>
    </w:pPr>
  </w:style>
  <w:style w:type="numbering" w:customStyle="1" w:styleId="WWNum2">
    <w:name w:val="WWNum2"/>
    <w:basedOn w:val="a2"/>
    <w:rsid w:val="00C31ACD"/>
    <w:pPr>
      <w:numPr>
        <w:numId w:val="24"/>
      </w:numPr>
    </w:pPr>
  </w:style>
  <w:style w:type="numbering" w:customStyle="1" w:styleId="WWNum3">
    <w:name w:val="WWNum3"/>
    <w:basedOn w:val="a2"/>
    <w:rsid w:val="00C31ACD"/>
    <w:pPr>
      <w:numPr>
        <w:numId w:val="25"/>
      </w:numPr>
    </w:pPr>
  </w:style>
  <w:style w:type="numbering" w:customStyle="1" w:styleId="WWNum4">
    <w:name w:val="WWNum4"/>
    <w:basedOn w:val="a2"/>
    <w:rsid w:val="00C31ACD"/>
    <w:pPr>
      <w:numPr>
        <w:numId w:val="26"/>
      </w:numPr>
    </w:pPr>
  </w:style>
  <w:style w:type="numbering" w:customStyle="1" w:styleId="WWNum5">
    <w:name w:val="WWNum5"/>
    <w:basedOn w:val="a2"/>
    <w:rsid w:val="00C31ACD"/>
    <w:pPr>
      <w:numPr>
        <w:numId w:val="27"/>
      </w:numPr>
    </w:pPr>
  </w:style>
  <w:style w:type="numbering" w:customStyle="1" w:styleId="WWNum6">
    <w:name w:val="WWNum6"/>
    <w:basedOn w:val="a2"/>
    <w:rsid w:val="00C31ACD"/>
    <w:pPr>
      <w:numPr>
        <w:numId w:val="28"/>
      </w:numPr>
    </w:pPr>
  </w:style>
  <w:style w:type="numbering" w:customStyle="1" w:styleId="WWNum7">
    <w:name w:val="WWNum7"/>
    <w:basedOn w:val="a2"/>
    <w:rsid w:val="00C31ACD"/>
    <w:pPr>
      <w:numPr>
        <w:numId w:val="29"/>
      </w:numPr>
    </w:pPr>
  </w:style>
  <w:style w:type="numbering" w:customStyle="1" w:styleId="WWNum8">
    <w:name w:val="WWNum8"/>
    <w:basedOn w:val="a2"/>
    <w:rsid w:val="00C31ACD"/>
    <w:pPr>
      <w:numPr>
        <w:numId w:val="30"/>
      </w:numPr>
    </w:pPr>
  </w:style>
  <w:style w:type="numbering" w:customStyle="1" w:styleId="WWNum9">
    <w:name w:val="WWNum9"/>
    <w:basedOn w:val="a2"/>
    <w:rsid w:val="00C31ACD"/>
    <w:pPr>
      <w:numPr>
        <w:numId w:val="31"/>
      </w:numPr>
    </w:pPr>
  </w:style>
  <w:style w:type="numbering" w:customStyle="1" w:styleId="WWNum10">
    <w:name w:val="WWNum10"/>
    <w:basedOn w:val="a2"/>
    <w:rsid w:val="00C31ACD"/>
    <w:pPr>
      <w:numPr>
        <w:numId w:val="32"/>
      </w:numPr>
    </w:pPr>
  </w:style>
  <w:style w:type="numbering" w:customStyle="1" w:styleId="WWNum11">
    <w:name w:val="WWNum11"/>
    <w:basedOn w:val="a2"/>
    <w:rsid w:val="00C31ACD"/>
    <w:pPr>
      <w:numPr>
        <w:numId w:val="33"/>
      </w:numPr>
    </w:pPr>
  </w:style>
  <w:style w:type="numbering" w:customStyle="1" w:styleId="WWNum12">
    <w:name w:val="WWNum12"/>
    <w:basedOn w:val="a2"/>
    <w:rsid w:val="00C31ACD"/>
    <w:pPr>
      <w:numPr>
        <w:numId w:val="34"/>
      </w:numPr>
    </w:pPr>
  </w:style>
  <w:style w:type="numbering" w:customStyle="1" w:styleId="WWNum13">
    <w:name w:val="WWNum13"/>
    <w:basedOn w:val="a2"/>
    <w:rsid w:val="00C31ACD"/>
    <w:pPr>
      <w:numPr>
        <w:numId w:val="35"/>
      </w:numPr>
    </w:pPr>
  </w:style>
  <w:style w:type="numbering" w:customStyle="1" w:styleId="WWNum14">
    <w:name w:val="WWNum14"/>
    <w:basedOn w:val="a2"/>
    <w:rsid w:val="00C31ACD"/>
    <w:pPr>
      <w:numPr>
        <w:numId w:val="36"/>
      </w:numPr>
    </w:pPr>
  </w:style>
  <w:style w:type="numbering" w:customStyle="1" w:styleId="WWNum15">
    <w:name w:val="WWNum15"/>
    <w:basedOn w:val="a2"/>
    <w:rsid w:val="00C31ACD"/>
    <w:pPr>
      <w:numPr>
        <w:numId w:val="37"/>
      </w:numPr>
    </w:pPr>
  </w:style>
  <w:style w:type="numbering" w:customStyle="1" w:styleId="WWNum16">
    <w:name w:val="WWNum16"/>
    <w:basedOn w:val="a2"/>
    <w:rsid w:val="00C31ACD"/>
    <w:pPr>
      <w:numPr>
        <w:numId w:val="38"/>
      </w:numPr>
    </w:pPr>
  </w:style>
  <w:style w:type="numbering" w:customStyle="1" w:styleId="WWNum17">
    <w:name w:val="WWNum17"/>
    <w:basedOn w:val="a2"/>
    <w:rsid w:val="00C31ACD"/>
    <w:pPr>
      <w:numPr>
        <w:numId w:val="39"/>
      </w:numPr>
    </w:pPr>
  </w:style>
  <w:style w:type="numbering" w:customStyle="1" w:styleId="WWNum18">
    <w:name w:val="WWNum18"/>
    <w:basedOn w:val="a2"/>
    <w:rsid w:val="00C31ACD"/>
    <w:pPr>
      <w:numPr>
        <w:numId w:val="40"/>
      </w:numPr>
    </w:pPr>
  </w:style>
  <w:style w:type="numbering" w:customStyle="1" w:styleId="WWNum19">
    <w:name w:val="WWNum19"/>
    <w:basedOn w:val="a2"/>
    <w:rsid w:val="00C31ACD"/>
    <w:pPr>
      <w:numPr>
        <w:numId w:val="41"/>
      </w:numPr>
    </w:pPr>
  </w:style>
  <w:style w:type="numbering" w:customStyle="1" w:styleId="WWNum20">
    <w:name w:val="WWNum20"/>
    <w:basedOn w:val="a2"/>
    <w:rsid w:val="00C31ACD"/>
    <w:pPr>
      <w:numPr>
        <w:numId w:val="42"/>
      </w:numPr>
    </w:pPr>
  </w:style>
  <w:style w:type="numbering" w:customStyle="1" w:styleId="WWNum21">
    <w:name w:val="WWNum21"/>
    <w:basedOn w:val="a2"/>
    <w:rsid w:val="00C31ACD"/>
    <w:pPr>
      <w:numPr>
        <w:numId w:val="43"/>
      </w:numPr>
    </w:pPr>
  </w:style>
  <w:style w:type="numbering" w:customStyle="1" w:styleId="WWNum22">
    <w:name w:val="WWNum22"/>
    <w:basedOn w:val="a2"/>
    <w:rsid w:val="00C31ACD"/>
    <w:pPr>
      <w:numPr>
        <w:numId w:val="44"/>
      </w:numPr>
    </w:pPr>
  </w:style>
  <w:style w:type="numbering" w:customStyle="1" w:styleId="WWNum24">
    <w:name w:val="WWNum24"/>
    <w:basedOn w:val="a2"/>
    <w:rsid w:val="00C31ACD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ece.org/trans/main/wp5/transport_and_urban_development.html" TargetMode="External"/><Relationship Id="rId18" Type="http://schemas.openxmlformats.org/officeDocument/2006/relationships/hyperlink" Target="http://www.unece.org/trans/main/wp5/transport_and_urban_development.html" TargetMode="External"/><Relationship Id="rId26" Type="http://schemas.openxmlformats.org/officeDocument/2006/relationships/hyperlink" Target="http://www.unece.org/trans/main/wp5/transport_and_urban_development.html" TargetMode="External"/><Relationship Id="rId39" Type="http://schemas.openxmlformats.org/officeDocument/2006/relationships/hyperlink" Target="http://www.unece.org/trans/main/wp5/international_transport_infrastructure_observatory.html" TargetMode="External"/><Relationship Id="rId21" Type="http://schemas.openxmlformats.org/officeDocument/2006/relationships/hyperlink" Target="http://www.unece.org/trans/main/wp5/transport_and_urban_development.html" TargetMode="External"/><Relationship Id="rId34" Type="http://schemas.openxmlformats.org/officeDocument/2006/relationships/hyperlink" Target="http://www.unece.org/trans/main/wp5/international_transport_infrastructure_observatory.html" TargetMode="External"/><Relationship Id="rId42" Type="http://schemas.openxmlformats.org/officeDocument/2006/relationships/hyperlink" Target="http://www.unece.org/trans/main/wp5/international_transport_infrastructure_observatory.html" TargetMode="External"/><Relationship Id="rId47" Type="http://schemas.openxmlformats.org/officeDocument/2006/relationships/hyperlink" Target="http://www.unece.org/trans/main/wp5/international_transport_infrastructure_observatory.html" TargetMode="External"/><Relationship Id="rId50" Type="http://schemas.openxmlformats.org/officeDocument/2006/relationships/hyperlink" Target="http://www.unece.org/trans/main/wp5/international_transport_infrastructure_observatory.html" TargetMode="External"/><Relationship Id="rId55" Type="http://schemas.openxmlformats.org/officeDocument/2006/relationships/image" Target="media/image4.jpg"/><Relationship Id="rId63" Type="http://schemas.openxmlformats.org/officeDocument/2006/relationships/footer" Target="footer2.xml"/><Relationship Id="rId68" Type="http://schemas.openxmlformats.org/officeDocument/2006/relationships/footer" Target="footer5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ece.org/trans/main/wp5/transport_and_urban_development.html" TargetMode="External"/><Relationship Id="rId29" Type="http://schemas.openxmlformats.org/officeDocument/2006/relationships/hyperlink" Target="http://www.unece.org/trans/main/wp5/transport_and_urban_developmen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ce.org/trans/main/wp5/transport_and_urban_development.html" TargetMode="External"/><Relationship Id="rId24" Type="http://schemas.openxmlformats.org/officeDocument/2006/relationships/hyperlink" Target="http://www.unece.org/trans/main/wp5/transport_and_urban_development.html" TargetMode="External"/><Relationship Id="rId32" Type="http://schemas.openxmlformats.org/officeDocument/2006/relationships/hyperlink" Target="http://www.unece.org/trans/main/wp5/international_transport_infrastructure_observatory.html" TargetMode="External"/><Relationship Id="rId37" Type="http://schemas.openxmlformats.org/officeDocument/2006/relationships/hyperlink" Target="http://www.unece.org/trans/main/wp5/international_transport_infrastructure_observatory.html" TargetMode="External"/><Relationship Id="rId40" Type="http://schemas.openxmlformats.org/officeDocument/2006/relationships/hyperlink" Target="http://www.unece.org/trans/main/wp5/international_transport_infrastructure_observatory.html" TargetMode="External"/><Relationship Id="rId45" Type="http://schemas.openxmlformats.org/officeDocument/2006/relationships/hyperlink" Target="http://www.unece.org/trans/main/wp5/international_transport_infrastructure_observatory.html" TargetMode="External"/><Relationship Id="rId53" Type="http://schemas.openxmlformats.org/officeDocument/2006/relationships/image" Target="media/image3.jpg"/><Relationship Id="rId58" Type="http://schemas.openxmlformats.org/officeDocument/2006/relationships/image" Target="media/image7.png"/><Relationship Id="rId66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www.unece.org/trans/main/wp5/transport_and_urban_development.html" TargetMode="External"/><Relationship Id="rId23" Type="http://schemas.openxmlformats.org/officeDocument/2006/relationships/hyperlink" Target="http://www.unece.org/trans/main/wp5/transport_and_urban_development.html" TargetMode="External"/><Relationship Id="rId28" Type="http://schemas.openxmlformats.org/officeDocument/2006/relationships/hyperlink" Target="http://www.unece.org/trans/main/wp5/transport_and_urban_development.html" TargetMode="External"/><Relationship Id="rId36" Type="http://schemas.openxmlformats.org/officeDocument/2006/relationships/hyperlink" Target="http://www.unece.org/trans/main/wp5/international_transport_infrastructure_observatory.html" TargetMode="External"/><Relationship Id="rId49" Type="http://schemas.openxmlformats.org/officeDocument/2006/relationships/hyperlink" Target="http://www.unece.org/trans/main/wp5/international_transport_infrastructure_observatory.html" TargetMode="External"/><Relationship Id="rId57" Type="http://schemas.openxmlformats.org/officeDocument/2006/relationships/image" Target="media/image6.png"/><Relationship Id="rId61" Type="http://schemas.openxmlformats.org/officeDocument/2006/relationships/header" Target="header2.xml"/><Relationship Id="rId10" Type="http://schemas.openxmlformats.org/officeDocument/2006/relationships/hyperlink" Target="http://www.unece.org/trans/main/wp5/transport_and_urban_development.html" TargetMode="External"/><Relationship Id="rId19" Type="http://schemas.openxmlformats.org/officeDocument/2006/relationships/hyperlink" Target="http://www.unece.org/trans/main/wp5/transport_and_urban_development.html" TargetMode="External"/><Relationship Id="rId31" Type="http://schemas.openxmlformats.org/officeDocument/2006/relationships/hyperlink" Target="http://www.unece.org/trans/main/wp5/international_transport_infrastructure_observatory.html" TargetMode="External"/><Relationship Id="rId44" Type="http://schemas.openxmlformats.org/officeDocument/2006/relationships/hyperlink" Target="http://www.unece.org/trans/main/wp5/international_transport_infrastructure_observatory.html" TargetMode="External"/><Relationship Id="rId52" Type="http://schemas.openxmlformats.org/officeDocument/2006/relationships/hyperlink" Target="https://www.unece.org/fileadmin/DAM/trans/main/wp5/publications/ECE_TRANS_264_E_Web_Optimized.pdf" TargetMode="External"/><Relationship Id="rId60" Type="http://schemas.openxmlformats.org/officeDocument/2006/relationships/header" Target="header1.xm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main/wp5/transport_and_urban_development.html" TargetMode="External"/><Relationship Id="rId14" Type="http://schemas.openxmlformats.org/officeDocument/2006/relationships/hyperlink" Target="http://www.unece.org/trans/main/wp5/transport_and_urban_development.html" TargetMode="External"/><Relationship Id="rId22" Type="http://schemas.openxmlformats.org/officeDocument/2006/relationships/hyperlink" Target="http://www.unece.org/trans/main/wp5/transport_and_urban_development.html" TargetMode="External"/><Relationship Id="rId27" Type="http://schemas.openxmlformats.org/officeDocument/2006/relationships/hyperlink" Target="http://www.unece.org/trans/main/wp5/transport_and_urban_development.html" TargetMode="External"/><Relationship Id="rId30" Type="http://schemas.openxmlformats.org/officeDocument/2006/relationships/hyperlink" Target="http://www.unece.org/trans/main/wp5/international_transport_infrastructure_observatory.html" TargetMode="External"/><Relationship Id="rId35" Type="http://schemas.openxmlformats.org/officeDocument/2006/relationships/hyperlink" Target="http://www.unece.org/trans/main/wp5/international_transport_infrastructure_observatory.html" TargetMode="External"/><Relationship Id="rId43" Type="http://schemas.openxmlformats.org/officeDocument/2006/relationships/hyperlink" Target="http://www.unece.org/trans/main/wp5/international_transport_infrastructure_observatory.html" TargetMode="External"/><Relationship Id="rId48" Type="http://schemas.openxmlformats.org/officeDocument/2006/relationships/hyperlink" Target="http://www.unece.org/trans/main/wp5/international_transport_infrastructure_observatory.html" TargetMode="External"/><Relationship Id="rId56" Type="http://schemas.openxmlformats.org/officeDocument/2006/relationships/image" Target="media/image5.png"/><Relationship Id="rId64" Type="http://schemas.openxmlformats.org/officeDocument/2006/relationships/footer" Target="footer3.xml"/><Relationship Id="rId69" Type="http://schemas.openxmlformats.org/officeDocument/2006/relationships/header" Target="header5.xml"/><Relationship Id="rId8" Type="http://schemas.openxmlformats.org/officeDocument/2006/relationships/image" Target="media/image1.wmf"/><Relationship Id="rId51" Type="http://schemas.openxmlformats.org/officeDocument/2006/relationships/image" Target="media/image2.jp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unece.org/trans/main/wp5/transport_and_urban_development.html" TargetMode="External"/><Relationship Id="rId17" Type="http://schemas.openxmlformats.org/officeDocument/2006/relationships/hyperlink" Target="http://www.unece.org/trans/main/wp5/transport_and_urban_development.html" TargetMode="External"/><Relationship Id="rId25" Type="http://schemas.openxmlformats.org/officeDocument/2006/relationships/hyperlink" Target="http://www.unece.org/trans/main/wp5/transport_and_urban_development.html" TargetMode="External"/><Relationship Id="rId33" Type="http://schemas.openxmlformats.org/officeDocument/2006/relationships/hyperlink" Target="http://www.unece.org/trans/main/wp5/international_transport_infrastructure_observatory.html" TargetMode="External"/><Relationship Id="rId38" Type="http://schemas.openxmlformats.org/officeDocument/2006/relationships/hyperlink" Target="http://www.unece.org/trans/main/wp5/international_transport_infrastructure_observatory.html" TargetMode="External"/><Relationship Id="rId46" Type="http://schemas.openxmlformats.org/officeDocument/2006/relationships/hyperlink" Target="http://www.unece.org/trans/main/wp5/international_transport_infrastructure_observatory.html" TargetMode="External"/><Relationship Id="rId59" Type="http://schemas.openxmlformats.org/officeDocument/2006/relationships/image" Target="media/image8.png"/><Relationship Id="rId67" Type="http://schemas.openxmlformats.org/officeDocument/2006/relationships/footer" Target="footer4.xml"/><Relationship Id="rId20" Type="http://schemas.openxmlformats.org/officeDocument/2006/relationships/hyperlink" Target="http://www.unece.org/trans/main/wp5/transport_and_urban_development.html" TargetMode="External"/><Relationship Id="rId41" Type="http://schemas.openxmlformats.org/officeDocument/2006/relationships/hyperlink" Target="http://www.unece.org/trans/main/wp5/international_transport_infrastructure_observatory.html" TargetMode="External"/><Relationship Id="rId54" Type="http://schemas.openxmlformats.org/officeDocument/2006/relationships/hyperlink" Target="https://www.unece.org/trans/resources/publications/intermodal-transport/2018/railways-role-in-intermodality-and-the-digitalization-of-transport-documents/doc.html" TargetMode="External"/><Relationship Id="rId62" Type="http://schemas.openxmlformats.org/officeDocument/2006/relationships/footer" Target="footer1.xml"/><Relationship Id="rId70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0F825-11DA-400B-9BFF-37E2BD52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15</Pages>
  <Words>5282</Words>
  <Characters>37267</Characters>
  <Application>Microsoft Office Word</Application>
  <DocSecurity>0</DocSecurity>
  <Lines>689</Lines>
  <Paragraphs>203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ECE/TRANS/2019/5</vt:lpstr>
      <vt:lpstr>A/</vt:lpstr>
      <vt:lpstr>A/</vt:lpstr>
    </vt:vector>
  </TitlesOfParts>
  <Company>DCM</Company>
  <LinksUpToDate>false</LinksUpToDate>
  <CharactersWithSpaces>42481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ECE/TRANS/2019/5</dc:title>
  <dc:subject/>
  <dc:creator>Elena IZOTOVA</dc:creator>
  <cp:keywords/>
  <dc:description/>
  <cp:lastModifiedBy>Ioulia Goussarova</cp:lastModifiedBy>
  <cp:revision>3</cp:revision>
  <cp:lastPrinted>2018-12-26T14:36:00Z</cp:lastPrinted>
  <dcterms:created xsi:type="dcterms:W3CDTF">2018-12-26T14:36:00Z</dcterms:created>
  <dcterms:modified xsi:type="dcterms:W3CDTF">2018-12-26T14:37:00Z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