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F3E6A"/>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F3E6A" w:rsidP="001F3E6A">
            <w:pPr>
              <w:jc w:val="right"/>
            </w:pPr>
            <w:r w:rsidRPr="001F3E6A">
              <w:rPr>
                <w:sz w:val="40"/>
              </w:rPr>
              <w:t>ECE</w:t>
            </w:r>
            <w:r>
              <w:t>/TRANS/2019/10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F3E6A" w:rsidP="00C97039">
            <w:pPr>
              <w:spacing w:before="240"/>
            </w:pPr>
            <w:r>
              <w:t>Distr. générale</w:t>
            </w:r>
          </w:p>
          <w:p w:rsidR="001F3E6A" w:rsidRDefault="001F3E6A" w:rsidP="001F3E6A">
            <w:pPr>
              <w:spacing w:line="240" w:lineRule="exact"/>
            </w:pPr>
            <w:r>
              <w:t>7 décembre 2018</w:t>
            </w:r>
          </w:p>
          <w:p w:rsidR="001F3E6A" w:rsidRDefault="001F3E6A" w:rsidP="001F3E6A">
            <w:pPr>
              <w:spacing w:line="240" w:lineRule="exact"/>
            </w:pPr>
            <w:r>
              <w:t>Français</w:t>
            </w:r>
          </w:p>
          <w:p w:rsidR="001F3E6A" w:rsidRPr="00DB58B5" w:rsidRDefault="001F3E6A" w:rsidP="001F3E6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bookmarkStart w:id="0" w:name="_GoBack"/>
      <w:bookmarkEnd w:id="0"/>
    </w:p>
    <w:p w:rsidR="001F3E6A" w:rsidRPr="00F30D47" w:rsidRDefault="00DA4059" w:rsidP="003916DE">
      <w:pPr>
        <w:spacing w:before="120"/>
        <w:rPr>
          <w:b/>
        </w:rPr>
      </w:pPr>
      <w:r>
        <w:rPr>
          <w:b/>
        </w:rPr>
        <w:t>Quatre-vingt-</w:t>
      </w:r>
      <w:r w:rsidR="001F3E6A">
        <w:rPr>
          <w:b/>
        </w:rPr>
        <w:t xml:space="preserve">unième </w:t>
      </w:r>
      <w:r w:rsidR="001F3E6A" w:rsidRPr="00F30D47">
        <w:rPr>
          <w:b/>
        </w:rPr>
        <w:t>session</w:t>
      </w:r>
    </w:p>
    <w:p w:rsidR="001F3E6A" w:rsidRDefault="001F3E6A" w:rsidP="003916DE">
      <w:r>
        <w:t>Genève, 19-22 février 2019</w:t>
      </w:r>
    </w:p>
    <w:p w:rsidR="001F3E6A" w:rsidRPr="00653735" w:rsidRDefault="001F3E6A" w:rsidP="003916DE">
      <w:r w:rsidRPr="00653735">
        <w:t>Point</w:t>
      </w:r>
      <w:r>
        <w:t xml:space="preserve"> 5 b) </w:t>
      </w:r>
      <w:r w:rsidRPr="00653735">
        <w:t>de l’ordre du jour provisoire</w:t>
      </w:r>
    </w:p>
    <w:p w:rsidR="00DA4059" w:rsidRPr="00F5511F" w:rsidRDefault="00DA4059" w:rsidP="00DA4059">
      <w:pPr>
        <w:rPr>
          <w:b/>
          <w:bCs/>
          <w:lang w:val="fr-FR"/>
        </w:rPr>
      </w:pPr>
      <w:r w:rsidRPr="00F5511F">
        <w:rPr>
          <w:b/>
          <w:bCs/>
          <w:lang w:val="fr-FR"/>
        </w:rPr>
        <w:t>Questions stratégiques à caractère modal et thématique</w:t>
      </w:r>
      <w:r>
        <w:rPr>
          <w:b/>
          <w:bCs/>
          <w:lang w:val="fr-FR"/>
        </w:rPr>
        <w:t> :</w:t>
      </w:r>
      <w:r w:rsidR="00B96116">
        <w:rPr>
          <w:b/>
          <w:bCs/>
          <w:lang w:val="fr-FR"/>
        </w:rPr>
        <w:t xml:space="preserve"> </w:t>
      </w:r>
      <w:r w:rsidR="00B96116">
        <w:rPr>
          <w:b/>
          <w:bCs/>
          <w:lang w:val="fr-FR"/>
        </w:rPr>
        <w:br/>
      </w:r>
      <w:r>
        <w:rPr>
          <w:b/>
          <w:bCs/>
          <w:lang w:val="fr-FR"/>
        </w:rPr>
        <w:t>H</w:t>
      </w:r>
      <w:r w:rsidRPr="00F5511F">
        <w:rPr>
          <w:b/>
          <w:bCs/>
          <w:lang w:val="fr-FR"/>
        </w:rPr>
        <w:t>armonisation des règlements concernant les véhicules</w:t>
      </w:r>
    </w:p>
    <w:p w:rsidR="00DA4059" w:rsidRPr="00F5511F" w:rsidRDefault="00DA4059" w:rsidP="00DA4059">
      <w:pPr>
        <w:pStyle w:val="HChG"/>
        <w:rPr>
          <w:lang w:val="fr-FR"/>
        </w:rPr>
      </w:pPr>
      <w:r w:rsidRPr="00F5511F">
        <w:rPr>
          <w:lang w:val="fr-FR"/>
        </w:rPr>
        <w:tab/>
      </w:r>
      <w:r w:rsidRPr="00F5511F">
        <w:rPr>
          <w:lang w:val="fr-FR"/>
        </w:rPr>
        <w:tab/>
        <w:t>Faits nouveaux les plus récents dans le domaine des Règlements concernant les véhicules</w:t>
      </w:r>
    </w:p>
    <w:p w:rsidR="00F9573C" w:rsidRDefault="00DA4059" w:rsidP="00DA4059">
      <w:pPr>
        <w:pStyle w:val="H1G"/>
        <w:rPr>
          <w:lang w:val="fr-FR"/>
        </w:rPr>
      </w:pPr>
      <w:r w:rsidRPr="00F5511F">
        <w:rPr>
          <w:lang w:val="fr-FR"/>
        </w:rPr>
        <w:tab/>
      </w:r>
      <w:r w:rsidRPr="00F5511F">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DA4059">
        <w:trPr>
          <w:jc w:val="center"/>
        </w:trPr>
        <w:tc>
          <w:tcPr>
            <w:tcW w:w="9637" w:type="dxa"/>
            <w:shd w:val="clear" w:color="auto" w:fill="auto"/>
          </w:tcPr>
          <w:p w:rsidR="00DA4059" w:rsidRDefault="00DA4059">
            <w:pPr>
              <w:spacing w:before="240" w:after="120"/>
              <w:ind w:left="255"/>
              <w:rPr>
                <w:i/>
                <w:sz w:val="24"/>
              </w:rPr>
            </w:pPr>
            <w:r>
              <w:rPr>
                <w:i/>
                <w:sz w:val="24"/>
              </w:rPr>
              <w:t>Résumé</w:t>
            </w:r>
          </w:p>
        </w:tc>
      </w:tr>
      <w:tr w:rsidR="00DA4059">
        <w:trPr>
          <w:jc w:val="center"/>
        </w:trPr>
        <w:tc>
          <w:tcPr>
            <w:tcW w:w="9637" w:type="dxa"/>
            <w:shd w:val="clear" w:color="auto" w:fill="auto"/>
          </w:tcPr>
          <w:p w:rsidR="00DA4059" w:rsidRDefault="00DA4059" w:rsidP="00DA4059">
            <w:pPr>
              <w:pStyle w:val="SingleTxtG"/>
              <w:ind w:firstLine="567"/>
            </w:pPr>
            <w:r w:rsidRPr="00F5511F">
              <w:rPr>
                <w:lang w:val="fr-FR"/>
              </w:rPr>
              <w:t>Les travaux menés dans le cadre du Forum mondial de l</w:t>
            </w:r>
            <w:r>
              <w:rPr>
                <w:lang w:val="fr-FR"/>
              </w:rPr>
              <w:t>’</w:t>
            </w:r>
            <w:r w:rsidRPr="00F5511F">
              <w:rPr>
                <w:lang w:val="fr-FR"/>
              </w:rPr>
              <w:t xml:space="preserve">harmonisation des Règlements concernant les véhicules </w:t>
            </w:r>
            <w:r w:rsidR="001C2306">
              <w:rPr>
                <w:lang w:val="fr-FR"/>
              </w:rPr>
              <w:t xml:space="preserve">(WP.29) </w:t>
            </w:r>
            <w:r w:rsidRPr="00F5511F">
              <w:rPr>
                <w:lang w:val="fr-FR"/>
              </w:rPr>
              <w:t>ont permis de continuer à renforcer la sécurité des véhicules et la protection de l</w:t>
            </w:r>
            <w:r>
              <w:rPr>
                <w:lang w:val="fr-FR"/>
              </w:rPr>
              <w:t>’</w:t>
            </w:r>
            <w:r w:rsidRPr="00F5511F">
              <w:rPr>
                <w:lang w:val="fr-FR"/>
              </w:rPr>
              <w:t xml:space="preserve">environnement en élaborant nombre de nouveaux </w:t>
            </w:r>
            <w:r>
              <w:rPr>
                <w:lang w:val="fr-FR"/>
              </w:rPr>
              <w:t>r</w:t>
            </w:r>
            <w:r w:rsidRPr="00F5511F">
              <w:rPr>
                <w:lang w:val="fr-FR"/>
              </w:rPr>
              <w:t xml:space="preserve">èglements et </w:t>
            </w:r>
            <w:r>
              <w:rPr>
                <w:lang w:val="fr-FR"/>
              </w:rPr>
              <w:t>r</w:t>
            </w:r>
            <w:r w:rsidRPr="00F5511F">
              <w:rPr>
                <w:lang w:val="fr-FR"/>
              </w:rPr>
              <w:t>ègles concernant les véhicules, annexés aux Accords de 1958, 1997 et 1998, et de nouveaux amendements aux règles et règlements existants.</w:t>
            </w:r>
          </w:p>
        </w:tc>
      </w:tr>
      <w:tr w:rsidR="00DA4059">
        <w:trPr>
          <w:jc w:val="center"/>
        </w:trPr>
        <w:tc>
          <w:tcPr>
            <w:tcW w:w="9637" w:type="dxa"/>
            <w:shd w:val="clear" w:color="auto" w:fill="auto"/>
          </w:tcPr>
          <w:p w:rsidR="00DA4059" w:rsidRDefault="00DA4059" w:rsidP="00DA4059">
            <w:pPr>
              <w:pStyle w:val="SingleTxtG"/>
              <w:ind w:firstLine="567"/>
            </w:pPr>
            <w:r w:rsidRPr="00F5511F">
              <w:rPr>
                <w:rFonts w:eastAsia="Calibri"/>
                <w:spacing w:val="-2"/>
                <w:u w:color="000000"/>
                <w:lang w:val="fr-FR"/>
              </w:rPr>
              <w:t xml:space="preserve">Les sujets importants ont été la création du Groupe de travail des véhicules autonomes ou automatisés, </w:t>
            </w:r>
            <w:r>
              <w:rPr>
                <w:rFonts w:eastAsia="Calibri"/>
                <w:spacing w:val="-2"/>
                <w:u w:color="000000"/>
                <w:lang w:val="fr-FR"/>
              </w:rPr>
              <w:t>l’introduction</w:t>
            </w:r>
            <w:r w:rsidRPr="00F5511F">
              <w:rPr>
                <w:rFonts w:eastAsia="Calibri"/>
                <w:spacing w:val="-2"/>
                <w:u w:color="000000"/>
                <w:lang w:val="fr-FR"/>
              </w:rPr>
              <w:t xml:space="preserve"> de prescriptions relatives aux fonctions de conduite automatisées ou autonomes</w:t>
            </w:r>
            <w:r>
              <w:rPr>
                <w:rFonts w:eastAsia="Calibri"/>
                <w:spacing w:val="-2"/>
                <w:u w:color="000000"/>
                <w:lang w:val="fr-FR"/>
              </w:rPr>
              <w:t xml:space="preserve"> dans le cadre réglementaire, y </w:t>
            </w:r>
            <w:r w:rsidRPr="00F5511F">
              <w:rPr>
                <w:rFonts w:eastAsia="Calibri"/>
                <w:spacing w:val="-2"/>
                <w:u w:color="000000"/>
                <w:lang w:val="fr-FR"/>
              </w:rPr>
              <w:t>compris des éléments connexes tels que la cybersécurité et la protection des données</w:t>
            </w:r>
            <w:r w:rsidRPr="00F5511F">
              <w:rPr>
                <w:spacing w:val="-2"/>
                <w:lang w:val="fr-FR"/>
              </w:rPr>
              <w:t>, la base de données pour l</w:t>
            </w:r>
            <w:r>
              <w:rPr>
                <w:spacing w:val="-2"/>
                <w:lang w:val="fr-FR"/>
              </w:rPr>
              <w:t>’</w:t>
            </w:r>
            <w:r w:rsidRPr="00F5511F">
              <w:rPr>
                <w:spacing w:val="-2"/>
                <w:lang w:val="fr-FR"/>
              </w:rPr>
              <w:t>échange d</w:t>
            </w:r>
            <w:r>
              <w:rPr>
                <w:spacing w:val="-2"/>
                <w:lang w:val="fr-FR"/>
              </w:rPr>
              <w:t>’</w:t>
            </w:r>
            <w:r w:rsidRPr="00F5511F">
              <w:rPr>
                <w:spacing w:val="-2"/>
                <w:lang w:val="fr-FR"/>
              </w:rPr>
              <w:t>informations concernant l</w:t>
            </w:r>
            <w:r>
              <w:rPr>
                <w:spacing w:val="-2"/>
                <w:lang w:val="fr-FR"/>
              </w:rPr>
              <w:t>’</w:t>
            </w:r>
            <w:r w:rsidRPr="00F5511F">
              <w:rPr>
                <w:spacing w:val="-2"/>
                <w:lang w:val="fr-FR"/>
              </w:rPr>
              <w:t>homologation de type (DETA) de la Commission économique pour l</w:t>
            </w:r>
            <w:r>
              <w:rPr>
                <w:spacing w:val="-2"/>
                <w:lang w:val="fr-FR"/>
              </w:rPr>
              <w:t>’</w:t>
            </w:r>
            <w:r w:rsidRPr="00F5511F">
              <w:rPr>
                <w:spacing w:val="-2"/>
                <w:lang w:val="fr-FR"/>
              </w:rPr>
              <w:t>Europe, l</w:t>
            </w:r>
            <w:r>
              <w:rPr>
                <w:spacing w:val="-2"/>
                <w:lang w:val="fr-FR"/>
              </w:rPr>
              <w:t>’</w:t>
            </w:r>
            <w:r w:rsidRPr="00F5511F">
              <w:rPr>
                <w:spacing w:val="-2"/>
                <w:lang w:val="fr-FR"/>
              </w:rPr>
              <w:t>application de l</w:t>
            </w:r>
            <w:r>
              <w:rPr>
                <w:spacing w:val="-2"/>
                <w:lang w:val="fr-FR"/>
              </w:rPr>
              <w:t>’</w:t>
            </w:r>
            <w:r w:rsidRPr="00F5511F">
              <w:rPr>
                <w:spacing w:val="-2"/>
                <w:lang w:val="fr-FR"/>
              </w:rPr>
              <w:t>Accord de 1998 et les inspections techniques périodiques en application de l</w:t>
            </w:r>
            <w:r>
              <w:rPr>
                <w:spacing w:val="-2"/>
                <w:lang w:val="fr-FR"/>
              </w:rPr>
              <w:t>’</w:t>
            </w:r>
            <w:r w:rsidRPr="00F5511F">
              <w:rPr>
                <w:spacing w:val="-2"/>
                <w:lang w:val="fr-FR"/>
              </w:rPr>
              <w:t>Accord de 1997</w:t>
            </w:r>
            <w:r w:rsidRPr="00F5511F">
              <w:rPr>
                <w:rFonts w:eastAsia="Calibri"/>
                <w:spacing w:val="-2"/>
                <w:u w:color="000000"/>
                <w:lang w:val="fr-FR"/>
              </w:rPr>
              <w:t>.</w:t>
            </w:r>
          </w:p>
        </w:tc>
      </w:tr>
      <w:tr w:rsidR="00DA4059">
        <w:trPr>
          <w:jc w:val="center"/>
        </w:trPr>
        <w:tc>
          <w:tcPr>
            <w:tcW w:w="9637" w:type="dxa"/>
            <w:shd w:val="clear" w:color="auto" w:fill="auto"/>
          </w:tcPr>
          <w:p w:rsidR="00DA4059" w:rsidRDefault="00DA4059" w:rsidP="00DA4059">
            <w:pPr>
              <w:pStyle w:val="SingleTxtG"/>
              <w:ind w:firstLine="567"/>
              <w:rPr>
                <w:rFonts w:eastAsia="Calibri"/>
                <w:u w:color="000000"/>
                <w:lang w:val="fr-FR"/>
              </w:rPr>
            </w:pPr>
            <w:r w:rsidRPr="00F5511F">
              <w:rPr>
                <w:rFonts w:eastAsia="Calibri"/>
                <w:u w:color="000000"/>
                <w:lang w:val="fr-FR"/>
              </w:rPr>
              <w:t xml:space="preserve">Le Comité des transports intérieurs </w:t>
            </w:r>
            <w:r w:rsidRPr="00F5511F">
              <w:rPr>
                <w:rFonts w:eastAsia="Calibri"/>
                <w:b/>
                <w:u w:color="000000"/>
                <w:lang w:val="fr-FR"/>
              </w:rPr>
              <w:t>est invité</w:t>
            </w:r>
            <w:r w:rsidRPr="00F5511F">
              <w:rPr>
                <w:rFonts w:eastAsia="Calibri"/>
                <w:u w:color="000000"/>
                <w:lang w:val="fr-FR"/>
              </w:rPr>
              <w:t xml:space="preserve"> à</w:t>
            </w:r>
            <w:r>
              <w:rPr>
                <w:rFonts w:eastAsia="Calibri"/>
                <w:u w:color="000000"/>
                <w:lang w:val="fr-FR"/>
              </w:rPr>
              <w:t> :</w:t>
            </w:r>
          </w:p>
          <w:p w:rsidR="00DA4059" w:rsidRDefault="00DA4059" w:rsidP="00DA4059">
            <w:pPr>
              <w:pStyle w:val="Bullet1G"/>
              <w:rPr>
                <w:u w:color="000000"/>
                <w:lang w:val="fr-FR"/>
              </w:rPr>
            </w:pPr>
            <w:r w:rsidRPr="00F5511F">
              <w:rPr>
                <w:b/>
                <w:u w:color="000000"/>
                <w:lang w:val="fr-FR"/>
              </w:rPr>
              <w:t xml:space="preserve">Approuver </w:t>
            </w:r>
            <w:r w:rsidRPr="00F5511F">
              <w:rPr>
                <w:u w:color="000000"/>
                <w:lang w:val="fr-FR"/>
              </w:rPr>
              <w:t>les activités énumérées dans le présent document</w:t>
            </w:r>
            <w:r>
              <w:rPr>
                <w:u w:color="000000"/>
                <w:lang w:val="fr-FR"/>
              </w:rPr>
              <w:t> ;</w:t>
            </w:r>
          </w:p>
          <w:p w:rsidR="00DA4059" w:rsidRDefault="00DA4059" w:rsidP="00DA4059">
            <w:pPr>
              <w:pStyle w:val="Bullet1G"/>
              <w:rPr>
                <w:rFonts w:eastAsia="Calibri"/>
                <w:bCs/>
                <w:u w:color="000000"/>
                <w:lang w:val="fr-FR"/>
              </w:rPr>
            </w:pPr>
            <w:r w:rsidRPr="00DA4059">
              <w:rPr>
                <w:b/>
                <w:u w:color="000000"/>
                <w:lang w:val="fr-FR"/>
              </w:rPr>
              <w:t>Entériner</w:t>
            </w:r>
            <w:r w:rsidRPr="00F5511F">
              <w:rPr>
                <w:rFonts w:eastAsia="Calibri"/>
                <w:b/>
                <w:u w:color="000000"/>
                <w:lang w:val="fr-FR"/>
              </w:rPr>
              <w:t xml:space="preserve"> </w:t>
            </w:r>
            <w:r w:rsidRPr="00F5511F">
              <w:rPr>
                <w:rFonts w:eastAsia="Calibri"/>
                <w:u w:color="000000"/>
                <w:lang w:val="fr-FR"/>
              </w:rPr>
              <w:t>la</w:t>
            </w:r>
            <w:r w:rsidRPr="00F5511F">
              <w:rPr>
                <w:rFonts w:eastAsia="Calibri"/>
                <w:b/>
                <w:u w:color="000000"/>
                <w:lang w:val="fr-FR"/>
              </w:rPr>
              <w:t xml:space="preserve"> </w:t>
            </w:r>
            <w:r w:rsidRPr="00F5511F">
              <w:rPr>
                <w:rFonts w:eastAsia="Calibri"/>
                <w:bCs/>
                <w:u w:color="000000"/>
                <w:lang w:val="fr-FR"/>
              </w:rPr>
              <w:t>transformation du Groupe de travail en matière de roulement et de freinage (GRRF) en Groupe de travail des véhicules autonomes et automatisés (GRVA), en application de la décision n</w:t>
            </w:r>
            <w:r w:rsidRPr="00F5511F">
              <w:rPr>
                <w:rFonts w:eastAsia="Calibri"/>
                <w:bCs/>
                <w:u w:color="000000"/>
                <w:vertAlign w:val="superscript"/>
                <w:lang w:val="fr-FR"/>
              </w:rPr>
              <w:t>o</w:t>
            </w:r>
            <w:r w:rsidRPr="00F5511F">
              <w:rPr>
                <w:rFonts w:eastAsia="Calibri"/>
                <w:bCs/>
                <w:u w:color="000000"/>
                <w:lang w:val="fr-FR"/>
              </w:rPr>
              <w:t xml:space="preserve"> 19 de 2018 du Comité</w:t>
            </w:r>
            <w:r>
              <w:rPr>
                <w:rFonts w:eastAsia="Calibri"/>
                <w:bCs/>
                <w:u w:color="000000"/>
                <w:lang w:val="fr-FR"/>
              </w:rPr>
              <w:t> ;</w:t>
            </w:r>
          </w:p>
          <w:p w:rsidR="00DA4059" w:rsidRDefault="00DA4059" w:rsidP="00DA4059">
            <w:pPr>
              <w:pStyle w:val="Bullet1G"/>
              <w:rPr>
                <w:rFonts w:eastAsia="Calibri"/>
                <w:bCs/>
                <w:u w:color="000000"/>
                <w:lang w:val="fr-FR"/>
              </w:rPr>
            </w:pPr>
            <w:r w:rsidRPr="00DA4059">
              <w:rPr>
                <w:b/>
                <w:u w:color="000000"/>
                <w:lang w:val="fr-FR"/>
              </w:rPr>
              <w:t>Approuver</w:t>
            </w:r>
            <w:r w:rsidRPr="00F5511F">
              <w:rPr>
                <w:rFonts w:eastAsia="Calibri"/>
                <w:b/>
                <w:u w:color="000000"/>
                <w:lang w:val="fr-FR"/>
              </w:rPr>
              <w:t xml:space="preserve"> </w:t>
            </w:r>
            <w:r w:rsidRPr="00F5511F">
              <w:rPr>
                <w:rFonts w:eastAsia="Calibri"/>
                <w:u w:color="000000"/>
                <w:lang w:val="fr-FR"/>
              </w:rPr>
              <w:t>les</w:t>
            </w:r>
            <w:r w:rsidRPr="00F5511F">
              <w:rPr>
                <w:rFonts w:eastAsia="Calibri"/>
                <w:b/>
                <w:u w:color="000000"/>
                <w:lang w:val="fr-FR"/>
              </w:rPr>
              <w:t xml:space="preserve"> </w:t>
            </w:r>
            <w:r w:rsidRPr="00F5511F">
              <w:rPr>
                <w:rFonts w:eastAsia="Calibri"/>
                <w:bCs/>
                <w:u w:color="000000"/>
                <w:lang w:val="fr-FR"/>
              </w:rPr>
              <w:t xml:space="preserve">amendements au mandat et au Règlement intérieur du Forum mondial qui </w:t>
            </w:r>
            <w:r>
              <w:rPr>
                <w:rFonts w:eastAsia="Calibri"/>
                <w:bCs/>
                <w:u w:color="000000"/>
                <w:lang w:val="fr-FR"/>
              </w:rPr>
              <w:t xml:space="preserve">découlent </w:t>
            </w:r>
            <w:r w:rsidRPr="00F5511F">
              <w:rPr>
                <w:rFonts w:eastAsia="Calibri"/>
                <w:bCs/>
                <w:u w:color="000000"/>
                <w:lang w:val="fr-FR"/>
              </w:rPr>
              <w:t>de la transformation du GRRF en GRVA et d</w:t>
            </w:r>
            <w:r>
              <w:rPr>
                <w:rFonts w:eastAsia="Calibri"/>
                <w:bCs/>
                <w:u w:color="000000"/>
                <w:lang w:val="fr-FR"/>
              </w:rPr>
              <w:t>’</w:t>
            </w:r>
            <w:r w:rsidRPr="00F5511F">
              <w:rPr>
                <w:rFonts w:eastAsia="Calibri"/>
                <w:bCs/>
                <w:u w:color="000000"/>
                <w:lang w:val="fr-FR"/>
              </w:rPr>
              <w:t xml:space="preserve">autres adaptations </w:t>
            </w:r>
            <w:r>
              <w:rPr>
                <w:rFonts w:eastAsia="Calibri"/>
                <w:bCs/>
                <w:u w:color="000000"/>
                <w:lang w:val="fr-FR"/>
              </w:rPr>
              <w:t>de conséquence ;</w:t>
            </w:r>
          </w:p>
          <w:p w:rsidR="00DA4059" w:rsidRDefault="00DA4059" w:rsidP="00DA4059">
            <w:pPr>
              <w:pStyle w:val="Bullet1G"/>
              <w:rPr>
                <w:rFonts w:eastAsia="Calibri"/>
                <w:u w:color="000000"/>
                <w:lang w:val="fr-FR"/>
              </w:rPr>
            </w:pPr>
            <w:r w:rsidRPr="00DA4059">
              <w:rPr>
                <w:b/>
                <w:u w:color="000000"/>
                <w:lang w:val="fr-FR"/>
              </w:rPr>
              <w:t>Réitérer</w:t>
            </w:r>
            <w:r w:rsidRPr="00F5511F">
              <w:rPr>
                <w:rFonts w:eastAsia="Calibri"/>
                <w:u w:color="000000"/>
                <w:lang w:val="fr-FR"/>
              </w:rPr>
              <w:t xml:space="preserve"> </w:t>
            </w:r>
            <w:r>
              <w:rPr>
                <w:rFonts w:eastAsia="Calibri"/>
                <w:u w:color="000000"/>
                <w:lang w:val="fr-FR"/>
              </w:rPr>
              <w:t xml:space="preserve">son </w:t>
            </w:r>
            <w:r w:rsidRPr="00F5511F">
              <w:rPr>
                <w:rFonts w:eastAsia="Calibri"/>
                <w:u w:color="000000"/>
                <w:lang w:val="fr-FR"/>
              </w:rPr>
              <w:t>appui à l</w:t>
            </w:r>
            <w:r>
              <w:rPr>
                <w:rFonts w:eastAsia="Calibri"/>
                <w:u w:color="000000"/>
                <w:lang w:val="fr-FR"/>
              </w:rPr>
              <w:t>’</w:t>
            </w:r>
            <w:r w:rsidRPr="00F5511F">
              <w:rPr>
                <w:rFonts w:eastAsia="Calibri"/>
                <w:u w:color="000000"/>
                <w:lang w:val="fr-FR"/>
              </w:rPr>
              <w:t>hébergement de la DETA par la CEE</w:t>
            </w:r>
            <w:r>
              <w:rPr>
                <w:rFonts w:eastAsia="Calibri"/>
                <w:u w:color="000000"/>
                <w:lang w:val="fr-FR"/>
              </w:rPr>
              <w:t> ;</w:t>
            </w:r>
            <w:r w:rsidRPr="00F5511F">
              <w:rPr>
                <w:rFonts w:eastAsia="Calibri"/>
                <w:u w:color="000000"/>
                <w:lang w:val="fr-FR"/>
              </w:rPr>
              <w:t xml:space="preserve"> et</w:t>
            </w:r>
          </w:p>
          <w:p w:rsidR="00DA4059" w:rsidRPr="00F5511F" w:rsidRDefault="00DA4059" w:rsidP="00DA4059">
            <w:pPr>
              <w:pStyle w:val="Bullet1G"/>
              <w:rPr>
                <w:rFonts w:eastAsia="Calibri"/>
                <w:spacing w:val="-2"/>
                <w:u w:color="000000"/>
                <w:lang w:val="fr-FR"/>
              </w:rPr>
            </w:pPr>
            <w:r w:rsidRPr="00DA4059">
              <w:rPr>
                <w:b/>
                <w:u w:color="000000"/>
                <w:lang w:val="fr-FR"/>
              </w:rPr>
              <w:t>Demander</w:t>
            </w:r>
            <w:r w:rsidRPr="00F5511F">
              <w:rPr>
                <w:rFonts w:eastAsia="Calibri"/>
                <w:u w:color="000000"/>
                <w:lang w:val="fr-FR"/>
              </w:rPr>
              <w:t xml:space="preserve"> </w:t>
            </w:r>
            <w:r>
              <w:rPr>
                <w:rFonts w:eastAsia="Calibri"/>
                <w:u w:color="000000"/>
                <w:lang w:val="fr-FR"/>
              </w:rPr>
              <w:t xml:space="preserve">que la </w:t>
            </w:r>
            <w:r w:rsidRPr="00F5511F">
              <w:rPr>
                <w:rFonts w:eastAsia="Calibri"/>
                <w:u w:color="000000"/>
                <w:lang w:val="fr-FR"/>
              </w:rPr>
              <w:t xml:space="preserve">DETA </w:t>
            </w:r>
            <w:r>
              <w:rPr>
                <w:rFonts w:eastAsia="Calibri"/>
                <w:u w:color="000000"/>
                <w:lang w:val="fr-FR"/>
              </w:rPr>
              <w:t>soit</w:t>
            </w:r>
            <w:r w:rsidRPr="00F5511F">
              <w:rPr>
                <w:rFonts w:eastAsia="Calibri"/>
                <w:u w:color="000000"/>
                <w:lang w:val="fr-FR"/>
              </w:rPr>
              <w:t xml:space="preserve"> financ</w:t>
            </w:r>
            <w:r>
              <w:rPr>
                <w:rFonts w:eastAsia="Calibri"/>
                <w:u w:color="000000"/>
                <w:lang w:val="fr-FR"/>
              </w:rPr>
              <w:t>ée</w:t>
            </w:r>
            <w:r w:rsidRPr="00F5511F">
              <w:rPr>
                <w:rFonts w:eastAsia="Calibri"/>
                <w:u w:color="000000"/>
                <w:lang w:val="fr-FR"/>
              </w:rPr>
              <w:t xml:space="preserve"> au titre du budget de l</w:t>
            </w:r>
            <w:r>
              <w:rPr>
                <w:rFonts w:eastAsia="Calibri"/>
                <w:u w:color="000000"/>
                <w:lang w:val="fr-FR"/>
              </w:rPr>
              <w:t>’</w:t>
            </w:r>
            <w:r w:rsidRPr="00F5511F">
              <w:rPr>
                <w:rFonts w:eastAsia="Calibri"/>
                <w:u w:color="000000"/>
                <w:lang w:val="fr-FR"/>
              </w:rPr>
              <w:t>ONU.</w:t>
            </w:r>
          </w:p>
        </w:tc>
      </w:tr>
      <w:tr w:rsidR="00DA4059">
        <w:trPr>
          <w:jc w:val="center"/>
        </w:trPr>
        <w:tc>
          <w:tcPr>
            <w:tcW w:w="9637" w:type="dxa"/>
            <w:shd w:val="clear" w:color="auto" w:fill="auto"/>
          </w:tcPr>
          <w:p w:rsidR="00DA4059" w:rsidRPr="00F5511F" w:rsidRDefault="00DA4059" w:rsidP="00DA4059">
            <w:pPr>
              <w:rPr>
                <w:rFonts w:eastAsia="Calibri"/>
                <w:b/>
                <w:u w:color="000000"/>
                <w:lang w:val="fr-FR"/>
              </w:rPr>
            </w:pPr>
          </w:p>
        </w:tc>
      </w:tr>
    </w:tbl>
    <w:p w:rsidR="002B08D8" w:rsidRPr="00F5511F" w:rsidRDefault="002B08D8" w:rsidP="002B08D8">
      <w:pPr>
        <w:pStyle w:val="HChG"/>
        <w:rPr>
          <w:lang w:val="fr-FR"/>
        </w:rPr>
      </w:pPr>
      <w:r w:rsidRPr="00F5511F">
        <w:rPr>
          <w:lang w:val="fr-FR"/>
        </w:rPr>
        <w:lastRenderedPageBreak/>
        <w:tab/>
        <w:t>I.</w:t>
      </w:r>
      <w:r w:rsidRPr="00F5511F">
        <w:rPr>
          <w:lang w:val="fr-FR"/>
        </w:rPr>
        <w:tab/>
        <w:t>Réorganisation</w:t>
      </w:r>
    </w:p>
    <w:p w:rsidR="002B08D8" w:rsidRPr="00F5511F" w:rsidRDefault="002B08D8" w:rsidP="002B08D8">
      <w:pPr>
        <w:pStyle w:val="SingleTxtG"/>
        <w:rPr>
          <w:lang w:val="fr-FR"/>
        </w:rPr>
      </w:pPr>
      <w:r w:rsidRPr="00F5511F">
        <w:rPr>
          <w:lang w:val="fr-FR"/>
        </w:rPr>
        <w:t>1.</w:t>
      </w:r>
      <w:r w:rsidRPr="00F5511F">
        <w:rPr>
          <w:lang w:val="fr-FR"/>
        </w:rPr>
        <w:tab/>
        <w:t>Suite à la décision prise par le Forum mondial en juin 2018 d</w:t>
      </w:r>
      <w:r>
        <w:rPr>
          <w:lang w:val="fr-FR"/>
        </w:rPr>
        <w:t>’</w:t>
      </w:r>
      <w:r w:rsidRPr="00F5511F">
        <w:rPr>
          <w:lang w:val="fr-FR"/>
        </w:rPr>
        <w:t>appliquer la décision n</w:t>
      </w:r>
      <w:r w:rsidRPr="00F5511F">
        <w:rPr>
          <w:vertAlign w:val="superscript"/>
          <w:lang w:val="fr-FR"/>
        </w:rPr>
        <w:t>o</w:t>
      </w:r>
      <w:r w:rsidRPr="00F5511F">
        <w:rPr>
          <w:lang w:val="fr-FR"/>
        </w:rPr>
        <w:t> 19 de 2018 du Comité et de transformer le Groupe de travail en matière de roulement et de freinage (GRRF) en Groupe de travail des véhicules autonomes et automatisés (GRVA), le GRVA s</w:t>
      </w:r>
      <w:r>
        <w:rPr>
          <w:lang w:val="fr-FR"/>
        </w:rPr>
        <w:t>’</w:t>
      </w:r>
      <w:r w:rsidRPr="00F5511F">
        <w:rPr>
          <w:lang w:val="fr-FR"/>
        </w:rPr>
        <w:t>est réuni une première fois du 25 au 28</w:t>
      </w:r>
      <w:r>
        <w:rPr>
          <w:lang w:val="fr-FR"/>
        </w:rPr>
        <w:t> </w:t>
      </w:r>
      <w:r w:rsidRPr="00F5511F">
        <w:rPr>
          <w:lang w:val="fr-FR"/>
        </w:rPr>
        <w:t>septembre 2018. Le GRVA conservera les activités du GRRF relatives aux véhicules autonomes, automatisés et connectés et intégrera les activités en cours autres que la coordination du groupe de travail informel sur les systèmes de transport intelligents et la conduite autonome. Ce processus a entraîné une réaffectation de certaines anciennes tâches du GRRF à des groupes de travail existants (</w:t>
      </w:r>
      <w:r w:rsidR="001C2306">
        <w:rPr>
          <w:lang w:val="fr-FR"/>
        </w:rPr>
        <w:t xml:space="preserve">telles </w:t>
      </w:r>
      <w:r>
        <w:rPr>
          <w:lang w:val="fr-FR"/>
        </w:rPr>
        <w:t>qu’</w:t>
      </w:r>
      <w:r w:rsidRPr="00F5511F">
        <w:rPr>
          <w:lang w:val="fr-FR"/>
        </w:rPr>
        <w:t>énuméré</w:t>
      </w:r>
      <w:r w:rsidR="001C2306">
        <w:rPr>
          <w:lang w:val="fr-FR"/>
        </w:rPr>
        <w:t>es</w:t>
      </w:r>
      <w:r w:rsidRPr="00F5511F">
        <w:rPr>
          <w:lang w:val="fr-FR"/>
        </w:rPr>
        <w:t xml:space="preserve"> à l</w:t>
      </w:r>
      <w:r>
        <w:rPr>
          <w:lang w:val="fr-FR"/>
        </w:rPr>
        <w:t>’</w:t>
      </w:r>
      <w:r>
        <w:rPr>
          <w:lang w:val="fr-FR"/>
        </w:rPr>
        <w:t>annexe </w:t>
      </w:r>
      <w:r w:rsidRPr="00F5511F">
        <w:rPr>
          <w:lang w:val="fr-FR"/>
        </w:rPr>
        <w:t>1 du document WP.29-175-25), y</w:t>
      </w:r>
      <w:r>
        <w:rPr>
          <w:lang w:val="fr-FR"/>
        </w:rPr>
        <w:t> </w:t>
      </w:r>
      <w:r w:rsidRPr="00F5511F">
        <w:rPr>
          <w:lang w:val="fr-FR"/>
        </w:rPr>
        <w:t>compris toutes les activités relatives aux pneumatiques au Groupe de travail du bruit (GRB). Dans ce contexte, le changement de nom</w:t>
      </w:r>
      <w:r>
        <w:rPr>
          <w:lang w:val="fr-FR"/>
        </w:rPr>
        <w:t xml:space="preserve"> de celui-ci</w:t>
      </w:r>
      <w:r w:rsidRPr="00F5511F">
        <w:rPr>
          <w:lang w:val="fr-FR"/>
        </w:rPr>
        <w:t xml:space="preserve"> </w:t>
      </w:r>
      <w:r>
        <w:rPr>
          <w:lang w:val="fr-FR"/>
        </w:rPr>
        <w:t>en</w:t>
      </w:r>
      <w:r w:rsidRPr="00F5511F">
        <w:rPr>
          <w:lang w:val="fr-FR"/>
        </w:rPr>
        <w:t xml:space="preserve"> Groupe de travail du bruit et des pneumatiques (GRBP) a été confirmé par le </w:t>
      </w:r>
      <w:r>
        <w:rPr>
          <w:lang w:val="fr-FR"/>
        </w:rPr>
        <w:t xml:space="preserve">Forum mondial </w:t>
      </w:r>
      <w:r w:rsidRPr="00F5511F">
        <w:rPr>
          <w:lang w:val="fr-FR"/>
        </w:rPr>
        <w:t>à sa 176</w:t>
      </w:r>
      <w:r w:rsidRPr="00F5511F">
        <w:rPr>
          <w:vertAlign w:val="superscript"/>
          <w:lang w:val="fr-FR"/>
        </w:rPr>
        <w:t>e</w:t>
      </w:r>
      <w:r>
        <w:rPr>
          <w:lang w:val="fr-FR"/>
        </w:rPr>
        <w:t> </w:t>
      </w:r>
      <w:r w:rsidRPr="00F5511F">
        <w:rPr>
          <w:lang w:val="fr-FR"/>
        </w:rPr>
        <w:t>session</w:t>
      </w:r>
      <w:r>
        <w:rPr>
          <w:lang w:val="fr-FR"/>
        </w:rPr>
        <w:t>, tenue</w:t>
      </w:r>
      <w:r w:rsidRPr="00F5511F">
        <w:rPr>
          <w:lang w:val="fr-FR"/>
        </w:rPr>
        <w:t xml:space="preserve"> en novembre 2018.</w:t>
      </w:r>
    </w:p>
    <w:p w:rsidR="002B08D8" w:rsidRPr="00F5511F" w:rsidRDefault="002B08D8" w:rsidP="002B08D8">
      <w:pPr>
        <w:pStyle w:val="SingleTxtG"/>
        <w:rPr>
          <w:lang w:val="fr-FR"/>
        </w:rPr>
      </w:pPr>
      <w:r>
        <w:rPr>
          <w:lang w:val="fr-FR"/>
        </w:rPr>
        <w:t>2.</w:t>
      </w:r>
      <w:r w:rsidRPr="00F5511F">
        <w:rPr>
          <w:lang w:val="fr-FR"/>
        </w:rPr>
        <w:tab/>
        <w:t>Les activités d</w:t>
      </w:r>
      <w:r>
        <w:rPr>
          <w:lang w:val="fr-FR"/>
        </w:rPr>
        <w:t>u</w:t>
      </w:r>
      <w:r w:rsidRPr="00F5511F">
        <w:rPr>
          <w:lang w:val="fr-FR"/>
        </w:rPr>
        <w:t xml:space="preserve"> GRVA comprendront l</w:t>
      </w:r>
      <w:r>
        <w:rPr>
          <w:lang w:val="fr-FR"/>
        </w:rPr>
        <w:t>’</w:t>
      </w:r>
      <w:r w:rsidRPr="00F5511F">
        <w:rPr>
          <w:lang w:val="fr-FR"/>
        </w:rPr>
        <w:t>élaboration d</w:t>
      </w:r>
      <w:r>
        <w:rPr>
          <w:lang w:val="fr-FR"/>
        </w:rPr>
        <w:t>’</w:t>
      </w:r>
      <w:r w:rsidRPr="00F5511F">
        <w:rPr>
          <w:lang w:val="fr-FR"/>
        </w:rPr>
        <w:t>un règlement-cadre sur les véhicules automatisés</w:t>
      </w:r>
      <w:r>
        <w:rPr>
          <w:lang w:val="fr-FR"/>
        </w:rPr>
        <w:t xml:space="preserve"> ou </w:t>
      </w:r>
      <w:r w:rsidRPr="00F5511F">
        <w:rPr>
          <w:lang w:val="fr-FR"/>
        </w:rPr>
        <w:t xml:space="preserve">autonomes. Parmi les points que le </w:t>
      </w:r>
      <w:r>
        <w:rPr>
          <w:lang w:val="fr-FR"/>
        </w:rPr>
        <w:t>G</w:t>
      </w:r>
      <w:r w:rsidRPr="00F5511F">
        <w:rPr>
          <w:lang w:val="fr-FR"/>
        </w:rPr>
        <w:t xml:space="preserve">roupe </w:t>
      </w:r>
      <w:r>
        <w:rPr>
          <w:lang w:val="fr-FR"/>
        </w:rPr>
        <w:t xml:space="preserve">de travail </w:t>
      </w:r>
      <w:r w:rsidRPr="00F5511F">
        <w:rPr>
          <w:lang w:val="fr-FR"/>
        </w:rPr>
        <w:t>abordera dans le cadre de l</w:t>
      </w:r>
      <w:r>
        <w:rPr>
          <w:lang w:val="fr-FR"/>
        </w:rPr>
        <w:t>’</w:t>
      </w:r>
      <w:r w:rsidRPr="00F5511F">
        <w:rPr>
          <w:lang w:val="fr-FR"/>
        </w:rPr>
        <w:t>établissement de règlements harmonisés à l</w:t>
      </w:r>
      <w:r>
        <w:rPr>
          <w:lang w:val="fr-FR"/>
        </w:rPr>
        <w:t>’</w:t>
      </w:r>
      <w:r w:rsidRPr="00F5511F">
        <w:rPr>
          <w:lang w:val="fr-FR"/>
        </w:rPr>
        <w:t>échelle internationale sur les technologies de conduite automatisée permett</w:t>
      </w:r>
      <w:r>
        <w:rPr>
          <w:lang w:val="fr-FR"/>
        </w:rPr>
        <w:t>a</w:t>
      </w:r>
      <w:r w:rsidRPr="00F5511F">
        <w:rPr>
          <w:lang w:val="fr-FR"/>
        </w:rPr>
        <w:t>nt aux conducteurs de bénéficier d</w:t>
      </w:r>
      <w:r>
        <w:rPr>
          <w:lang w:val="fr-FR"/>
        </w:rPr>
        <w:t>’</w:t>
      </w:r>
      <w:r w:rsidRPr="00F5511F">
        <w:rPr>
          <w:lang w:val="fr-FR"/>
        </w:rPr>
        <w:t>un degré plus élevé d</w:t>
      </w:r>
      <w:r>
        <w:rPr>
          <w:lang w:val="fr-FR"/>
        </w:rPr>
        <w:t>’</w:t>
      </w:r>
      <w:r w:rsidRPr="00F5511F">
        <w:rPr>
          <w:lang w:val="fr-FR"/>
        </w:rPr>
        <w:t>automatisation de la tâche de conduite et d</w:t>
      </w:r>
      <w:r>
        <w:rPr>
          <w:lang w:val="fr-FR"/>
        </w:rPr>
        <w:t>’</w:t>
      </w:r>
      <w:r w:rsidRPr="00F5511F">
        <w:rPr>
          <w:lang w:val="fr-FR"/>
        </w:rPr>
        <w:t>une sécurité et d</w:t>
      </w:r>
      <w:r>
        <w:rPr>
          <w:lang w:val="fr-FR"/>
        </w:rPr>
        <w:t>’</w:t>
      </w:r>
      <w:r w:rsidRPr="00F5511F">
        <w:rPr>
          <w:lang w:val="fr-FR"/>
        </w:rPr>
        <w:t>une sûreté accrues, on peut citer</w:t>
      </w:r>
      <w:r>
        <w:rPr>
          <w:lang w:val="fr-FR"/>
        </w:rPr>
        <w:t> :</w:t>
      </w:r>
    </w:p>
    <w:p w:rsidR="002B08D8" w:rsidRPr="00F5511F" w:rsidRDefault="002B08D8" w:rsidP="002B08D8">
      <w:pPr>
        <w:pStyle w:val="SingleTxtG"/>
        <w:ind w:firstLine="567"/>
        <w:rPr>
          <w:lang w:val="fr-FR"/>
        </w:rPr>
      </w:pPr>
      <w:r w:rsidRPr="00F5511F">
        <w:rPr>
          <w:lang w:val="fr-FR"/>
        </w:rPr>
        <w:t>a)</w:t>
      </w:r>
      <w:r>
        <w:rPr>
          <w:lang w:val="fr-FR"/>
        </w:rPr>
        <w:tab/>
        <w:t>Les prescriptions</w:t>
      </w:r>
      <w:r w:rsidRPr="00F5511F">
        <w:rPr>
          <w:lang w:val="fr-FR"/>
        </w:rPr>
        <w:t xml:space="preserve"> fonctionnelles </w:t>
      </w:r>
      <w:r>
        <w:rPr>
          <w:lang w:val="fr-FR"/>
        </w:rPr>
        <w:t>relatives à</w:t>
      </w:r>
      <w:r w:rsidRPr="00F5511F">
        <w:rPr>
          <w:lang w:val="fr-FR"/>
        </w:rPr>
        <w:t xml:space="preserve"> la technologie des véhicules intelligents et les applications des systèmes (automatisation et connectivité) dans les véhicules</w:t>
      </w:r>
      <w:r>
        <w:rPr>
          <w:lang w:val="fr-FR"/>
        </w:rPr>
        <w:t> ;</w:t>
      </w:r>
    </w:p>
    <w:p w:rsidR="002B08D8" w:rsidRPr="00F5511F" w:rsidRDefault="002B08D8" w:rsidP="002B08D8">
      <w:pPr>
        <w:pStyle w:val="SingleTxtG"/>
        <w:ind w:firstLine="567"/>
        <w:rPr>
          <w:lang w:val="fr-FR"/>
        </w:rPr>
      </w:pPr>
      <w:r w:rsidRPr="00F5511F">
        <w:rPr>
          <w:lang w:val="fr-FR"/>
        </w:rPr>
        <w:t>b)</w:t>
      </w:r>
      <w:r>
        <w:rPr>
          <w:lang w:val="fr-FR"/>
        </w:rPr>
        <w:tab/>
        <w:t>Une n</w:t>
      </w:r>
      <w:r w:rsidRPr="00F5511F">
        <w:rPr>
          <w:lang w:val="fr-FR"/>
        </w:rPr>
        <w:t>ouvelle méthode d</w:t>
      </w:r>
      <w:r>
        <w:rPr>
          <w:lang w:val="fr-FR"/>
        </w:rPr>
        <w:t>’</w:t>
      </w:r>
      <w:r w:rsidRPr="00F5511F">
        <w:rPr>
          <w:lang w:val="fr-FR"/>
        </w:rPr>
        <w:t>évaluation de la sécurité</w:t>
      </w:r>
      <w:r>
        <w:rPr>
          <w:lang w:val="fr-FR"/>
        </w:rPr>
        <w:t> ;</w:t>
      </w:r>
    </w:p>
    <w:p w:rsidR="002B08D8" w:rsidRPr="00F5511F" w:rsidRDefault="002B08D8" w:rsidP="002B08D8">
      <w:pPr>
        <w:pStyle w:val="SingleTxtG"/>
        <w:ind w:firstLine="567"/>
        <w:rPr>
          <w:lang w:val="fr-FR"/>
        </w:rPr>
      </w:pPr>
      <w:r w:rsidRPr="00F5511F">
        <w:rPr>
          <w:lang w:val="fr-FR"/>
        </w:rPr>
        <w:t>c)</w:t>
      </w:r>
      <w:r>
        <w:rPr>
          <w:lang w:val="fr-FR"/>
        </w:rPr>
        <w:tab/>
        <w:t>La c</w:t>
      </w:r>
      <w:r w:rsidRPr="00F5511F">
        <w:rPr>
          <w:lang w:val="fr-FR"/>
        </w:rPr>
        <w:t>ybersécurité</w:t>
      </w:r>
      <w:r>
        <w:rPr>
          <w:lang w:val="fr-FR"/>
        </w:rPr>
        <w:t> ;</w:t>
      </w:r>
    </w:p>
    <w:p w:rsidR="002B08D8" w:rsidRPr="00F5511F" w:rsidRDefault="002B08D8" w:rsidP="002B08D8">
      <w:pPr>
        <w:pStyle w:val="SingleTxtG"/>
        <w:ind w:firstLine="567"/>
        <w:rPr>
          <w:lang w:val="fr-FR"/>
        </w:rPr>
      </w:pPr>
      <w:r w:rsidRPr="00F5511F">
        <w:rPr>
          <w:lang w:val="fr-FR"/>
        </w:rPr>
        <w:t>d)</w:t>
      </w:r>
      <w:r>
        <w:rPr>
          <w:lang w:val="fr-FR"/>
        </w:rPr>
        <w:tab/>
        <w:t>Les m</w:t>
      </w:r>
      <w:r w:rsidRPr="00F5511F">
        <w:rPr>
          <w:lang w:val="fr-FR"/>
        </w:rPr>
        <w:t>ises à jour log</w:t>
      </w:r>
      <w:r>
        <w:rPr>
          <w:lang w:val="fr-FR"/>
        </w:rPr>
        <w:t>icielles, y </w:t>
      </w:r>
      <w:r w:rsidRPr="00F5511F">
        <w:rPr>
          <w:lang w:val="fr-FR"/>
        </w:rPr>
        <w:t xml:space="preserve">compris </w:t>
      </w:r>
      <w:r>
        <w:rPr>
          <w:lang w:val="fr-FR"/>
        </w:rPr>
        <w:t xml:space="preserve">par </w:t>
      </w:r>
      <w:r w:rsidRPr="0024484E">
        <w:rPr>
          <w:lang w:val="fr-FR"/>
        </w:rPr>
        <w:t>transmissions sans fil</w:t>
      </w:r>
      <w:r>
        <w:rPr>
          <w:lang w:val="fr-FR"/>
        </w:rPr>
        <w:t> ;</w:t>
      </w:r>
    </w:p>
    <w:p w:rsidR="002B08D8" w:rsidRPr="002B08D8" w:rsidRDefault="002B08D8" w:rsidP="002B08D8">
      <w:pPr>
        <w:pStyle w:val="SingleTxtG"/>
        <w:ind w:firstLine="567"/>
        <w:rPr>
          <w:spacing w:val="-2"/>
          <w:lang w:val="fr-FR"/>
        </w:rPr>
      </w:pPr>
      <w:r w:rsidRPr="002B08D8">
        <w:rPr>
          <w:spacing w:val="-2"/>
          <w:lang w:val="fr-FR"/>
        </w:rPr>
        <w:t>e)</w:t>
      </w:r>
      <w:r w:rsidRPr="002B08D8">
        <w:rPr>
          <w:spacing w:val="-2"/>
          <w:lang w:val="fr-FR"/>
        </w:rPr>
        <w:tab/>
        <w:t>Les systèmes de stockage des données pour la conduite automatisée (DSSAD) ;</w:t>
      </w:r>
    </w:p>
    <w:p w:rsidR="002B08D8" w:rsidRPr="00F5511F" w:rsidRDefault="002B08D8" w:rsidP="002B08D8">
      <w:pPr>
        <w:pStyle w:val="SingleTxtG"/>
        <w:ind w:firstLine="567"/>
        <w:rPr>
          <w:lang w:val="fr-FR"/>
        </w:rPr>
      </w:pPr>
      <w:r w:rsidRPr="00F5511F">
        <w:rPr>
          <w:lang w:val="fr-FR"/>
        </w:rPr>
        <w:t>f)</w:t>
      </w:r>
      <w:r>
        <w:rPr>
          <w:lang w:val="fr-FR"/>
        </w:rPr>
        <w:tab/>
        <w:t>Les d</w:t>
      </w:r>
      <w:r w:rsidRPr="00F5511F">
        <w:rPr>
          <w:lang w:val="fr-FR"/>
        </w:rPr>
        <w:t>ispositions relatives au contrôle technique périodique.</w:t>
      </w:r>
    </w:p>
    <w:p w:rsidR="002B08D8" w:rsidRPr="00F5511F" w:rsidRDefault="002B08D8" w:rsidP="002B08D8">
      <w:pPr>
        <w:pStyle w:val="SingleTxtG"/>
        <w:rPr>
          <w:lang w:val="fr-FR"/>
        </w:rPr>
      </w:pPr>
      <w:r>
        <w:rPr>
          <w:lang w:val="fr-FR"/>
        </w:rPr>
        <w:t>3.</w:t>
      </w:r>
      <w:r w:rsidRPr="00F5511F">
        <w:rPr>
          <w:lang w:val="fr-FR"/>
        </w:rPr>
        <w:tab/>
      </w:r>
      <w:r>
        <w:rPr>
          <w:lang w:val="fr-FR"/>
        </w:rPr>
        <w:t xml:space="preserve">À </w:t>
      </w:r>
      <w:r w:rsidRPr="00F5511F">
        <w:rPr>
          <w:lang w:val="fr-FR"/>
        </w:rPr>
        <w:t>sa 176</w:t>
      </w:r>
      <w:r w:rsidRPr="004C5195">
        <w:rPr>
          <w:vertAlign w:val="superscript"/>
          <w:lang w:val="fr-FR"/>
        </w:rPr>
        <w:t>e</w:t>
      </w:r>
      <w:r>
        <w:rPr>
          <w:lang w:val="fr-FR"/>
        </w:rPr>
        <w:t> </w:t>
      </w:r>
      <w:r w:rsidRPr="00F5511F">
        <w:rPr>
          <w:lang w:val="fr-FR"/>
        </w:rPr>
        <w:t xml:space="preserve">session, le </w:t>
      </w:r>
      <w:r>
        <w:rPr>
          <w:lang w:val="fr-FR"/>
        </w:rPr>
        <w:t>Forum mondial</w:t>
      </w:r>
      <w:r w:rsidRPr="00F5511F">
        <w:rPr>
          <w:lang w:val="fr-FR"/>
        </w:rPr>
        <w:t xml:space="preserve"> a adopté des amendements à son mandat et à son R</w:t>
      </w:r>
      <w:r>
        <w:rPr>
          <w:lang w:val="fr-FR"/>
        </w:rPr>
        <w:t>èglement intérieur</w:t>
      </w:r>
      <w:r w:rsidRPr="00F5511F">
        <w:rPr>
          <w:lang w:val="fr-FR"/>
        </w:rPr>
        <w:t xml:space="preserve"> </w:t>
      </w:r>
      <w:r>
        <w:rPr>
          <w:lang w:val="fr-FR"/>
        </w:rPr>
        <w:t>qui traduisent</w:t>
      </w:r>
      <w:r w:rsidRPr="00F5511F">
        <w:rPr>
          <w:lang w:val="fr-FR"/>
        </w:rPr>
        <w:t xml:space="preserve"> la transformation du GRRF en GRVA ainsi que l</w:t>
      </w:r>
      <w:r>
        <w:rPr>
          <w:lang w:val="fr-FR"/>
        </w:rPr>
        <w:t>’ensemble d</w:t>
      </w:r>
      <w:r w:rsidRPr="00F5511F">
        <w:rPr>
          <w:lang w:val="fr-FR"/>
        </w:rPr>
        <w:t>es adaptations qui en découlent.</w:t>
      </w:r>
    </w:p>
    <w:p w:rsidR="002B08D8" w:rsidRPr="00F5511F" w:rsidRDefault="002B08D8" w:rsidP="002B08D8">
      <w:pPr>
        <w:pStyle w:val="HChG"/>
        <w:rPr>
          <w:lang w:val="fr-FR"/>
        </w:rPr>
      </w:pPr>
      <w:r w:rsidRPr="00F5511F">
        <w:rPr>
          <w:lang w:val="fr-FR"/>
        </w:rPr>
        <w:tab/>
        <w:t>II.</w:t>
      </w:r>
      <w:r w:rsidRPr="00F5511F">
        <w:rPr>
          <w:lang w:val="fr-FR"/>
        </w:rPr>
        <w:tab/>
        <w:t>Accord de 1958</w:t>
      </w:r>
    </w:p>
    <w:p w:rsidR="002B08D8" w:rsidRPr="00F5511F" w:rsidRDefault="002B08D8" w:rsidP="002B08D8">
      <w:pPr>
        <w:pStyle w:val="SingleTxtG"/>
        <w:rPr>
          <w:lang w:val="fr-FR"/>
        </w:rPr>
      </w:pPr>
      <w:r>
        <w:rPr>
          <w:lang w:val="fr-FR"/>
        </w:rPr>
        <w:t>4.</w:t>
      </w:r>
      <w:r w:rsidRPr="00F5511F">
        <w:rPr>
          <w:lang w:val="fr-FR"/>
        </w:rPr>
        <w:tab/>
        <w:t xml:space="preserve">Trois nouveaux </w:t>
      </w:r>
      <w:r>
        <w:rPr>
          <w:lang w:val="fr-FR"/>
        </w:rPr>
        <w:t>R</w:t>
      </w:r>
      <w:r w:rsidRPr="00F5511F">
        <w:rPr>
          <w:lang w:val="fr-FR"/>
        </w:rPr>
        <w:t xml:space="preserve">èglements </w:t>
      </w:r>
      <w:r>
        <w:rPr>
          <w:lang w:val="fr-FR"/>
        </w:rPr>
        <w:t xml:space="preserve">ONU </w:t>
      </w:r>
      <w:r w:rsidRPr="0024484E">
        <w:rPr>
          <w:lang w:val="fr-FR"/>
        </w:rPr>
        <w:t>concernant les</w:t>
      </w:r>
      <w:r w:rsidRPr="00F5511F">
        <w:rPr>
          <w:lang w:val="fr-FR"/>
        </w:rPr>
        <w:t xml:space="preserve"> véhicules</w:t>
      </w:r>
      <w:r>
        <w:rPr>
          <w:lang w:val="fr-FR"/>
        </w:rPr>
        <w:t>,</w:t>
      </w:r>
      <w:r w:rsidRPr="00F5511F">
        <w:rPr>
          <w:lang w:val="fr-FR"/>
        </w:rPr>
        <w:t xml:space="preserve"> visant à améliorer la sécurité des véhicules et le</w:t>
      </w:r>
      <w:r>
        <w:rPr>
          <w:lang w:val="fr-FR"/>
        </w:rPr>
        <w:t>ur</w:t>
      </w:r>
      <w:r w:rsidRPr="00F5511F">
        <w:rPr>
          <w:lang w:val="fr-FR"/>
        </w:rPr>
        <w:t>s performances environnement</w:t>
      </w:r>
      <w:r>
        <w:rPr>
          <w:lang w:val="fr-FR"/>
        </w:rPr>
        <w:t>ales, sont entrés en vigueur en </w:t>
      </w:r>
      <w:r w:rsidRPr="00F5511F">
        <w:rPr>
          <w:lang w:val="fr-FR"/>
        </w:rPr>
        <w:t>2018</w:t>
      </w:r>
      <w:r>
        <w:rPr>
          <w:lang w:val="fr-FR"/>
        </w:rPr>
        <w:t> :</w:t>
      </w:r>
    </w:p>
    <w:p w:rsidR="002B08D8" w:rsidRPr="00F5511F" w:rsidRDefault="002B08D8" w:rsidP="002B08D8">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 xml:space="preserve">Règlement </w:t>
      </w:r>
      <w:r>
        <w:rPr>
          <w:lang w:val="fr-FR"/>
        </w:rPr>
        <w:t xml:space="preserve">ONU </w:t>
      </w:r>
      <w:r w:rsidRPr="00F5511F">
        <w:rPr>
          <w:lang w:val="fr-FR"/>
        </w:rPr>
        <w:t>n</w:t>
      </w:r>
      <w:r w:rsidRPr="0024484E">
        <w:rPr>
          <w:vertAlign w:val="superscript"/>
          <w:lang w:val="fr-FR"/>
        </w:rPr>
        <w:t>o</w:t>
      </w:r>
      <w:r>
        <w:rPr>
          <w:lang w:val="fr-FR"/>
        </w:rPr>
        <w:t> </w:t>
      </w:r>
      <w:r w:rsidRPr="00F5511F">
        <w:rPr>
          <w:lang w:val="fr-FR"/>
        </w:rPr>
        <w:t>0 sur l</w:t>
      </w:r>
      <w:r>
        <w:rPr>
          <w:lang w:val="fr-FR"/>
        </w:rPr>
        <w:t>’</w:t>
      </w:r>
      <w:r w:rsidRPr="00F5511F">
        <w:rPr>
          <w:lang w:val="fr-FR"/>
        </w:rPr>
        <w:t xml:space="preserve">homologation </w:t>
      </w:r>
      <w:r>
        <w:rPr>
          <w:lang w:val="fr-FR"/>
        </w:rPr>
        <w:t xml:space="preserve">de type </w:t>
      </w:r>
      <w:r w:rsidRPr="00F5511F">
        <w:rPr>
          <w:lang w:val="fr-FR"/>
        </w:rPr>
        <w:t>internationale de</w:t>
      </w:r>
      <w:r>
        <w:rPr>
          <w:lang w:val="fr-FR"/>
        </w:rPr>
        <w:t xml:space="preserve"> l’ensemble du</w:t>
      </w:r>
      <w:r w:rsidRPr="00F5511F">
        <w:rPr>
          <w:lang w:val="fr-FR"/>
        </w:rPr>
        <w:t xml:space="preserve"> véhicule</w:t>
      </w:r>
      <w:r>
        <w:rPr>
          <w:lang w:val="fr-FR"/>
        </w:rPr>
        <w:t>,</w:t>
      </w:r>
      <w:r w:rsidRPr="00F5511F">
        <w:rPr>
          <w:lang w:val="fr-FR"/>
        </w:rPr>
        <w:t xml:space="preserve"> adopté à la session de novembre 2017 du </w:t>
      </w:r>
      <w:r>
        <w:rPr>
          <w:lang w:val="fr-FR"/>
        </w:rPr>
        <w:t>Forum mondial,</w:t>
      </w:r>
      <w:r w:rsidRPr="00F5511F">
        <w:rPr>
          <w:lang w:val="fr-FR"/>
        </w:rPr>
        <w:t xml:space="preserve"> établi</w:t>
      </w:r>
      <w:r>
        <w:rPr>
          <w:lang w:val="fr-FR"/>
        </w:rPr>
        <w:t>t</w:t>
      </w:r>
      <w:r w:rsidRPr="00F5511F">
        <w:rPr>
          <w:lang w:val="fr-FR"/>
        </w:rPr>
        <w:t xml:space="preserve"> des dispositions uniformes</w:t>
      </w:r>
      <w:r>
        <w:rPr>
          <w:lang w:val="fr-FR"/>
        </w:rPr>
        <w:t xml:space="preserve"> et</w:t>
      </w:r>
      <w:r w:rsidRPr="00F5511F">
        <w:rPr>
          <w:lang w:val="fr-FR"/>
        </w:rPr>
        <w:t xml:space="preserve"> un système de reconnaissance mutuelle </w:t>
      </w:r>
      <w:r>
        <w:rPr>
          <w:lang w:val="fr-FR"/>
        </w:rPr>
        <w:t>d</w:t>
      </w:r>
      <w:r w:rsidRPr="00F5511F">
        <w:rPr>
          <w:lang w:val="fr-FR"/>
        </w:rPr>
        <w:t xml:space="preserve">es homologations </w:t>
      </w:r>
      <w:r w:rsidRPr="0024484E">
        <w:rPr>
          <w:lang w:val="fr-FR"/>
        </w:rPr>
        <w:t>de type internationale</w:t>
      </w:r>
      <w:r>
        <w:rPr>
          <w:lang w:val="fr-FR"/>
        </w:rPr>
        <w:t>s</w:t>
      </w:r>
      <w:r w:rsidRPr="0024484E">
        <w:rPr>
          <w:lang w:val="fr-FR"/>
        </w:rPr>
        <w:t xml:space="preserve"> de l</w:t>
      </w:r>
      <w:r>
        <w:rPr>
          <w:lang w:val="fr-FR"/>
        </w:rPr>
        <w:t>’</w:t>
      </w:r>
      <w:r w:rsidRPr="0024484E">
        <w:rPr>
          <w:lang w:val="fr-FR"/>
        </w:rPr>
        <w:t xml:space="preserve">ensemble </w:t>
      </w:r>
      <w:r>
        <w:rPr>
          <w:lang w:val="fr-FR"/>
        </w:rPr>
        <w:t xml:space="preserve">du </w:t>
      </w:r>
      <w:r w:rsidRPr="00F5511F">
        <w:rPr>
          <w:lang w:val="fr-FR"/>
        </w:rPr>
        <w:t>véhicule dans le cadre de l</w:t>
      </w:r>
      <w:r>
        <w:rPr>
          <w:lang w:val="fr-FR"/>
        </w:rPr>
        <w:t>’</w:t>
      </w:r>
      <w:r w:rsidRPr="00F5511F">
        <w:rPr>
          <w:lang w:val="fr-FR"/>
        </w:rPr>
        <w:t>Accord de 1958</w:t>
      </w:r>
      <w:r>
        <w:rPr>
          <w:lang w:val="fr-FR"/>
        </w:rPr>
        <w:t> ;</w:t>
      </w:r>
    </w:p>
    <w:p w:rsidR="002B08D8" w:rsidRPr="00F5511F" w:rsidRDefault="002B08D8" w:rsidP="002B08D8">
      <w:pPr>
        <w:pStyle w:val="SingleTxtG"/>
        <w:ind w:firstLine="567"/>
        <w:rPr>
          <w:lang w:val="fr-FR"/>
        </w:rPr>
      </w:pPr>
      <w:r w:rsidRPr="00F5511F">
        <w:rPr>
          <w:lang w:val="fr-FR"/>
        </w:rPr>
        <w:t>b)</w:t>
      </w:r>
      <w:r>
        <w:rPr>
          <w:lang w:val="fr-FR"/>
        </w:rPr>
        <w:tab/>
      </w:r>
      <w:r w:rsidRPr="00F5511F">
        <w:rPr>
          <w:lang w:val="fr-FR"/>
        </w:rPr>
        <w:t>Le Règlement</w:t>
      </w:r>
      <w:r w:rsidRPr="0024484E">
        <w:t xml:space="preserve"> </w:t>
      </w:r>
      <w:r w:rsidRPr="0024484E">
        <w:rPr>
          <w:lang w:val="fr-FR"/>
        </w:rPr>
        <w:t>ONU</w:t>
      </w:r>
      <w:r w:rsidRPr="00F5511F">
        <w:rPr>
          <w:lang w:val="fr-FR"/>
        </w:rPr>
        <w:t xml:space="preserve"> n</w:t>
      </w:r>
      <w:r w:rsidRPr="0024484E">
        <w:rPr>
          <w:vertAlign w:val="superscript"/>
          <w:lang w:val="fr-FR"/>
        </w:rPr>
        <w:t>o</w:t>
      </w:r>
      <w:r>
        <w:rPr>
          <w:lang w:val="fr-FR"/>
        </w:rPr>
        <w:t> </w:t>
      </w:r>
      <w:r w:rsidRPr="00F5511F">
        <w:rPr>
          <w:lang w:val="fr-FR"/>
        </w:rPr>
        <w:t xml:space="preserve">144 sur les systèmes </w:t>
      </w:r>
      <w:r w:rsidRPr="0024484E">
        <w:rPr>
          <w:lang w:val="fr-FR"/>
        </w:rPr>
        <w:t>automatique</w:t>
      </w:r>
      <w:r>
        <w:rPr>
          <w:lang w:val="fr-FR"/>
        </w:rPr>
        <w:t>s</w:t>
      </w:r>
      <w:r w:rsidRPr="0024484E">
        <w:rPr>
          <w:lang w:val="fr-FR"/>
        </w:rPr>
        <w:t xml:space="preserve"> d</w:t>
      </w:r>
      <w:r>
        <w:rPr>
          <w:lang w:val="fr-FR"/>
        </w:rPr>
        <w:t>’</w:t>
      </w:r>
      <w:r w:rsidRPr="0024484E">
        <w:rPr>
          <w:lang w:val="fr-FR"/>
        </w:rPr>
        <w:t>appel d</w:t>
      </w:r>
      <w:r>
        <w:rPr>
          <w:lang w:val="fr-FR"/>
        </w:rPr>
        <w:t>’</w:t>
      </w:r>
      <w:r w:rsidRPr="0024484E">
        <w:rPr>
          <w:lang w:val="fr-FR"/>
        </w:rPr>
        <w:t xml:space="preserve">urgence </w:t>
      </w:r>
      <w:r w:rsidRPr="00F5511F">
        <w:rPr>
          <w:lang w:val="fr-FR"/>
        </w:rPr>
        <w:t>en cas d</w:t>
      </w:r>
      <w:r>
        <w:rPr>
          <w:lang w:val="fr-FR"/>
        </w:rPr>
        <w:t>’</w:t>
      </w:r>
      <w:r w:rsidRPr="00F5511F">
        <w:rPr>
          <w:lang w:val="fr-FR"/>
        </w:rPr>
        <w:t>accident</w:t>
      </w:r>
      <w:r>
        <w:rPr>
          <w:lang w:val="fr-FR"/>
        </w:rPr>
        <w:t>,</w:t>
      </w:r>
      <w:r w:rsidRPr="00F5511F">
        <w:rPr>
          <w:lang w:val="fr-FR"/>
        </w:rPr>
        <w:t xml:space="preserve"> adopté à la session de novembre 2017 du </w:t>
      </w:r>
      <w:r>
        <w:rPr>
          <w:lang w:val="fr-FR"/>
        </w:rPr>
        <w:t>Forum mondial, établit des</w:t>
      </w:r>
      <w:r w:rsidRPr="00F5511F">
        <w:rPr>
          <w:lang w:val="fr-FR"/>
        </w:rPr>
        <w:t xml:space="preserve"> dispositions uniformes concernant l</w:t>
      </w:r>
      <w:r>
        <w:rPr>
          <w:lang w:val="fr-FR"/>
        </w:rPr>
        <w:t>’</w:t>
      </w:r>
      <w:r w:rsidRPr="00F5511F">
        <w:rPr>
          <w:lang w:val="fr-FR"/>
        </w:rPr>
        <w:t>homologation des dispositifs d</w:t>
      </w:r>
      <w:r>
        <w:rPr>
          <w:lang w:val="fr-FR"/>
        </w:rPr>
        <w:t>’</w:t>
      </w:r>
      <w:r w:rsidRPr="00F5511F">
        <w:rPr>
          <w:lang w:val="fr-FR"/>
        </w:rPr>
        <w:t>appel d</w:t>
      </w:r>
      <w:r>
        <w:rPr>
          <w:lang w:val="fr-FR"/>
        </w:rPr>
        <w:t>’</w:t>
      </w:r>
      <w:r w:rsidRPr="00F5511F">
        <w:rPr>
          <w:lang w:val="fr-FR"/>
        </w:rPr>
        <w:t xml:space="preserve">urgence et des véhicules automobiles </w:t>
      </w:r>
      <w:r>
        <w:rPr>
          <w:lang w:val="fr-FR"/>
        </w:rPr>
        <w:t xml:space="preserve">eu égard à </w:t>
      </w:r>
      <w:r w:rsidRPr="00F5511F">
        <w:rPr>
          <w:lang w:val="fr-FR"/>
        </w:rPr>
        <w:t>l</w:t>
      </w:r>
      <w:r>
        <w:rPr>
          <w:lang w:val="fr-FR"/>
        </w:rPr>
        <w:t>’</w:t>
      </w:r>
      <w:r w:rsidRPr="00F5511F">
        <w:rPr>
          <w:lang w:val="fr-FR"/>
        </w:rPr>
        <w:t>installation de ces systèmes</w:t>
      </w:r>
      <w:r>
        <w:rPr>
          <w:lang w:val="fr-FR"/>
        </w:rPr>
        <w:t> ;</w:t>
      </w:r>
    </w:p>
    <w:p w:rsidR="002B08D8" w:rsidRPr="00F5511F" w:rsidRDefault="002B08D8" w:rsidP="002B08D8">
      <w:pPr>
        <w:pStyle w:val="SingleTxtG"/>
        <w:ind w:firstLine="567"/>
        <w:rPr>
          <w:lang w:val="fr-FR"/>
        </w:rPr>
      </w:pPr>
      <w:r w:rsidRPr="00F5511F">
        <w:rPr>
          <w:lang w:val="fr-FR"/>
        </w:rPr>
        <w:t>c)</w:t>
      </w:r>
      <w:r>
        <w:rPr>
          <w:lang w:val="fr-FR"/>
        </w:rPr>
        <w:tab/>
      </w:r>
      <w:r w:rsidRPr="00F5511F">
        <w:rPr>
          <w:lang w:val="fr-FR"/>
        </w:rPr>
        <w:t>Le</w:t>
      </w:r>
      <w:r>
        <w:rPr>
          <w:lang w:val="fr-FR"/>
        </w:rPr>
        <w:t xml:space="preserve"> </w:t>
      </w:r>
      <w:r w:rsidRPr="00F5511F">
        <w:rPr>
          <w:lang w:val="fr-FR"/>
        </w:rPr>
        <w:t>Règlement ONU n</w:t>
      </w:r>
      <w:r w:rsidRPr="00F57EE6">
        <w:rPr>
          <w:vertAlign w:val="superscript"/>
          <w:lang w:val="fr-FR"/>
        </w:rPr>
        <w:t>o</w:t>
      </w:r>
      <w:r>
        <w:rPr>
          <w:lang w:val="fr-FR"/>
        </w:rPr>
        <w:t> </w:t>
      </w:r>
      <w:r w:rsidRPr="00F5511F">
        <w:rPr>
          <w:lang w:val="fr-FR"/>
        </w:rPr>
        <w:t>145 sur les systèmes d</w:t>
      </w:r>
      <w:r>
        <w:rPr>
          <w:lang w:val="fr-FR"/>
        </w:rPr>
        <w:t>’</w:t>
      </w:r>
      <w:r w:rsidRPr="00F5511F">
        <w:rPr>
          <w:lang w:val="fr-FR"/>
        </w:rPr>
        <w:t xml:space="preserve">ancrages ISOFIX, </w:t>
      </w:r>
      <w:r w:rsidRPr="00F57EE6">
        <w:rPr>
          <w:lang w:val="fr-FR"/>
        </w:rPr>
        <w:t>les ancrages pour fixation supérieure ISOFIX et les positions i-Siz</w:t>
      </w:r>
      <w:r>
        <w:rPr>
          <w:lang w:val="fr-FR"/>
        </w:rPr>
        <w:t>e,</w:t>
      </w:r>
      <w:r w:rsidRPr="00F5511F">
        <w:rPr>
          <w:lang w:val="fr-FR"/>
        </w:rPr>
        <w:t xml:space="preserve"> adopté à la session de novembre 2017 du </w:t>
      </w:r>
      <w:r>
        <w:rPr>
          <w:lang w:val="fr-FR"/>
        </w:rPr>
        <w:t>Forum mondial ; des</w:t>
      </w:r>
      <w:r w:rsidRPr="00F5511F">
        <w:rPr>
          <w:lang w:val="fr-FR"/>
        </w:rPr>
        <w:t xml:space="preserve"> dispositions distinctes</w:t>
      </w:r>
      <w:r>
        <w:rPr>
          <w:lang w:val="fr-FR"/>
        </w:rPr>
        <w:t xml:space="preserve"> relatives aux ancrages pour les systèmes</w:t>
      </w:r>
      <w:r w:rsidRPr="002C6788">
        <w:rPr>
          <w:rStyle w:val="caps"/>
          <w:lang w:val="fr-FR"/>
        </w:rPr>
        <w:t xml:space="preserve"> </w:t>
      </w:r>
      <w:r w:rsidRPr="00F5511F">
        <w:rPr>
          <w:rStyle w:val="caps"/>
          <w:lang w:val="fr-FR"/>
        </w:rPr>
        <w:t>ISOFIX</w:t>
      </w:r>
      <w:r w:rsidRPr="00F5511F">
        <w:rPr>
          <w:lang w:val="fr-FR"/>
        </w:rPr>
        <w:t xml:space="preserve"> et </w:t>
      </w:r>
      <w:r>
        <w:rPr>
          <w:lang w:val="fr-FR"/>
        </w:rPr>
        <w:t>les dispositifs</w:t>
      </w:r>
      <w:r w:rsidRPr="00F5511F">
        <w:rPr>
          <w:lang w:val="fr-FR"/>
        </w:rPr>
        <w:t xml:space="preserve"> de retenue pour enfants </w:t>
      </w:r>
      <w:r>
        <w:rPr>
          <w:lang w:val="fr-FR"/>
        </w:rPr>
        <w:t>ont été intégrées dans le</w:t>
      </w:r>
      <w:r w:rsidRPr="00F5511F">
        <w:rPr>
          <w:lang w:val="fr-FR"/>
        </w:rPr>
        <w:t xml:space="preserve"> Règlement ONU n</w:t>
      </w:r>
      <w:r w:rsidRPr="00F57EE6">
        <w:rPr>
          <w:vertAlign w:val="superscript"/>
          <w:lang w:val="fr-FR"/>
        </w:rPr>
        <w:t>o</w:t>
      </w:r>
      <w:r>
        <w:rPr>
          <w:lang w:val="fr-FR"/>
        </w:rPr>
        <w:t> </w:t>
      </w:r>
      <w:r w:rsidRPr="00F5511F">
        <w:rPr>
          <w:lang w:val="fr-FR"/>
        </w:rPr>
        <w:t>14 pour faciliter l</w:t>
      </w:r>
      <w:r>
        <w:rPr>
          <w:lang w:val="fr-FR"/>
        </w:rPr>
        <w:t>’</w:t>
      </w:r>
      <w:r w:rsidRPr="00F5511F">
        <w:rPr>
          <w:lang w:val="fr-FR"/>
        </w:rPr>
        <w:t>application de l</w:t>
      </w:r>
      <w:r>
        <w:rPr>
          <w:lang w:val="fr-FR"/>
        </w:rPr>
        <w:t>’</w:t>
      </w:r>
      <w:r w:rsidRPr="00F5511F">
        <w:rPr>
          <w:lang w:val="fr-FR"/>
        </w:rPr>
        <w:t>homologation</w:t>
      </w:r>
      <w:r>
        <w:rPr>
          <w:lang w:val="fr-FR"/>
        </w:rPr>
        <w:t xml:space="preserve"> de type</w:t>
      </w:r>
      <w:r w:rsidRPr="00F5511F">
        <w:rPr>
          <w:lang w:val="fr-FR"/>
        </w:rPr>
        <w:t xml:space="preserve"> internationale </w:t>
      </w:r>
      <w:r>
        <w:rPr>
          <w:lang w:val="fr-FR"/>
        </w:rPr>
        <w:t>de l’ensemble</w:t>
      </w:r>
      <w:r w:rsidRPr="00F5511F">
        <w:rPr>
          <w:lang w:val="fr-FR"/>
        </w:rPr>
        <w:t xml:space="preserve"> du véhicule.</w:t>
      </w:r>
    </w:p>
    <w:p w:rsidR="002B08D8" w:rsidRPr="00F5511F" w:rsidRDefault="002B08D8" w:rsidP="002B08D8">
      <w:pPr>
        <w:pStyle w:val="SingleTxtG"/>
        <w:rPr>
          <w:lang w:val="fr-FR"/>
        </w:rPr>
      </w:pPr>
      <w:r w:rsidRPr="00F5511F">
        <w:rPr>
          <w:lang w:val="fr-FR"/>
        </w:rPr>
        <w:lastRenderedPageBreak/>
        <w:t>5.</w:t>
      </w:r>
      <w:r w:rsidRPr="00F5511F">
        <w:rPr>
          <w:lang w:val="fr-FR"/>
        </w:rPr>
        <w:tab/>
      </w:r>
      <w:r>
        <w:rPr>
          <w:lang w:val="fr-FR"/>
        </w:rPr>
        <w:t>Le Forum mondial a</w:t>
      </w:r>
      <w:r w:rsidRPr="00F5511F">
        <w:rPr>
          <w:lang w:val="fr-FR"/>
        </w:rPr>
        <w:t xml:space="preserve"> adopté deux nouveaux </w:t>
      </w:r>
      <w:r>
        <w:rPr>
          <w:lang w:val="fr-FR"/>
        </w:rPr>
        <w:t>R</w:t>
      </w:r>
      <w:r w:rsidRPr="00F5511F">
        <w:rPr>
          <w:lang w:val="fr-FR"/>
        </w:rPr>
        <w:t xml:space="preserve">èglements </w:t>
      </w:r>
      <w:r>
        <w:rPr>
          <w:lang w:val="fr-FR"/>
        </w:rPr>
        <w:t xml:space="preserve">ONU </w:t>
      </w:r>
      <w:r w:rsidRPr="00F5511F">
        <w:rPr>
          <w:lang w:val="fr-FR"/>
        </w:rPr>
        <w:t>en 2018</w:t>
      </w:r>
      <w:r>
        <w:rPr>
          <w:lang w:val="fr-FR"/>
        </w:rPr>
        <w:t>. Les </w:t>
      </w:r>
      <w:r>
        <w:rPr>
          <w:lang w:val="fr-FR"/>
        </w:rPr>
        <w:t>R</w:t>
      </w:r>
      <w:r w:rsidRPr="00F5511F">
        <w:rPr>
          <w:lang w:val="fr-FR"/>
        </w:rPr>
        <w:t xml:space="preserve">èglements ONU existants ont été </w:t>
      </w:r>
      <w:r>
        <w:rPr>
          <w:lang w:val="fr-FR"/>
        </w:rPr>
        <w:t xml:space="preserve">actualisés au moyen de </w:t>
      </w:r>
      <w:r w:rsidRPr="00F5511F">
        <w:rPr>
          <w:lang w:val="fr-FR"/>
        </w:rPr>
        <w:t>100</w:t>
      </w:r>
      <w:r>
        <w:rPr>
          <w:lang w:val="fr-FR"/>
        </w:rPr>
        <w:t> </w:t>
      </w:r>
      <w:r w:rsidRPr="00F5511F">
        <w:rPr>
          <w:lang w:val="fr-FR"/>
        </w:rPr>
        <w:t xml:space="preserve">amendements, qui adaptent les </w:t>
      </w:r>
      <w:r>
        <w:rPr>
          <w:lang w:val="fr-FR"/>
        </w:rPr>
        <w:t>R</w:t>
      </w:r>
      <w:r w:rsidRPr="00F5511F">
        <w:rPr>
          <w:lang w:val="fr-FR"/>
        </w:rPr>
        <w:t xml:space="preserve">èglements aux innovations technologiques les plus récentes et </w:t>
      </w:r>
      <w:r>
        <w:rPr>
          <w:lang w:val="fr-FR"/>
        </w:rPr>
        <w:t>mettent en place</w:t>
      </w:r>
      <w:r w:rsidRPr="00F5511F">
        <w:rPr>
          <w:lang w:val="fr-FR"/>
        </w:rPr>
        <w:t xml:space="preserve"> des limites plus strictes visant à accroître à la fois la s</w:t>
      </w:r>
      <w:r>
        <w:rPr>
          <w:lang w:val="fr-FR"/>
        </w:rPr>
        <w:t>ûre</w:t>
      </w:r>
      <w:r w:rsidRPr="00F5511F">
        <w:rPr>
          <w:lang w:val="fr-FR"/>
        </w:rPr>
        <w:t xml:space="preserve">té et les performances environnementales des véhicules. </w:t>
      </w:r>
      <w:r>
        <w:rPr>
          <w:lang w:val="fr-FR"/>
        </w:rPr>
        <w:t>C</w:t>
      </w:r>
      <w:r w:rsidRPr="00F5511F">
        <w:rPr>
          <w:lang w:val="fr-FR"/>
        </w:rPr>
        <w:t>e</w:t>
      </w:r>
      <w:r>
        <w:rPr>
          <w:lang w:val="fr-FR"/>
        </w:rPr>
        <w:t>s</w:t>
      </w:r>
      <w:r w:rsidRPr="00F5511F">
        <w:rPr>
          <w:lang w:val="fr-FR"/>
        </w:rPr>
        <w:t xml:space="preserve"> </w:t>
      </w:r>
      <w:r w:rsidR="00B54B20">
        <w:rPr>
          <w:lang w:val="fr-FR"/>
        </w:rPr>
        <w:t>r</w:t>
      </w:r>
      <w:r w:rsidRPr="00F5511F">
        <w:rPr>
          <w:lang w:val="fr-FR"/>
        </w:rPr>
        <w:t>èglement</w:t>
      </w:r>
      <w:r>
        <w:rPr>
          <w:lang w:val="fr-FR"/>
        </w:rPr>
        <w:t>s</w:t>
      </w:r>
      <w:r w:rsidRPr="00F5511F">
        <w:rPr>
          <w:lang w:val="fr-FR"/>
        </w:rPr>
        <w:t xml:space="preserve"> entrer</w:t>
      </w:r>
      <w:r>
        <w:rPr>
          <w:lang w:val="fr-FR"/>
        </w:rPr>
        <w:t>ont</w:t>
      </w:r>
      <w:r w:rsidRPr="00F5511F">
        <w:rPr>
          <w:lang w:val="fr-FR"/>
        </w:rPr>
        <w:t xml:space="preserve"> en vigueur en janvier 2019</w:t>
      </w:r>
      <w:r>
        <w:rPr>
          <w:lang w:val="fr-FR"/>
        </w:rPr>
        <w:t> :</w:t>
      </w:r>
    </w:p>
    <w:p w:rsidR="002B08D8" w:rsidRPr="00F5511F" w:rsidRDefault="002B08D8" w:rsidP="002B08D8">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 xml:space="preserve">Règlement </w:t>
      </w:r>
      <w:r w:rsidRPr="00013D2C">
        <w:rPr>
          <w:lang w:val="fr-FR"/>
        </w:rPr>
        <w:t xml:space="preserve">ONU </w:t>
      </w:r>
      <w:r w:rsidRPr="00F5511F">
        <w:rPr>
          <w:lang w:val="fr-FR"/>
        </w:rPr>
        <w:t>n</w:t>
      </w:r>
      <w:r w:rsidRPr="00013D2C">
        <w:rPr>
          <w:vertAlign w:val="superscript"/>
          <w:lang w:val="fr-FR"/>
        </w:rPr>
        <w:t>o</w:t>
      </w:r>
      <w:r>
        <w:rPr>
          <w:lang w:val="fr-FR"/>
        </w:rPr>
        <w:t> </w:t>
      </w:r>
      <w:r w:rsidRPr="00F5511F">
        <w:rPr>
          <w:lang w:val="fr-FR"/>
        </w:rPr>
        <w:t xml:space="preserve">146 sur les véhicules à hydrogène et à pile à combustible de </w:t>
      </w:r>
      <w:r>
        <w:rPr>
          <w:lang w:val="fr-FR"/>
        </w:rPr>
        <w:t xml:space="preserve">la </w:t>
      </w:r>
      <w:r w:rsidRPr="00F5511F">
        <w:rPr>
          <w:lang w:val="fr-FR"/>
        </w:rPr>
        <w:t xml:space="preserve">catégorie L a été adopté à la session de juin 2018 du </w:t>
      </w:r>
      <w:r>
        <w:rPr>
          <w:lang w:val="fr-FR"/>
        </w:rPr>
        <w:t>Forum mondial ;</w:t>
      </w:r>
    </w:p>
    <w:p w:rsidR="002B08D8" w:rsidRPr="00F5511F" w:rsidRDefault="002B08D8" w:rsidP="002B08D8">
      <w:pPr>
        <w:pStyle w:val="SingleTxtG"/>
        <w:ind w:firstLine="567"/>
        <w:rPr>
          <w:lang w:val="fr-FR"/>
        </w:rPr>
      </w:pPr>
      <w:r w:rsidRPr="00F5511F">
        <w:rPr>
          <w:lang w:val="fr-FR"/>
        </w:rPr>
        <w:t>b)</w:t>
      </w:r>
      <w:r>
        <w:rPr>
          <w:lang w:val="fr-FR"/>
        </w:rPr>
        <w:tab/>
      </w:r>
      <w:r w:rsidRPr="00F5511F">
        <w:rPr>
          <w:lang w:val="fr-FR"/>
        </w:rPr>
        <w:t>Le</w:t>
      </w:r>
      <w:r>
        <w:rPr>
          <w:lang w:val="fr-FR"/>
        </w:rPr>
        <w:t xml:space="preserve"> </w:t>
      </w:r>
      <w:r w:rsidRPr="00F5511F">
        <w:rPr>
          <w:lang w:val="fr-FR"/>
        </w:rPr>
        <w:t xml:space="preserve">Règlement </w:t>
      </w:r>
      <w:r w:rsidRPr="00013D2C">
        <w:rPr>
          <w:lang w:val="fr-FR"/>
        </w:rPr>
        <w:t xml:space="preserve">ONU </w:t>
      </w:r>
      <w:r w:rsidRPr="00F5511F">
        <w:rPr>
          <w:lang w:val="fr-FR"/>
        </w:rPr>
        <w:t>n</w:t>
      </w:r>
      <w:r w:rsidRPr="00013D2C">
        <w:rPr>
          <w:vertAlign w:val="superscript"/>
          <w:lang w:val="fr-FR"/>
        </w:rPr>
        <w:t>o</w:t>
      </w:r>
      <w:r>
        <w:rPr>
          <w:lang w:val="fr-FR"/>
        </w:rPr>
        <w:t> </w:t>
      </w:r>
      <w:r w:rsidRPr="00F5511F">
        <w:rPr>
          <w:lang w:val="fr-FR"/>
        </w:rPr>
        <w:t>147 sur les pièces mécaniques d</w:t>
      </w:r>
      <w:r>
        <w:rPr>
          <w:lang w:val="fr-FR"/>
        </w:rPr>
        <w:t>’</w:t>
      </w:r>
      <w:r w:rsidRPr="00F5511F">
        <w:rPr>
          <w:lang w:val="fr-FR"/>
        </w:rPr>
        <w:t xml:space="preserve">attelage des ensembles de véhicules agricoles a été adopté à la session de juin 2018 du </w:t>
      </w:r>
      <w:r>
        <w:rPr>
          <w:lang w:val="fr-FR"/>
        </w:rPr>
        <w:t>Forum mondial</w:t>
      </w:r>
      <w:r w:rsidRPr="00F5511F">
        <w:rPr>
          <w:lang w:val="fr-FR"/>
        </w:rPr>
        <w:t xml:space="preserve"> pour traiter spécifiquement de l</w:t>
      </w:r>
      <w:r>
        <w:rPr>
          <w:lang w:val="fr-FR"/>
        </w:rPr>
        <w:t>’</w:t>
      </w:r>
      <w:r w:rsidRPr="00F5511F">
        <w:rPr>
          <w:lang w:val="fr-FR"/>
        </w:rPr>
        <w:t>attelage mécanique des ensembles de véhicules agricoles.</w:t>
      </w:r>
    </w:p>
    <w:p w:rsidR="002B08D8" w:rsidRPr="00F5511F" w:rsidRDefault="002B08D8" w:rsidP="002B08D8">
      <w:pPr>
        <w:pStyle w:val="SingleTxtG"/>
        <w:rPr>
          <w:lang w:val="fr-FR"/>
        </w:rPr>
      </w:pPr>
      <w:r>
        <w:rPr>
          <w:lang w:val="fr-FR"/>
        </w:rPr>
        <w:t>6.</w:t>
      </w:r>
      <w:r w:rsidRPr="00F5511F">
        <w:rPr>
          <w:lang w:val="fr-FR"/>
        </w:rPr>
        <w:tab/>
        <w:t>Étant donné qu</w:t>
      </w:r>
      <w:r>
        <w:rPr>
          <w:lang w:val="fr-FR"/>
        </w:rPr>
        <w:t>’</w:t>
      </w:r>
      <w:r w:rsidRPr="00F5511F">
        <w:rPr>
          <w:lang w:val="fr-FR"/>
        </w:rPr>
        <w:t>il n</w:t>
      </w:r>
      <w:r>
        <w:rPr>
          <w:lang w:val="fr-FR"/>
        </w:rPr>
        <w:t>’</w:t>
      </w:r>
      <w:r w:rsidRPr="00F5511F">
        <w:rPr>
          <w:lang w:val="fr-FR"/>
        </w:rPr>
        <w:t>a pas été possible d</w:t>
      </w:r>
      <w:r>
        <w:rPr>
          <w:lang w:val="fr-FR"/>
        </w:rPr>
        <w:t>’</w:t>
      </w:r>
      <w:r w:rsidRPr="00F5511F">
        <w:rPr>
          <w:lang w:val="fr-FR"/>
        </w:rPr>
        <w:t xml:space="preserve">obtenir un financement extrabudgétaire pour </w:t>
      </w:r>
      <w:r>
        <w:rPr>
          <w:lang w:val="fr-FR"/>
        </w:rPr>
        <w:t>héberger</w:t>
      </w:r>
      <w:r w:rsidRPr="00F5511F">
        <w:rPr>
          <w:lang w:val="fr-FR"/>
        </w:rPr>
        <w:t xml:space="preserve"> la DETA à la CEE (document informel</w:t>
      </w:r>
      <w:r>
        <w:rPr>
          <w:lang w:val="fr-FR"/>
        </w:rPr>
        <w:t xml:space="preserve"> </w:t>
      </w:r>
      <w:r w:rsidRPr="003471CE">
        <w:rPr>
          <w:lang w:val="fr-FR"/>
        </w:rPr>
        <w:t xml:space="preserve">ITC (2018) </w:t>
      </w:r>
      <w:r>
        <w:rPr>
          <w:lang w:val="fr-FR"/>
        </w:rPr>
        <w:t>n</w:t>
      </w:r>
      <w:r w:rsidRPr="002B08D8">
        <w:rPr>
          <w:vertAlign w:val="superscript"/>
          <w:lang w:val="fr-FR"/>
        </w:rPr>
        <w:t>o</w:t>
      </w:r>
      <w:r>
        <w:rPr>
          <w:lang w:val="fr-FR"/>
        </w:rPr>
        <w:t> </w:t>
      </w:r>
      <w:r w:rsidRPr="00F5511F">
        <w:rPr>
          <w:lang w:val="fr-FR"/>
        </w:rPr>
        <w:t>9</w:t>
      </w:r>
      <w:r>
        <w:rPr>
          <w:lang w:val="fr-FR"/>
        </w:rPr>
        <w:t>,</w:t>
      </w:r>
      <w:r w:rsidRPr="00DF7A3E">
        <w:rPr>
          <w:lang w:val="fr-FR"/>
        </w:rPr>
        <w:t xml:space="preserve"> </w:t>
      </w:r>
      <w:r>
        <w:rPr>
          <w:lang w:val="fr-FR"/>
        </w:rPr>
        <w:t>par. </w:t>
      </w:r>
      <w:r w:rsidRPr="00F5511F">
        <w:rPr>
          <w:lang w:val="fr-FR"/>
        </w:rPr>
        <w:t xml:space="preserve">5), le </w:t>
      </w:r>
      <w:r>
        <w:rPr>
          <w:lang w:val="fr-FR"/>
        </w:rPr>
        <w:t>Forum mondial</w:t>
      </w:r>
      <w:r w:rsidRPr="00F5511F">
        <w:rPr>
          <w:lang w:val="fr-FR"/>
        </w:rPr>
        <w:t xml:space="preserve"> a réitéré à sa 176</w:t>
      </w:r>
      <w:r w:rsidRPr="003471CE">
        <w:rPr>
          <w:vertAlign w:val="superscript"/>
          <w:lang w:val="fr-FR"/>
        </w:rPr>
        <w:t>e</w:t>
      </w:r>
      <w:r>
        <w:rPr>
          <w:lang w:val="fr-FR"/>
        </w:rPr>
        <w:t> </w:t>
      </w:r>
      <w:r w:rsidRPr="00F5511F">
        <w:rPr>
          <w:lang w:val="fr-FR"/>
        </w:rPr>
        <w:t xml:space="preserve">session </w:t>
      </w:r>
      <w:r>
        <w:rPr>
          <w:lang w:val="fr-FR"/>
        </w:rPr>
        <w:t>s</w:t>
      </w:r>
      <w:r w:rsidRPr="00F5511F">
        <w:rPr>
          <w:lang w:val="fr-FR"/>
        </w:rPr>
        <w:t>a demande d</w:t>
      </w:r>
      <w:r>
        <w:rPr>
          <w:lang w:val="fr-FR"/>
        </w:rPr>
        <w:t>’héberge</w:t>
      </w:r>
      <w:r w:rsidRPr="00F5511F">
        <w:rPr>
          <w:lang w:val="fr-FR"/>
        </w:rPr>
        <w:t>r la DETA au titre du budget ordinaire et a remercié l</w:t>
      </w:r>
      <w:r>
        <w:rPr>
          <w:lang w:val="fr-FR"/>
        </w:rPr>
        <w:t>’</w:t>
      </w:r>
      <w:r w:rsidRPr="00F5511F">
        <w:rPr>
          <w:lang w:val="fr-FR"/>
        </w:rPr>
        <w:t xml:space="preserve">Allemagne </w:t>
      </w:r>
      <w:r w:rsidRPr="003471CE">
        <w:rPr>
          <w:lang w:val="fr-FR"/>
        </w:rPr>
        <w:t>d</w:t>
      </w:r>
      <w:r>
        <w:rPr>
          <w:lang w:val="fr-FR"/>
        </w:rPr>
        <w:t>’</w:t>
      </w:r>
      <w:r w:rsidRPr="003471CE">
        <w:rPr>
          <w:lang w:val="fr-FR"/>
        </w:rPr>
        <w:t xml:space="preserve">héberger </w:t>
      </w:r>
      <w:r w:rsidRPr="00F5511F">
        <w:rPr>
          <w:lang w:val="fr-FR"/>
        </w:rPr>
        <w:t>la DETA jusqu</w:t>
      </w:r>
      <w:r>
        <w:rPr>
          <w:lang w:val="fr-FR"/>
        </w:rPr>
        <w:t>’</w:t>
      </w:r>
      <w:r w:rsidRPr="00F5511F">
        <w:rPr>
          <w:lang w:val="fr-FR"/>
        </w:rPr>
        <w:t xml:space="preserve">en 2020 </w:t>
      </w:r>
      <w:r>
        <w:rPr>
          <w:lang w:val="fr-FR"/>
        </w:rPr>
        <w:t xml:space="preserve">à titre de </w:t>
      </w:r>
      <w:r w:rsidRPr="00F5511F">
        <w:rPr>
          <w:lang w:val="fr-FR"/>
        </w:rPr>
        <w:t xml:space="preserve">contribution en nature (document informel ITC (2018) </w:t>
      </w:r>
      <w:r>
        <w:rPr>
          <w:lang w:val="fr-FR"/>
        </w:rPr>
        <w:t>n</w:t>
      </w:r>
      <w:r w:rsidRPr="002B08D8">
        <w:rPr>
          <w:vertAlign w:val="superscript"/>
          <w:lang w:val="fr-FR"/>
        </w:rPr>
        <w:t>o</w:t>
      </w:r>
      <w:r>
        <w:rPr>
          <w:lang w:val="fr-FR"/>
        </w:rPr>
        <w:t> </w:t>
      </w:r>
      <w:r w:rsidRPr="00F5511F">
        <w:rPr>
          <w:lang w:val="fr-FR"/>
        </w:rPr>
        <w:t>9</w:t>
      </w:r>
      <w:r>
        <w:rPr>
          <w:lang w:val="fr-FR"/>
        </w:rPr>
        <w:t xml:space="preserve">, </w:t>
      </w:r>
      <w:r w:rsidRPr="00DF7A3E">
        <w:rPr>
          <w:lang w:val="fr-FR"/>
        </w:rPr>
        <w:t>par.</w:t>
      </w:r>
      <w:r>
        <w:rPr>
          <w:lang w:val="fr-FR"/>
        </w:rPr>
        <w:t> </w:t>
      </w:r>
      <w:r w:rsidRPr="00DF7A3E">
        <w:rPr>
          <w:lang w:val="fr-FR"/>
        </w:rPr>
        <w:t>6</w:t>
      </w:r>
      <w:r w:rsidRPr="00F5511F">
        <w:rPr>
          <w:lang w:val="fr-FR"/>
        </w:rPr>
        <w:t>).</w:t>
      </w:r>
    </w:p>
    <w:p w:rsidR="002B08D8" w:rsidRPr="00F5511F" w:rsidRDefault="002B08D8" w:rsidP="002B08D8">
      <w:pPr>
        <w:pStyle w:val="SingleTxtG"/>
        <w:rPr>
          <w:lang w:val="fr-FR"/>
        </w:rPr>
      </w:pPr>
      <w:r>
        <w:rPr>
          <w:lang w:val="fr-FR"/>
        </w:rPr>
        <w:t>7.</w:t>
      </w:r>
      <w:r w:rsidRPr="00F5511F">
        <w:rPr>
          <w:lang w:val="fr-FR"/>
        </w:rPr>
        <w:tab/>
      </w:r>
      <w:r>
        <w:rPr>
          <w:lang w:val="fr-FR"/>
        </w:rPr>
        <w:t xml:space="preserve">À </w:t>
      </w:r>
      <w:r w:rsidRPr="00F5511F">
        <w:rPr>
          <w:lang w:val="fr-FR"/>
        </w:rPr>
        <w:t>la 176</w:t>
      </w:r>
      <w:r w:rsidRPr="003471CE">
        <w:rPr>
          <w:vertAlign w:val="superscript"/>
          <w:lang w:val="fr-FR"/>
        </w:rPr>
        <w:t>e</w:t>
      </w:r>
      <w:r w:rsidRPr="00F5511F">
        <w:rPr>
          <w:lang w:val="fr-FR"/>
        </w:rPr>
        <w:t xml:space="preserve"> session du </w:t>
      </w:r>
      <w:r>
        <w:rPr>
          <w:lang w:val="fr-FR"/>
        </w:rPr>
        <w:t>Forum mondial,</w:t>
      </w:r>
      <w:r w:rsidRPr="00F5511F">
        <w:rPr>
          <w:lang w:val="fr-FR"/>
        </w:rPr>
        <w:t xml:space="preserve"> en novembre 2018, le </w:t>
      </w:r>
      <w:r w:rsidRPr="00DF7A3E">
        <w:rPr>
          <w:lang w:val="fr-FR"/>
        </w:rPr>
        <w:t>Comité international de l</w:t>
      </w:r>
      <w:r>
        <w:rPr>
          <w:lang w:val="fr-FR"/>
        </w:rPr>
        <w:t>’</w:t>
      </w:r>
      <w:r w:rsidRPr="00DF7A3E">
        <w:rPr>
          <w:lang w:val="fr-FR"/>
        </w:rPr>
        <w:t xml:space="preserve">inspection technique automobile </w:t>
      </w:r>
      <w:r w:rsidRPr="00F5511F">
        <w:rPr>
          <w:lang w:val="fr-FR"/>
        </w:rPr>
        <w:t>s</w:t>
      </w:r>
      <w:r>
        <w:rPr>
          <w:lang w:val="fr-FR"/>
        </w:rPr>
        <w:t>’</w:t>
      </w:r>
      <w:r w:rsidRPr="00F5511F">
        <w:rPr>
          <w:lang w:val="fr-FR"/>
        </w:rPr>
        <w:t>est déclaré prêt à financer l</w:t>
      </w:r>
      <w:r>
        <w:rPr>
          <w:lang w:val="fr-FR"/>
        </w:rPr>
        <w:t>’</w:t>
      </w:r>
      <w:r w:rsidRPr="00F5511F">
        <w:rPr>
          <w:lang w:val="fr-FR"/>
        </w:rPr>
        <w:t>élaboration du module de déclaration de conformité sans aucune condition préalable. L</w:t>
      </w:r>
      <w:r>
        <w:rPr>
          <w:lang w:val="fr-FR"/>
        </w:rPr>
        <w:t>’</w:t>
      </w:r>
      <w:r w:rsidRPr="00F5511F">
        <w:rPr>
          <w:lang w:val="fr-FR"/>
        </w:rPr>
        <w:t>Organisation internationale des constructeurs d</w:t>
      </w:r>
      <w:r>
        <w:rPr>
          <w:lang w:val="fr-FR"/>
        </w:rPr>
        <w:t>’</w:t>
      </w:r>
      <w:r w:rsidRPr="00F5511F">
        <w:rPr>
          <w:lang w:val="fr-FR"/>
        </w:rPr>
        <w:t xml:space="preserve">automobiles, </w:t>
      </w:r>
      <w:r>
        <w:rPr>
          <w:lang w:val="fr-FR"/>
        </w:rPr>
        <w:t>l’</w:t>
      </w:r>
      <w:r w:rsidRPr="00F5511F">
        <w:rPr>
          <w:lang w:val="fr-FR"/>
        </w:rPr>
        <w:t>Association européenne des fournisseurs de l</w:t>
      </w:r>
      <w:r>
        <w:rPr>
          <w:lang w:val="fr-FR"/>
        </w:rPr>
        <w:t>’</w:t>
      </w:r>
      <w:r w:rsidRPr="00F5511F">
        <w:rPr>
          <w:lang w:val="fr-FR"/>
        </w:rPr>
        <w:t>automobile et l</w:t>
      </w:r>
      <w:r>
        <w:rPr>
          <w:lang w:val="fr-FR"/>
        </w:rPr>
        <w:t>’</w:t>
      </w:r>
      <w:r w:rsidRPr="00F5511F">
        <w:rPr>
          <w:lang w:val="fr-FR"/>
        </w:rPr>
        <w:t>Organisation technique européenne du pneumatique et de la jante ont confirmé leur intention de financer le module de l</w:t>
      </w:r>
      <w:r>
        <w:rPr>
          <w:lang w:val="fr-FR"/>
        </w:rPr>
        <w:t>’</w:t>
      </w:r>
      <w:r w:rsidRPr="00F5511F">
        <w:rPr>
          <w:lang w:val="fr-FR"/>
        </w:rPr>
        <w:t>identifi</w:t>
      </w:r>
      <w:r>
        <w:rPr>
          <w:lang w:val="fr-FR"/>
        </w:rPr>
        <w:t>ant</w:t>
      </w:r>
      <w:r w:rsidRPr="00F5511F">
        <w:rPr>
          <w:lang w:val="fr-FR"/>
        </w:rPr>
        <w:t xml:space="preserve"> unique une fois que le Comité exécutif (EXCOM) aura</w:t>
      </w:r>
      <w:r>
        <w:rPr>
          <w:lang w:val="fr-FR"/>
        </w:rPr>
        <w:t>it</w:t>
      </w:r>
      <w:r w:rsidRPr="00F5511F">
        <w:rPr>
          <w:lang w:val="fr-FR"/>
        </w:rPr>
        <w:t xml:space="preserve"> donné son appui </w:t>
      </w:r>
      <w:r>
        <w:rPr>
          <w:lang w:val="fr-FR"/>
        </w:rPr>
        <w:t>au</w:t>
      </w:r>
      <w:r w:rsidRPr="00F5511F">
        <w:rPr>
          <w:lang w:val="fr-FR"/>
        </w:rPr>
        <w:t xml:space="preserve"> finance</w:t>
      </w:r>
      <w:r>
        <w:rPr>
          <w:lang w:val="fr-FR"/>
        </w:rPr>
        <w:t>ment de</w:t>
      </w:r>
      <w:r w:rsidRPr="00F5511F">
        <w:rPr>
          <w:lang w:val="fr-FR"/>
        </w:rPr>
        <w:t xml:space="preserve"> l</w:t>
      </w:r>
      <w:r>
        <w:rPr>
          <w:lang w:val="fr-FR"/>
        </w:rPr>
        <w:t>’hébergement</w:t>
      </w:r>
      <w:r w:rsidRPr="00F5511F">
        <w:rPr>
          <w:lang w:val="fr-FR"/>
        </w:rPr>
        <w:t xml:space="preserve"> d</w:t>
      </w:r>
      <w:r>
        <w:rPr>
          <w:lang w:val="fr-FR"/>
        </w:rPr>
        <w:t>e la</w:t>
      </w:r>
      <w:r w:rsidRPr="00F5511F">
        <w:rPr>
          <w:lang w:val="fr-FR"/>
        </w:rPr>
        <w:t xml:space="preserve"> DETA à la CEE.</w:t>
      </w:r>
    </w:p>
    <w:p w:rsidR="002B08D8" w:rsidRPr="00F5511F" w:rsidRDefault="002B08D8" w:rsidP="003031FB">
      <w:pPr>
        <w:pStyle w:val="HChG"/>
        <w:rPr>
          <w:szCs w:val="24"/>
          <w:lang w:val="fr-FR"/>
        </w:rPr>
      </w:pPr>
      <w:r>
        <w:rPr>
          <w:lang w:val="fr-FR"/>
        </w:rPr>
        <w:tab/>
      </w:r>
      <w:r w:rsidRPr="00F5511F">
        <w:rPr>
          <w:lang w:val="fr-FR"/>
        </w:rPr>
        <w:t>III.</w:t>
      </w:r>
      <w:r w:rsidRPr="00F5511F">
        <w:rPr>
          <w:lang w:val="fr-FR"/>
        </w:rPr>
        <w:tab/>
        <w:t>Accord de 1997</w:t>
      </w:r>
    </w:p>
    <w:p w:rsidR="002B08D8" w:rsidRPr="00F5511F" w:rsidRDefault="002B08D8" w:rsidP="002B08D8">
      <w:pPr>
        <w:pStyle w:val="SingleTxtG"/>
        <w:rPr>
          <w:lang w:val="fr-FR"/>
        </w:rPr>
      </w:pPr>
      <w:r>
        <w:rPr>
          <w:lang w:val="fr-FR"/>
        </w:rPr>
        <w:t>8.</w:t>
      </w:r>
      <w:r>
        <w:rPr>
          <w:lang w:val="fr-FR"/>
        </w:rPr>
        <w:tab/>
      </w:r>
      <w:r w:rsidRPr="00F5511F">
        <w:rPr>
          <w:lang w:val="fr-FR"/>
        </w:rPr>
        <w:t>Le Bureau des affaires juridiques a notifié des</w:t>
      </w:r>
      <w:r>
        <w:rPr>
          <w:lang w:val="fr-FR"/>
        </w:rPr>
        <w:t xml:space="preserve"> </w:t>
      </w:r>
      <w:r w:rsidRPr="00F5511F">
        <w:rPr>
          <w:lang w:val="fr-FR"/>
        </w:rPr>
        <w:t>propositions d</w:t>
      </w:r>
      <w:r>
        <w:rPr>
          <w:lang w:val="fr-FR"/>
        </w:rPr>
        <w:t>’</w:t>
      </w:r>
      <w:r w:rsidRPr="00F5511F">
        <w:rPr>
          <w:lang w:val="fr-FR"/>
        </w:rPr>
        <w:t>amendements à l</w:t>
      </w:r>
      <w:r>
        <w:rPr>
          <w:lang w:val="fr-FR"/>
        </w:rPr>
        <w:t>’</w:t>
      </w:r>
      <w:r w:rsidRPr="00F5511F">
        <w:rPr>
          <w:lang w:val="fr-FR"/>
        </w:rPr>
        <w:t xml:space="preserve">Accord de 1997 </w:t>
      </w:r>
      <w:r>
        <w:rPr>
          <w:lang w:val="fr-FR"/>
        </w:rPr>
        <w:t xml:space="preserve">tendant à </w:t>
      </w:r>
      <w:r w:rsidRPr="00F5511F">
        <w:rPr>
          <w:lang w:val="fr-FR"/>
        </w:rPr>
        <w:t>introdui</w:t>
      </w:r>
      <w:r>
        <w:rPr>
          <w:lang w:val="fr-FR"/>
        </w:rPr>
        <w:t>re</w:t>
      </w:r>
      <w:r w:rsidRPr="00F5511F">
        <w:rPr>
          <w:lang w:val="fr-FR"/>
        </w:rPr>
        <w:t xml:space="preserve"> certaines définitions, la possibilité de certificats </w:t>
      </w:r>
      <w:r>
        <w:rPr>
          <w:lang w:val="fr-FR"/>
        </w:rPr>
        <w:t xml:space="preserve">d’inspection </w:t>
      </w:r>
      <w:r w:rsidRPr="00F5511F">
        <w:rPr>
          <w:lang w:val="fr-FR"/>
        </w:rPr>
        <w:t>internationaux électroniques et des dispositions sur la conformité des contrôles techniques périodiques.</w:t>
      </w:r>
    </w:p>
    <w:p w:rsidR="002B08D8" w:rsidRPr="00F5511F" w:rsidRDefault="002B08D8" w:rsidP="002B08D8">
      <w:pPr>
        <w:pStyle w:val="SingleTxtG"/>
        <w:rPr>
          <w:lang w:val="fr-FR"/>
        </w:rPr>
      </w:pPr>
      <w:r>
        <w:rPr>
          <w:lang w:val="fr-FR"/>
        </w:rPr>
        <w:t>9.</w:t>
      </w:r>
      <w:r w:rsidRPr="00F5511F">
        <w:rPr>
          <w:lang w:val="fr-FR"/>
        </w:rPr>
        <w:tab/>
        <w:t xml:space="preserve">En 2018, des amendements aux dispositions relatives aux contrôles techniques périodiques </w:t>
      </w:r>
      <w:r>
        <w:rPr>
          <w:lang w:val="fr-FR"/>
        </w:rPr>
        <w:t>d</w:t>
      </w:r>
      <w:r w:rsidRPr="00F5511F">
        <w:rPr>
          <w:lang w:val="fr-FR"/>
        </w:rPr>
        <w:t>es éléments liés à l</w:t>
      </w:r>
      <w:r>
        <w:rPr>
          <w:lang w:val="fr-FR"/>
        </w:rPr>
        <w:t>’</w:t>
      </w:r>
      <w:r w:rsidRPr="00F5511F">
        <w:rPr>
          <w:lang w:val="fr-FR"/>
        </w:rPr>
        <w:t>environnement (</w:t>
      </w:r>
      <w:bookmarkStart w:id="1" w:name="_Hlk532760548"/>
      <w:r w:rsidRPr="00F5511F">
        <w:rPr>
          <w:lang w:val="fr-FR"/>
        </w:rPr>
        <w:t xml:space="preserve">Règle </w:t>
      </w:r>
      <w:r>
        <w:rPr>
          <w:lang w:val="fr-FR"/>
        </w:rPr>
        <w:t xml:space="preserve">ONU </w:t>
      </w:r>
      <w:r w:rsidRPr="00F5511F">
        <w:rPr>
          <w:lang w:val="fr-FR"/>
        </w:rPr>
        <w:t>n</w:t>
      </w:r>
      <w:r w:rsidRPr="00DF7A3E">
        <w:rPr>
          <w:vertAlign w:val="superscript"/>
          <w:lang w:val="fr-FR"/>
        </w:rPr>
        <w:t>o</w:t>
      </w:r>
      <w:bookmarkEnd w:id="1"/>
      <w:r>
        <w:rPr>
          <w:lang w:val="fr-FR"/>
        </w:rPr>
        <w:t> </w:t>
      </w:r>
      <w:r w:rsidRPr="00F5511F">
        <w:rPr>
          <w:lang w:val="fr-FR"/>
        </w:rPr>
        <w:t xml:space="preserve">1) et </w:t>
      </w:r>
      <w:r>
        <w:rPr>
          <w:lang w:val="fr-FR"/>
        </w:rPr>
        <w:t>de</w:t>
      </w:r>
      <w:r w:rsidRPr="00F5511F">
        <w:rPr>
          <w:lang w:val="fr-FR"/>
        </w:rPr>
        <w:t xml:space="preserve"> </w:t>
      </w:r>
      <w:r>
        <w:rPr>
          <w:lang w:val="fr-FR"/>
        </w:rPr>
        <w:t>l’</w:t>
      </w:r>
      <w:r w:rsidRPr="00DF7A3E">
        <w:rPr>
          <w:lang w:val="fr-FR"/>
        </w:rPr>
        <w:t xml:space="preserve">aptitude à la circulation </w:t>
      </w:r>
      <w:r w:rsidRPr="00F5511F">
        <w:rPr>
          <w:lang w:val="fr-FR"/>
        </w:rPr>
        <w:t xml:space="preserve">(Règle </w:t>
      </w:r>
      <w:r w:rsidRPr="009D4DAD">
        <w:rPr>
          <w:lang w:val="fr-FR"/>
        </w:rPr>
        <w:t xml:space="preserve">ONU </w:t>
      </w:r>
      <w:r w:rsidRPr="00F5511F">
        <w:rPr>
          <w:lang w:val="fr-FR"/>
        </w:rPr>
        <w:t>n</w:t>
      </w:r>
      <w:r w:rsidRPr="00DF7A3E">
        <w:rPr>
          <w:vertAlign w:val="superscript"/>
          <w:lang w:val="fr-FR"/>
        </w:rPr>
        <w:t>o</w:t>
      </w:r>
      <w:r>
        <w:rPr>
          <w:lang w:val="fr-FR"/>
        </w:rPr>
        <w:t> </w:t>
      </w:r>
      <w:r w:rsidRPr="00F5511F">
        <w:rPr>
          <w:lang w:val="fr-FR"/>
        </w:rPr>
        <w:t>2) sont entrés en vigueur, étendant le champ d</w:t>
      </w:r>
      <w:r>
        <w:rPr>
          <w:lang w:val="fr-FR"/>
        </w:rPr>
        <w:t>’</w:t>
      </w:r>
      <w:r w:rsidRPr="00F5511F">
        <w:rPr>
          <w:lang w:val="fr-FR"/>
        </w:rPr>
        <w:t xml:space="preserve">application aux voitures particulières et aux </w:t>
      </w:r>
      <w:r w:rsidRPr="00DF7A3E">
        <w:rPr>
          <w:lang w:val="fr-FR"/>
        </w:rPr>
        <w:t>fourgonnettes</w:t>
      </w:r>
      <w:r w:rsidRPr="00F5511F">
        <w:rPr>
          <w:lang w:val="fr-FR"/>
        </w:rPr>
        <w:t xml:space="preserve">, </w:t>
      </w:r>
      <w:r>
        <w:rPr>
          <w:lang w:val="fr-FR"/>
        </w:rPr>
        <w:t>cré</w:t>
      </w:r>
      <w:r w:rsidRPr="00F5511F">
        <w:rPr>
          <w:lang w:val="fr-FR"/>
        </w:rPr>
        <w:t>ant trois catégories de risque de défauts et des critères d</w:t>
      </w:r>
      <w:r>
        <w:rPr>
          <w:lang w:val="fr-FR"/>
        </w:rPr>
        <w:t>’</w:t>
      </w:r>
      <w:r w:rsidRPr="00F5511F">
        <w:rPr>
          <w:lang w:val="fr-FR"/>
        </w:rPr>
        <w:t xml:space="preserve">évaluation pour chacun des éléments </w:t>
      </w:r>
      <w:r>
        <w:rPr>
          <w:lang w:val="fr-FR"/>
        </w:rPr>
        <w:t>soumis à l’</w:t>
      </w:r>
      <w:r w:rsidRPr="00F5511F">
        <w:rPr>
          <w:lang w:val="fr-FR"/>
        </w:rPr>
        <w:t xml:space="preserve">essai, </w:t>
      </w:r>
      <w:r>
        <w:rPr>
          <w:lang w:val="fr-FR"/>
        </w:rPr>
        <w:t xml:space="preserve">et définissant </w:t>
      </w:r>
      <w:r w:rsidRPr="00F5511F">
        <w:rPr>
          <w:lang w:val="fr-FR"/>
        </w:rPr>
        <w:t xml:space="preserve">des éléments supplémentaires </w:t>
      </w:r>
      <w:r>
        <w:rPr>
          <w:lang w:val="fr-FR"/>
        </w:rPr>
        <w:t xml:space="preserve">à éprouver </w:t>
      </w:r>
      <w:r w:rsidRPr="00F5511F">
        <w:rPr>
          <w:lang w:val="fr-FR"/>
        </w:rPr>
        <w:t xml:space="preserve">pour les systèmes de sécurité </w:t>
      </w:r>
      <w:r>
        <w:rPr>
          <w:lang w:val="fr-FR"/>
        </w:rPr>
        <w:t>commandés</w:t>
      </w:r>
      <w:r w:rsidRPr="00222BF1">
        <w:rPr>
          <w:lang w:val="fr-FR"/>
        </w:rPr>
        <w:t xml:space="preserve"> </w:t>
      </w:r>
      <w:r w:rsidRPr="00F5511F">
        <w:rPr>
          <w:lang w:val="fr-FR"/>
        </w:rPr>
        <w:t>électronique</w:t>
      </w:r>
      <w:r>
        <w:rPr>
          <w:lang w:val="fr-FR"/>
        </w:rPr>
        <w:t>ment</w:t>
      </w:r>
      <w:r w:rsidR="003031FB">
        <w:rPr>
          <w:lang w:val="fr-FR"/>
        </w:rPr>
        <w:t>.</w:t>
      </w:r>
    </w:p>
    <w:p w:rsidR="002B08D8" w:rsidRPr="00F5511F" w:rsidRDefault="002B08D8" w:rsidP="002B08D8">
      <w:pPr>
        <w:pStyle w:val="SingleTxtG"/>
        <w:rPr>
          <w:lang w:val="fr-FR"/>
        </w:rPr>
      </w:pPr>
      <w:r>
        <w:rPr>
          <w:lang w:val="fr-FR"/>
        </w:rPr>
        <w:t>10.</w:t>
      </w:r>
      <w:r w:rsidRPr="00F5511F">
        <w:rPr>
          <w:lang w:val="fr-FR"/>
        </w:rPr>
        <w:tab/>
        <w:t xml:space="preserve">Deux nouvelles </w:t>
      </w:r>
      <w:r>
        <w:rPr>
          <w:lang w:val="fr-FR"/>
        </w:rPr>
        <w:t>R</w:t>
      </w:r>
      <w:r w:rsidRPr="00F5511F">
        <w:rPr>
          <w:lang w:val="fr-FR"/>
        </w:rPr>
        <w:t>ègles ONU ont été adoptées par le Comité d</w:t>
      </w:r>
      <w:r>
        <w:rPr>
          <w:lang w:val="fr-FR"/>
        </w:rPr>
        <w:t>’</w:t>
      </w:r>
      <w:r w:rsidRPr="00F5511F">
        <w:rPr>
          <w:lang w:val="fr-FR"/>
        </w:rPr>
        <w:t>administration de l</w:t>
      </w:r>
      <w:r>
        <w:rPr>
          <w:lang w:val="fr-FR"/>
        </w:rPr>
        <w:t>’</w:t>
      </w:r>
      <w:r w:rsidRPr="00F5511F">
        <w:rPr>
          <w:lang w:val="fr-FR"/>
        </w:rPr>
        <w:t>Accord de 1997 (AC.4) et annex</w:t>
      </w:r>
      <w:r>
        <w:rPr>
          <w:lang w:val="fr-FR"/>
        </w:rPr>
        <w:t>ées</w:t>
      </w:r>
      <w:r w:rsidRPr="00F5511F">
        <w:rPr>
          <w:lang w:val="fr-FR"/>
        </w:rPr>
        <w:t xml:space="preserve"> à l</w:t>
      </w:r>
      <w:r>
        <w:rPr>
          <w:lang w:val="fr-FR"/>
        </w:rPr>
        <w:t>’</w:t>
      </w:r>
      <w:r w:rsidRPr="00F5511F">
        <w:rPr>
          <w:lang w:val="fr-FR"/>
        </w:rPr>
        <w:t xml:space="preserve">Accord de 1997. La </w:t>
      </w:r>
      <w:bookmarkStart w:id="2" w:name="_Hlk532760954"/>
      <w:r>
        <w:rPr>
          <w:lang w:val="fr-FR"/>
        </w:rPr>
        <w:t>R</w:t>
      </w:r>
      <w:r w:rsidRPr="00F5511F">
        <w:rPr>
          <w:lang w:val="fr-FR"/>
        </w:rPr>
        <w:t xml:space="preserve">ègle </w:t>
      </w:r>
      <w:r w:rsidRPr="00222BF1">
        <w:rPr>
          <w:lang w:val="fr-FR"/>
        </w:rPr>
        <w:t xml:space="preserve">ONU </w:t>
      </w:r>
      <w:r w:rsidRPr="00F5511F">
        <w:rPr>
          <w:lang w:val="fr-FR"/>
        </w:rPr>
        <w:t>n</w:t>
      </w:r>
      <w:r w:rsidRPr="00222BF1">
        <w:rPr>
          <w:vertAlign w:val="superscript"/>
          <w:lang w:val="fr-FR"/>
        </w:rPr>
        <w:t>o</w:t>
      </w:r>
      <w:r>
        <w:rPr>
          <w:lang w:val="fr-FR"/>
        </w:rPr>
        <w:t> </w:t>
      </w:r>
      <w:r w:rsidRPr="00F5511F">
        <w:rPr>
          <w:lang w:val="fr-FR"/>
        </w:rPr>
        <w:t xml:space="preserve">3 </w:t>
      </w:r>
      <w:bookmarkEnd w:id="2"/>
      <w:r w:rsidRPr="00F5511F">
        <w:rPr>
          <w:lang w:val="fr-FR"/>
        </w:rPr>
        <w:t xml:space="preserve">énonce des dispositions uniformes pour le contrôle technique périodique des véhicules automobiles utilisant du gaz naturel comprimé (GNC), du gaz de pétrole liquéfié (GPL) et/ou du gaz naturel liquéfié (GNL) dans leur système de propulsion </w:t>
      </w:r>
      <w:r>
        <w:rPr>
          <w:lang w:val="fr-FR"/>
        </w:rPr>
        <w:t xml:space="preserve">eu égard à </w:t>
      </w:r>
      <w:r w:rsidRPr="00F5511F">
        <w:rPr>
          <w:lang w:val="fr-FR"/>
        </w:rPr>
        <w:t xml:space="preserve">leur aptitude </w:t>
      </w:r>
      <w:r>
        <w:rPr>
          <w:lang w:val="fr-FR"/>
        </w:rPr>
        <w:t>à la</w:t>
      </w:r>
      <w:r w:rsidRPr="00F5511F">
        <w:rPr>
          <w:lang w:val="fr-FR"/>
        </w:rPr>
        <w:t xml:space="preserve"> </w:t>
      </w:r>
      <w:r>
        <w:rPr>
          <w:lang w:val="fr-FR"/>
        </w:rPr>
        <w:t>circulation</w:t>
      </w:r>
      <w:r w:rsidRPr="00F5511F">
        <w:rPr>
          <w:lang w:val="fr-FR"/>
        </w:rPr>
        <w:t xml:space="preserve">. La </w:t>
      </w:r>
      <w:r>
        <w:rPr>
          <w:lang w:val="fr-FR"/>
        </w:rPr>
        <w:t>R</w:t>
      </w:r>
      <w:r w:rsidRPr="00F5511F">
        <w:rPr>
          <w:lang w:val="fr-FR"/>
        </w:rPr>
        <w:t xml:space="preserve">ègle </w:t>
      </w:r>
      <w:r w:rsidRPr="00222BF1">
        <w:rPr>
          <w:lang w:val="fr-FR"/>
        </w:rPr>
        <w:t xml:space="preserve">ONU </w:t>
      </w:r>
      <w:r w:rsidRPr="00F5511F">
        <w:rPr>
          <w:lang w:val="fr-FR"/>
        </w:rPr>
        <w:t>n</w:t>
      </w:r>
      <w:r w:rsidRPr="00222BF1">
        <w:rPr>
          <w:vertAlign w:val="superscript"/>
          <w:lang w:val="fr-FR"/>
        </w:rPr>
        <w:t>o</w:t>
      </w:r>
      <w:r>
        <w:rPr>
          <w:lang w:val="fr-FR"/>
        </w:rPr>
        <w:t> 4</w:t>
      </w:r>
      <w:r w:rsidRPr="00F5511F">
        <w:rPr>
          <w:lang w:val="fr-FR"/>
        </w:rPr>
        <w:t xml:space="preserve"> établit des dispositions uniformes pour le contrôle technique périodique des véhicules à moteur à propulsion électrique et hybride-électrique </w:t>
      </w:r>
      <w:r>
        <w:rPr>
          <w:lang w:val="fr-FR"/>
        </w:rPr>
        <w:t xml:space="preserve">eu égard à </w:t>
      </w:r>
      <w:r w:rsidRPr="00F5511F">
        <w:rPr>
          <w:lang w:val="fr-FR"/>
        </w:rPr>
        <w:t xml:space="preserve">leur aptitude à la circulation. </w:t>
      </w:r>
    </w:p>
    <w:p w:rsidR="002B08D8" w:rsidRPr="00F5511F" w:rsidRDefault="002B08D8" w:rsidP="003031FB">
      <w:pPr>
        <w:pStyle w:val="HChG"/>
        <w:rPr>
          <w:szCs w:val="24"/>
          <w:lang w:val="fr-FR"/>
        </w:rPr>
      </w:pPr>
      <w:r w:rsidRPr="00F5511F">
        <w:rPr>
          <w:lang w:val="fr-FR"/>
        </w:rPr>
        <w:tab/>
        <w:t>IV</w:t>
      </w:r>
      <w:r w:rsidR="003031FB">
        <w:rPr>
          <w:lang w:val="fr-FR"/>
        </w:rPr>
        <w:t>.</w:t>
      </w:r>
      <w:r w:rsidRPr="00F5511F">
        <w:rPr>
          <w:lang w:val="fr-FR"/>
        </w:rPr>
        <w:tab/>
        <w:t>Accord de 1998</w:t>
      </w:r>
    </w:p>
    <w:p w:rsidR="002B08D8" w:rsidRPr="00F5511F" w:rsidRDefault="002B08D8" w:rsidP="002B08D8">
      <w:pPr>
        <w:pStyle w:val="SingleTxtG"/>
        <w:rPr>
          <w:lang w:val="fr-FR"/>
        </w:rPr>
      </w:pPr>
      <w:r>
        <w:rPr>
          <w:lang w:val="fr-FR"/>
        </w:rPr>
        <w:t>11.</w:t>
      </w:r>
      <w:r w:rsidRPr="00F5511F">
        <w:rPr>
          <w:lang w:val="fr-FR"/>
        </w:rPr>
        <w:tab/>
        <w:t xml:space="preserve">En 2018, le </w:t>
      </w:r>
      <w:r>
        <w:rPr>
          <w:lang w:val="fr-FR"/>
        </w:rPr>
        <w:t>Forum mondial</w:t>
      </w:r>
      <w:r w:rsidRPr="00F5511F">
        <w:rPr>
          <w:lang w:val="fr-FR"/>
        </w:rPr>
        <w:t xml:space="preserve"> a </w:t>
      </w:r>
      <w:r>
        <w:rPr>
          <w:lang w:val="fr-FR"/>
        </w:rPr>
        <w:t>conclu</w:t>
      </w:r>
      <w:r w:rsidRPr="00F5511F">
        <w:rPr>
          <w:lang w:val="fr-FR"/>
        </w:rPr>
        <w:t xml:space="preserve"> plusieurs années de travail sur </w:t>
      </w:r>
      <w:r>
        <w:rPr>
          <w:lang w:val="fr-FR"/>
        </w:rPr>
        <w:t>de</w:t>
      </w:r>
      <w:r w:rsidRPr="00F5511F">
        <w:rPr>
          <w:lang w:val="fr-FR"/>
        </w:rPr>
        <w:t xml:space="preserve"> nouveaux Règlements techniques mondiaux </w:t>
      </w:r>
      <w:r>
        <w:rPr>
          <w:lang w:val="fr-FR"/>
        </w:rPr>
        <w:t>de l’ONU (RTM ONU) :</w:t>
      </w:r>
    </w:p>
    <w:p w:rsidR="002B08D8" w:rsidRPr="00F5511F" w:rsidRDefault="002B08D8" w:rsidP="002B08D8">
      <w:pPr>
        <w:pStyle w:val="SingleTxtG"/>
        <w:ind w:firstLine="567"/>
        <w:rPr>
          <w:lang w:val="fr-FR"/>
        </w:rPr>
      </w:pPr>
      <w:r w:rsidRPr="00F5511F">
        <w:rPr>
          <w:lang w:val="fr-FR"/>
        </w:rPr>
        <w:t>a)</w:t>
      </w:r>
      <w:r>
        <w:rPr>
          <w:lang w:val="fr-FR"/>
        </w:rPr>
        <w:tab/>
      </w:r>
      <w:r w:rsidRPr="00F5511F">
        <w:rPr>
          <w:lang w:val="fr-FR"/>
        </w:rPr>
        <w:t>Le</w:t>
      </w:r>
      <w:r>
        <w:rPr>
          <w:lang w:val="fr-FR"/>
        </w:rPr>
        <w:t xml:space="preserve"> </w:t>
      </w:r>
      <w:r w:rsidRPr="00F5511F">
        <w:rPr>
          <w:lang w:val="fr-FR"/>
        </w:rPr>
        <w:t>nouveau RTM</w:t>
      </w:r>
      <w:r w:rsidRPr="007C67DB">
        <w:t xml:space="preserve"> </w:t>
      </w:r>
      <w:r w:rsidRPr="007C67DB">
        <w:rPr>
          <w:lang w:val="fr-FR"/>
        </w:rPr>
        <w:t>ONU</w:t>
      </w:r>
      <w:r w:rsidRPr="00F5511F">
        <w:rPr>
          <w:lang w:val="fr-FR"/>
        </w:rPr>
        <w:t xml:space="preserve"> </w:t>
      </w:r>
      <w:r w:rsidR="00AB0521">
        <w:rPr>
          <w:lang w:val="fr-FR"/>
        </w:rPr>
        <w:t>n</w:t>
      </w:r>
      <w:r w:rsidR="00AB0521" w:rsidRPr="00AB0521">
        <w:rPr>
          <w:vertAlign w:val="superscript"/>
          <w:lang w:val="fr-FR"/>
        </w:rPr>
        <w:t>o</w:t>
      </w:r>
      <w:r w:rsidR="00AB0521">
        <w:rPr>
          <w:lang w:val="fr-FR"/>
        </w:rPr>
        <w:t> </w:t>
      </w:r>
      <w:r w:rsidRPr="00F5511F">
        <w:rPr>
          <w:lang w:val="fr-FR"/>
        </w:rPr>
        <w:t>20 sur la sécurité des véhicules électriques</w:t>
      </w:r>
      <w:r>
        <w:rPr>
          <w:lang w:val="fr-FR"/>
        </w:rPr>
        <w:t>, qui</w:t>
      </w:r>
      <w:r w:rsidRPr="00F5511F">
        <w:rPr>
          <w:lang w:val="fr-FR"/>
        </w:rPr>
        <w:t xml:space="preserve"> a été adopté à la session de mars 2018 du </w:t>
      </w:r>
      <w:r>
        <w:rPr>
          <w:lang w:val="fr-FR"/>
        </w:rPr>
        <w:t>Forum mondial,</w:t>
      </w:r>
      <w:r w:rsidRPr="00F5511F">
        <w:rPr>
          <w:lang w:val="fr-FR"/>
        </w:rPr>
        <w:t xml:space="preserve"> </w:t>
      </w:r>
      <w:r>
        <w:rPr>
          <w:lang w:val="fr-FR"/>
        </w:rPr>
        <w:t>énonce</w:t>
      </w:r>
      <w:r w:rsidRPr="00F5511F">
        <w:rPr>
          <w:lang w:val="fr-FR"/>
        </w:rPr>
        <w:t xml:space="preserve"> des prescriptions axées sur les </w:t>
      </w:r>
      <w:r w:rsidRPr="00A74973">
        <w:rPr>
          <w:lang w:val="fr-FR"/>
        </w:rPr>
        <w:t xml:space="preserve">caractéristiques fonctionnelles </w:t>
      </w:r>
      <w:r w:rsidRPr="00F5511F">
        <w:rPr>
          <w:lang w:val="fr-FR"/>
        </w:rPr>
        <w:t xml:space="preserve">qui traitent des risques pour la sécurité </w:t>
      </w:r>
      <w:r>
        <w:rPr>
          <w:lang w:val="fr-FR"/>
        </w:rPr>
        <w:t>que peuvent présenter l</w:t>
      </w:r>
      <w:r w:rsidRPr="00F5511F">
        <w:rPr>
          <w:lang w:val="fr-FR"/>
        </w:rPr>
        <w:t xml:space="preserve">es </w:t>
      </w:r>
      <w:r w:rsidRPr="00A74973">
        <w:rPr>
          <w:lang w:val="fr-FR"/>
        </w:rPr>
        <w:t xml:space="preserve">véhicules électriques </w:t>
      </w:r>
      <w:r w:rsidRPr="00F5511F">
        <w:rPr>
          <w:lang w:val="fr-FR"/>
        </w:rPr>
        <w:t xml:space="preserve">pendant leur utilisation et après un accident, notamment </w:t>
      </w:r>
      <w:r w:rsidRPr="00F5511F">
        <w:rPr>
          <w:lang w:val="fr-FR"/>
        </w:rPr>
        <w:lastRenderedPageBreak/>
        <w:t xml:space="preserve">les chocs électriques </w:t>
      </w:r>
      <w:r>
        <w:rPr>
          <w:lang w:val="fr-FR"/>
        </w:rPr>
        <w:t>l</w:t>
      </w:r>
      <w:r w:rsidRPr="00F5511F">
        <w:rPr>
          <w:lang w:val="fr-FR"/>
        </w:rPr>
        <w:t>iés aux circuits haute tension d</w:t>
      </w:r>
      <w:r>
        <w:rPr>
          <w:lang w:val="fr-FR"/>
        </w:rPr>
        <w:t>e c</w:t>
      </w:r>
      <w:r w:rsidRPr="00F5511F">
        <w:rPr>
          <w:lang w:val="fr-FR"/>
        </w:rPr>
        <w:t xml:space="preserve">es </w:t>
      </w:r>
      <w:r w:rsidRPr="00A74973">
        <w:rPr>
          <w:lang w:val="fr-FR"/>
        </w:rPr>
        <w:t xml:space="preserve">véhicules </w:t>
      </w:r>
      <w:r w:rsidRPr="00F5511F">
        <w:rPr>
          <w:lang w:val="fr-FR"/>
        </w:rPr>
        <w:t xml:space="preserve">et les risques potentiels </w:t>
      </w:r>
      <w:r>
        <w:rPr>
          <w:lang w:val="fr-FR"/>
        </w:rPr>
        <w:t>l</w:t>
      </w:r>
      <w:r w:rsidRPr="00F5511F">
        <w:rPr>
          <w:lang w:val="fr-FR"/>
        </w:rPr>
        <w:t xml:space="preserve">iés aux batteries </w:t>
      </w:r>
      <w:r>
        <w:rPr>
          <w:lang w:val="fr-FR"/>
        </w:rPr>
        <w:t xml:space="preserve">au </w:t>
      </w:r>
      <w:r w:rsidRPr="00F5511F">
        <w:rPr>
          <w:lang w:val="fr-FR"/>
        </w:rPr>
        <w:t>lithium</w:t>
      </w:r>
      <w:r>
        <w:rPr>
          <w:lang w:val="fr-FR"/>
        </w:rPr>
        <w:t xml:space="preserve"> </w:t>
      </w:r>
      <w:r w:rsidRPr="00F5511F">
        <w:rPr>
          <w:lang w:val="fr-FR"/>
        </w:rPr>
        <w:t>ion</w:t>
      </w:r>
      <w:r>
        <w:rPr>
          <w:lang w:val="fr-FR"/>
        </w:rPr>
        <w:t>ique</w:t>
      </w:r>
      <w:r w:rsidRPr="00F5511F">
        <w:rPr>
          <w:lang w:val="fr-FR"/>
        </w:rPr>
        <w:t xml:space="preserve"> et/ou </w:t>
      </w:r>
      <w:r>
        <w:rPr>
          <w:lang w:val="fr-FR"/>
        </w:rPr>
        <w:t xml:space="preserve">aux </w:t>
      </w:r>
      <w:r w:rsidRPr="00F5511F">
        <w:rPr>
          <w:lang w:val="fr-FR"/>
        </w:rPr>
        <w:t>autres systèmes rechargeables de stockage d</w:t>
      </w:r>
      <w:r>
        <w:rPr>
          <w:lang w:val="fr-FR"/>
        </w:rPr>
        <w:t>e l’</w:t>
      </w:r>
      <w:r w:rsidRPr="00F5511F">
        <w:rPr>
          <w:lang w:val="fr-FR"/>
        </w:rPr>
        <w:t>énergie électrique (en particulier</w:t>
      </w:r>
      <w:r>
        <w:rPr>
          <w:lang w:val="fr-FR"/>
        </w:rPr>
        <w:t xml:space="preserve"> ceux qui contiennent</w:t>
      </w:r>
      <w:r w:rsidRPr="00F5511F">
        <w:rPr>
          <w:lang w:val="fr-FR"/>
        </w:rPr>
        <w:t xml:space="preserve"> un électrolyte inflammable)</w:t>
      </w:r>
      <w:r>
        <w:rPr>
          <w:lang w:val="fr-FR"/>
        </w:rPr>
        <w:t> ;</w:t>
      </w:r>
    </w:p>
    <w:p w:rsidR="002B08D8" w:rsidRPr="00F5511F" w:rsidRDefault="002B08D8" w:rsidP="002B08D8">
      <w:pPr>
        <w:pStyle w:val="SingleTxtG"/>
        <w:ind w:firstLine="567"/>
        <w:rPr>
          <w:lang w:val="fr-FR"/>
        </w:rPr>
      </w:pPr>
      <w:r w:rsidRPr="00F5511F">
        <w:rPr>
          <w:lang w:val="fr-FR"/>
        </w:rPr>
        <w:t>b)</w:t>
      </w:r>
      <w:r>
        <w:rPr>
          <w:lang w:val="fr-FR"/>
        </w:rPr>
        <w:tab/>
      </w:r>
      <w:r w:rsidRPr="00F5511F">
        <w:rPr>
          <w:lang w:val="fr-FR"/>
        </w:rPr>
        <w:t>La modification et l</w:t>
      </w:r>
      <w:r>
        <w:rPr>
          <w:lang w:val="fr-FR"/>
        </w:rPr>
        <w:t>’</w:t>
      </w:r>
      <w:r w:rsidRPr="00F5511F">
        <w:rPr>
          <w:lang w:val="fr-FR"/>
        </w:rPr>
        <w:t xml:space="preserve">adoption des amendements aux RTM </w:t>
      </w:r>
      <w:r>
        <w:rPr>
          <w:lang w:val="fr-FR"/>
        </w:rPr>
        <w:t xml:space="preserve">ONU </w:t>
      </w:r>
      <w:r w:rsidRPr="00F5511F">
        <w:rPr>
          <w:lang w:val="fr-FR"/>
        </w:rPr>
        <w:t>n</w:t>
      </w:r>
      <w:r w:rsidRPr="00A74973">
        <w:rPr>
          <w:vertAlign w:val="superscript"/>
          <w:lang w:val="fr-FR"/>
        </w:rPr>
        <w:t>o</w:t>
      </w:r>
      <w:r>
        <w:rPr>
          <w:lang w:val="fr-FR"/>
        </w:rPr>
        <w:t> </w:t>
      </w:r>
      <w:r w:rsidRPr="00F5511F">
        <w:rPr>
          <w:lang w:val="fr-FR"/>
        </w:rPr>
        <w:t xml:space="preserve">9 (Sécurité des piétons), </w:t>
      </w:r>
      <w:r w:rsidR="00AB0521">
        <w:rPr>
          <w:lang w:val="fr-FR"/>
        </w:rPr>
        <w:t>n</w:t>
      </w:r>
      <w:r w:rsidR="00AB0521" w:rsidRPr="00AB0521">
        <w:rPr>
          <w:vertAlign w:val="superscript"/>
          <w:lang w:val="fr-FR"/>
        </w:rPr>
        <w:t>o</w:t>
      </w:r>
      <w:r w:rsidR="00AB0521">
        <w:rPr>
          <w:lang w:val="fr-FR"/>
        </w:rPr>
        <w:t> </w:t>
      </w:r>
      <w:r w:rsidRPr="00F5511F">
        <w:rPr>
          <w:lang w:val="fr-FR"/>
        </w:rPr>
        <w:t>15 (</w:t>
      </w:r>
      <w:r w:rsidRPr="00A74973">
        <w:rPr>
          <w:lang w:val="fr-FR"/>
        </w:rPr>
        <w:t>Procédure d</w:t>
      </w:r>
      <w:r>
        <w:rPr>
          <w:lang w:val="fr-FR"/>
        </w:rPr>
        <w:t>’</w:t>
      </w:r>
      <w:r w:rsidRPr="00A74973">
        <w:rPr>
          <w:lang w:val="fr-FR"/>
        </w:rPr>
        <w:t xml:space="preserve">essai mondiale harmonisée pour les voitures particulières et véhicules utilitaires légers </w:t>
      </w:r>
      <w:r w:rsidRPr="00F5511F">
        <w:rPr>
          <w:lang w:val="fr-FR"/>
        </w:rPr>
        <w:t>(WLTP)) et n</w:t>
      </w:r>
      <w:r w:rsidRPr="00A74973">
        <w:rPr>
          <w:vertAlign w:val="superscript"/>
          <w:lang w:val="fr-FR"/>
        </w:rPr>
        <w:t>o</w:t>
      </w:r>
      <w:r>
        <w:rPr>
          <w:lang w:val="fr-FR"/>
        </w:rPr>
        <w:t> </w:t>
      </w:r>
      <w:r w:rsidRPr="00F5511F">
        <w:rPr>
          <w:lang w:val="fr-FR"/>
        </w:rPr>
        <w:t>19 (</w:t>
      </w:r>
      <w:r>
        <w:rPr>
          <w:lang w:val="fr-FR"/>
        </w:rPr>
        <w:t>P</w:t>
      </w:r>
      <w:r w:rsidRPr="00A74973">
        <w:rPr>
          <w:lang w:val="fr-FR"/>
        </w:rPr>
        <w:t xml:space="preserve">rocédure de mesure des émissions par évaporation dans le cadre de la WLTP </w:t>
      </w:r>
      <w:r w:rsidRPr="00F5511F">
        <w:rPr>
          <w:lang w:val="fr-FR"/>
        </w:rPr>
        <w:t>(</w:t>
      </w:r>
      <w:r>
        <w:rPr>
          <w:lang w:val="fr-FR"/>
        </w:rPr>
        <w:t xml:space="preserve">WLTP </w:t>
      </w:r>
      <w:r w:rsidRPr="00F5511F">
        <w:rPr>
          <w:lang w:val="fr-FR"/>
        </w:rPr>
        <w:t>EVAP)).</w:t>
      </w:r>
    </w:p>
    <w:p w:rsidR="002B08D8" w:rsidRPr="00F5511F" w:rsidRDefault="002B08D8" w:rsidP="002B08D8">
      <w:pPr>
        <w:pStyle w:val="SingleTxtG"/>
        <w:rPr>
          <w:lang w:val="fr-FR"/>
        </w:rPr>
      </w:pPr>
      <w:r w:rsidRPr="00F5511F">
        <w:rPr>
          <w:lang w:val="fr-FR"/>
        </w:rPr>
        <w:t>12.</w:t>
      </w:r>
      <w:r w:rsidRPr="00F5511F">
        <w:rPr>
          <w:lang w:val="fr-FR"/>
        </w:rPr>
        <w:tab/>
        <w:t>Deux nouveaux candidats à l</w:t>
      </w:r>
      <w:r>
        <w:rPr>
          <w:lang w:val="fr-FR"/>
        </w:rPr>
        <w:t>’</w:t>
      </w:r>
      <w:r w:rsidRPr="00F5511F">
        <w:rPr>
          <w:lang w:val="fr-FR"/>
        </w:rPr>
        <w:t>harmonisation ou à l</w:t>
      </w:r>
      <w:r>
        <w:rPr>
          <w:lang w:val="fr-FR"/>
        </w:rPr>
        <w:t>’</w:t>
      </w:r>
      <w:r w:rsidRPr="00F5511F">
        <w:rPr>
          <w:lang w:val="fr-FR"/>
        </w:rPr>
        <w:t xml:space="preserve">adoption en tant que RTM ONU ont été inscrits dans le </w:t>
      </w:r>
      <w:r w:rsidRPr="00A74973">
        <w:rPr>
          <w:lang w:val="fr-FR"/>
        </w:rPr>
        <w:t>Recueil des Règlements admissibles</w:t>
      </w:r>
      <w:r>
        <w:rPr>
          <w:lang w:val="fr-FR"/>
        </w:rPr>
        <w:t> :</w:t>
      </w:r>
      <w:r w:rsidRPr="00F5511F">
        <w:rPr>
          <w:lang w:val="fr-FR"/>
        </w:rPr>
        <w:t xml:space="preserve"> n</w:t>
      </w:r>
      <w:r w:rsidRPr="00A74973">
        <w:rPr>
          <w:vertAlign w:val="superscript"/>
          <w:lang w:val="fr-FR"/>
        </w:rPr>
        <w:t>o</w:t>
      </w:r>
      <w:r>
        <w:rPr>
          <w:lang w:val="fr-FR"/>
        </w:rPr>
        <w:t> </w:t>
      </w:r>
      <w:r w:rsidRPr="00F5511F">
        <w:rPr>
          <w:lang w:val="fr-FR"/>
        </w:rPr>
        <w:t xml:space="preserve">14 </w:t>
      </w:r>
      <w:r w:rsidR="00AB0521">
        <w:rPr>
          <w:lang w:val="fr-FR"/>
        </w:rPr>
        <w:t>− </w:t>
      </w:r>
      <w:r>
        <w:rPr>
          <w:lang w:val="fr-FR"/>
        </w:rPr>
        <w:t>r</w:t>
      </w:r>
      <w:r w:rsidRPr="00F5511F">
        <w:rPr>
          <w:lang w:val="fr-FR"/>
        </w:rPr>
        <w:t>èglements de l</w:t>
      </w:r>
      <w:r>
        <w:rPr>
          <w:lang w:val="fr-FR"/>
        </w:rPr>
        <w:t>’</w:t>
      </w:r>
      <w:r w:rsidRPr="00F5511F">
        <w:rPr>
          <w:lang w:val="fr-FR"/>
        </w:rPr>
        <w:t>Union européenne n</w:t>
      </w:r>
      <w:r w:rsidRPr="00A74973">
        <w:rPr>
          <w:vertAlign w:val="superscript"/>
          <w:lang w:val="fr-FR"/>
        </w:rPr>
        <w:t>os</w:t>
      </w:r>
      <w:r w:rsidR="00AB0521">
        <w:rPr>
          <w:lang w:val="fr-FR"/>
        </w:rPr>
        <w:t> </w:t>
      </w:r>
      <w:r w:rsidRPr="00F5511F">
        <w:rPr>
          <w:lang w:val="fr-FR"/>
        </w:rPr>
        <w:t xml:space="preserve">2017/1151 et 2017/1154 sur les émissions </w:t>
      </w:r>
      <w:r w:rsidRPr="00BF3158">
        <w:rPr>
          <w:lang w:val="fr-FR"/>
        </w:rPr>
        <w:t xml:space="preserve">en conditions de conduite réelles </w:t>
      </w:r>
      <w:r w:rsidRPr="00F5511F">
        <w:rPr>
          <w:lang w:val="fr-FR"/>
        </w:rPr>
        <w:t xml:space="preserve">et </w:t>
      </w:r>
      <w:r w:rsidR="00AB0521">
        <w:rPr>
          <w:lang w:val="fr-FR"/>
        </w:rPr>
        <w:t>n</w:t>
      </w:r>
      <w:r w:rsidR="00AB0521" w:rsidRPr="00AB0521">
        <w:rPr>
          <w:vertAlign w:val="superscript"/>
          <w:lang w:val="fr-FR"/>
        </w:rPr>
        <w:t>o</w:t>
      </w:r>
      <w:r w:rsidR="00AB0521">
        <w:rPr>
          <w:lang w:val="fr-FR"/>
        </w:rPr>
        <w:t> 15 −</w:t>
      </w:r>
      <w:r w:rsidRPr="00F5511F">
        <w:rPr>
          <w:lang w:val="fr-FR"/>
        </w:rPr>
        <w:t xml:space="preserve"> méthodologie du Japon sur les </w:t>
      </w:r>
      <w:r w:rsidRPr="00BF3158">
        <w:rPr>
          <w:lang w:val="fr-FR"/>
        </w:rPr>
        <w:t>émissions en conditions de conduite réelles</w:t>
      </w:r>
      <w:r w:rsidRPr="00F5511F">
        <w:rPr>
          <w:lang w:val="fr-FR"/>
        </w:rPr>
        <w:t>.</w:t>
      </w:r>
    </w:p>
    <w:p w:rsidR="002B08D8" w:rsidRPr="00F5511F" w:rsidRDefault="002B08D8" w:rsidP="002B08D8">
      <w:pPr>
        <w:pStyle w:val="SingleTxtG"/>
        <w:rPr>
          <w:highlight w:val="yellow"/>
          <w:lang w:val="fr-FR"/>
        </w:rPr>
      </w:pPr>
      <w:r w:rsidRPr="00F5511F">
        <w:rPr>
          <w:lang w:val="fr-FR"/>
        </w:rPr>
        <w:t>13.</w:t>
      </w:r>
      <w:r w:rsidRPr="00F5511F">
        <w:rPr>
          <w:lang w:val="fr-FR"/>
        </w:rPr>
        <w:tab/>
        <w:t>En juin 2018, l</w:t>
      </w:r>
      <w:r>
        <w:rPr>
          <w:lang w:val="fr-FR"/>
        </w:rPr>
        <w:t>’</w:t>
      </w:r>
      <w:r w:rsidRPr="00F5511F">
        <w:rPr>
          <w:lang w:val="fr-FR"/>
        </w:rPr>
        <w:t>élaboration d</w:t>
      </w:r>
      <w:r>
        <w:rPr>
          <w:lang w:val="fr-FR"/>
        </w:rPr>
        <w:t>’</w:t>
      </w:r>
      <w:r w:rsidRPr="00F5511F">
        <w:rPr>
          <w:lang w:val="fr-FR"/>
        </w:rPr>
        <w:t xml:space="preserve">un nouveau RTM </w:t>
      </w:r>
      <w:r>
        <w:rPr>
          <w:lang w:val="fr-FR"/>
        </w:rPr>
        <w:t>ONU relatif à</w:t>
      </w:r>
      <w:r w:rsidRPr="00F5511F">
        <w:rPr>
          <w:lang w:val="fr-FR"/>
        </w:rPr>
        <w:t xml:space="preserve"> une procédure harmonisée d</w:t>
      </w:r>
      <w:r>
        <w:rPr>
          <w:lang w:val="fr-FR"/>
        </w:rPr>
        <w:t>’</w:t>
      </w:r>
      <w:r w:rsidRPr="00F5511F">
        <w:rPr>
          <w:lang w:val="fr-FR"/>
        </w:rPr>
        <w:t xml:space="preserve">essai </w:t>
      </w:r>
      <w:r>
        <w:rPr>
          <w:lang w:val="fr-FR"/>
        </w:rPr>
        <w:t xml:space="preserve">pour la mesure </w:t>
      </w:r>
      <w:r w:rsidRPr="00F5511F">
        <w:rPr>
          <w:lang w:val="fr-FR"/>
        </w:rPr>
        <w:t xml:space="preserve">des </w:t>
      </w:r>
      <w:r w:rsidRPr="00BF3158">
        <w:rPr>
          <w:lang w:val="fr-FR"/>
        </w:rPr>
        <w:t xml:space="preserve">émissions en conditions de conduite réelles </w:t>
      </w:r>
      <w:r w:rsidRPr="00F5511F">
        <w:rPr>
          <w:lang w:val="fr-FR"/>
        </w:rPr>
        <w:t xml:space="preserve">a été lancée. Le nouveau RTM </w:t>
      </w:r>
      <w:r w:rsidRPr="00BF3158">
        <w:rPr>
          <w:lang w:val="fr-FR"/>
        </w:rPr>
        <w:t>ONU</w:t>
      </w:r>
      <w:r w:rsidRPr="00F5511F">
        <w:rPr>
          <w:lang w:val="fr-FR"/>
        </w:rPr>
        <w:t>, qui devrait être adopté d</w:t>
      </w:r>
      <w:r>
        <w:rPr>
          <w:lang w:val="fr-FR"/>
        </w:rPr>
        <w:t>’</w:t>
      </w:r>
      <w:r w:rsidRPr="00F5511F">
        <w:rPr>
          <w:lang w:val="fr-FR"/>
        </w:rPr>
        <w:t xml:space="preserve">ici </w:t>
      </w:r>
      <w:r w:rsidR="00AB0521">
        <w:rPr>
          <w:lang w:val="fr-FR"/>
        </w:rPr>
        <w:t xml:space="preserve">à </w:t>
      </w:r>
      <w:r w:rsidRPr="00F5511F">
        <w:rPr>
          <w:lang w:val="fr-FR"/>
        </w:rPr>
        <w:t xml:space="preserve">2020, </w:t>
      </w:r>
      <w:r>
        <w:rPr>
          <w:lang w:val="fr-FR"/>
        </w:rPr>
        <w:t>con</w:t>
      </w:r>
      <w:r w:rsidRPr="00F5511F">
        <w:rPr>
          <w:lang w:val="fr-FR"/>
        </w:rPr>
        <w:t xml:space="preserve">centrera </w:t>
      </w:r>
      <w:r>
        <w:rPr>
          <w:lang w:val="fr-FR"/>
        </w:rPr>
        <w:t>les compétences</w:t>
      </w:r>
      <w:r w:rsidRPr="00F5511F">
        <w:rPr>
          <w:lang w:val="fr-FR"/>
        </w:rPr>
        <w:t xml:space="preserve"> et les ressources pour améliorer la mesure des émissions et permettra également de réaliser d</w:t>
      </w:r>
      <w:r>
        <w:rPr>
          <w:lang w:val="fr-FR"/>
        </w:rPr>
        <w:t>’</w:t>
      </w:r>
      <w:r w:rsidRPr="00F5511F">
        <w:rPr>
          <w:lang w:val="fr-FR"/>
        </w:rPr>
        <w:t>importantes économies d</w:t>
      </w:r>
      <w:r>
        <w:rPr>
          <w:lang w:val="fr-FR"/>
        </w:rPr>
        <w:t>’</w:t>
      </w:r>
      <w:r w:rsidRPr="00F5511F">
        <w:rPr>
          <w:lang w:val="fr-FR"/>
        </w:rPr>
        <w:t>échelle dans le secteur automobile.</w:t>
      </w:r>
    </w:p>
    <w:p w:rsidR="002B08D8" w:rsidRPr="00F5511F" w:rsidRDefault="002B08D8" w:rsidP="002B08D8">
      <w:pPr>
        <w:pStyle w:val="HChG"/>
        <w:rPr>
          <w:lang w:val="fr-FR"/>
        </w:rPr>
      </w:pPr>
      <w:r w:rsidRPr="00F5511F">
        <w:rPr>
          <w:lang w:val="fr-FR"/>
        </w:rPr>
        <w:tab/>
        <w:t>V.</w:t>
      </w:r>
      <w:r w:rsidRPr="00F5511F">
        <w:rPr>
          <w:lang w:val="fr-FR"/>
        </w:rPr>
        <w:tab/>
        <w:t>Lien avec l</w:t>
      </w:r>
      <w:r>
        <w:rPr>
          <w:lang w:val="fr-FR"/>
        </w:rPr>
        <w:t xml:space="preserve">e Programme de </w:t>
      </w:r>
      <w:r w:rsidRPr="00F5511F">
        <w:rPr>
          <w:lang w:val="fr-FR"/>
        </w:rPr>
        <w:t>développement durable</w:t>
      </w:r>
      <w:r>
        <w:rPr>
          <w:lang w:val="fr-FR"/>
        </w:rPr>
        <w:t xml:space="preserve"> à l’horizon </w:t>
      </w:r>
      <w:r w:rsidRPr="00F5511F">
        <w:rPr>
          <w:lang w:val="fr-FR"/>
        </w:rPr>
        <w:t>2030</w:t>
      </w:r>
    </w:p>
    <w:p w:rsidR="00DA4059" w:rsidRDefault="002B08D8" w:rsidP="002B08D8">
      <w:pPr>
        <w:pStyle w:val="SingleTxtG"/>
        <w:rPr>
          <w:lang w:val="fr-FR"/>
        </w:rPr>
      </w:pPr>
      <w:r>
        <w:rPr>
          <w:lang w:val="fr-FR"/>
        </w:rPr>
        <w:t>14.</w:t>
      </w:r>
      <w:r>
        <w:rPr>
          <w:lang w:val="fr-FR"/>
        </w:rPr>
        <w:tab/>
      </w:r>
      <w:r w:rsidRPr="00F5511F">
        <w:rPr>
          <w:lang w:val="fr-FR"/>
        </w:rPr>
        <w:t>L</w:t>
      </w:r>
      <w:r>
        <w:rPr>
          <w:lang w:val="fr-FR"/>
        </w:rPr>
        <w:t>’</w:t>
      </w:r>
      <w:r w:rsidRPr="00F5511F">
        <w:rPr>
          <w:lang w:val="fr-FR"/>
        </w:rPr>
        <w:t xml:space="preserve">adhésion aux </w:t>
      </w:r>
      <w:r>
        <w:rPr>
          <w:lang w:val="fr-FR"/>
        </w:rPr>
        <w:t>A</w:t>
      </w:r>
      <w:r w:rsidRPr="00F5511F">
        <w:rPr>
          <w:lang w:val="fr-FR"/>
        </w:rPr>
        <w:t>ccords de</w:t>
      </w:r>
      <w:r>
        <w:rPr>
          <w:lang w:val="fr-FR"/>
        </w:rPr>
        <w:t xml:space="preserve"> l’ONU</w:t>
      </w:r>
      <w:r w:rsidRPr="00F5511F">
        <w:rPr>
          <w:lang w:val="fr-FR"/>
        </w:rPr>
        <w:t xml:space="preserve"> </w:t>
      </w:r>
      <w:r>
        <w:rPr>
          <w:lang w:val="fr-FR"/>
        </w:rPr>
        <w:t>concernant</w:t>
      </w:r>
      <w:r w:rsidRPr="00F5511F">
        <w:rPr>
          <w:lang w:val="fr-FR"/>
        </w:rPr>
        <w:t xml:space="preserve"> les véhicules et le respect des </w:t>
      </w:r>
      <w:r>
        <w:rPr>
          <w:lang w:val="fr-FR"/>
        </w:rPr>
        <w:t>R</w:t>
      </w:r>
      <w:r w:rsidRPr="00F5511F">
        <w:rPr>
          <w:lang w:val="fr-FR"/>
        </w:rPr>
        <w:t>èglements</w:t>
      </w:r>
      <w:r w:rsidR="0097357A">
        <w:rPr>
          <w:lang w:val="fr-FR"/>
        </w:rPr>
        <w:t xml:space="preserve"> ONU</w:t>
      </w:r>
      <w:r w:rsidRPr="00F5511F">
        <w:rPr>
          <w:lang w:val="fr-FR"/>
        </w:rPr>
        <w:t xml:space="preserve">, </w:t>
      </w:r>
      <w:r>
        <w:rPr>
          <w:lang w:val="fr-FR"/>
        </w:rPr>
        <w:t>R</w:t>
      </w:r>
      <w:r w:rsidRPr="00F5511F">
        <w:rPr>
          <w:lang w:val="fr-FR"/>
        </w:rPr>
        <w:t xml:space="preserve">ègles et </w:t>
      </w:r>
      <w:r>
        <w:rPr>
          <w:lang w:val="fr-FR"/>
        </w:rPr>
        <w:t xml:space="preserve">Règlements techniques mondiaux y </w:t>
      </w:r>
      <w:r w:rsidRPr="00F5511F">
        <w:rPr>
          <w:lang w:val="fr-FR"/>
        </w:rPr>
        <w:t xml:space="preserve">annexés peuvent </w:t>
      </w:r>
      <w:r>
        <w:rPr>
          <w:lang w:val="fr-FR"/>
        </w:rPr>
        <w:t>aider à atteindre l</w:t>
      </w:r>
      <w:r w:rsidRPr="00F5511F">
        <w:rPr>
          <w:lang w:val="fr-FR"/>
        </w:rPr>
        <w:t xml:space="preserve">es </w:t>
      </w:r>
      <w:r>
        <w:rPr>
          <w:lang w:val="fr-FR"/>
        </w:rPr>
        <w:t>cibles</w:t>
      </w:r>
      <w:r w:rsidR="00AB0521">
        <w:rPr>
          <w:lang w:val="fr-FR"/>
        </w:rPr>
        <w:t> </w:t>
      </w:r>
      <w:r w:rsidRPr="00F5511F">
        <w:rPr>
          <w:lang w:val="fr-FR"/>
        </w:rPr>
        <w:t>3.6, 3.9, 7.3, 9.1, 11.2 et 13.2 des objectifs d</w:t>
      </w:r>
      <w:r>
        <w:rPr>
          <w:lang w:val="fr-FR"/>
        </w:rPr>
        <w:t>e</w:t>
      </w:r>
      <w:r w:rsidRPr="00F5511F">
        <w:rPr>
          <w:lang w:val="fr-FR"/>
        </w:rPr>
        <w:t xml:space="preserve"> développement durable.</w:t>
      </w:r>
    </w:p>
    <w:p w:rsidR="00AB0521" w:rsidRPr="00646808" w:rsidRDefault="00646808" w:rsidP="0064680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B0521" w:rsidRPr="00646808" w:rsidSect="001F3E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A44" w:rsidRDefault="00E02A44" w:rsidP="00F95C08">
      <w:pPr>
        <w:spacing w:line="240" w:lineRule="auto"/>
      </w:pPr>
    </w:p>
  </w:endnote>
  <w:endnote w:type="continuationSeparator" w:id="0">
    <w:p w:rsidR="00E02A44" w:rsidRPr="00AC3823" w:rsidRDefault="00E02A44" w:rsidP="00AC3823">
      <w:pPr>
        <w:pStyle w:val="Pieddepage"/>
      </w:pPr>
    </w:p>
  </w:endnote>
  <w:endnote w:type="continuationNotice" w:id="1">
    <w:p w:rsidR="00E02A44" w:rsidRDefault="00E02A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6A" w:rsidRPr="001F3E6A" w:rsidRDefault="001F3E6A" w:rsidP="001F3E6A">
    <w:pPr>
      <w:pStyle w:val="Pieddepage"/>
      <w:tabs>
        <w:tab w:val="right" w:pos="9638"/>
      </w:tabs>
    </w:pPr>
    <w:r w:rsidRPr="001F3E6A">
      <w:rPr>
        <w:b/>
        <w:sz w:val="18"/>
      </w:rPr>
      <w:fldChar w:fldCharType="begin"/>
    </w:r>
    <w:r w:rsidRPr="001F3E6A">
      <w:rPr>
        <w:b/>
        <w:sz w:val="18"/>
      </w:rPr>
      <w:instrText xml:space="preserve"> PAGE  \* MERGEFORMAT </w:instrText>
    </w:r>
    <w:r w:rsidRPr="001F3E6A">
      <w:rPr>
        <w:b/>
        <w:sz w:val="18"/>
      </w:rPr>
      <w:fldChar w:fldCharType="separate"/>
    </w:r>
    <w:r w:rsidR="00B40223">
      <w:rPr>
        <w:b/>
        <w:noProof/>
        <w:sz w:val="18"/>
      </w:rPr>
      <w:t>4</w:t>
    </w:r>
    <w:r w:rsidRPr="001F3E6A">
      <w:rPr>
        <w:b/>
        <w:sz w:val="18"/>
      </w:rPr>
      <w:fldChar w:fldCharType="end"/>
    </w:r>
    <w:r>
      <w:rPr>
        <w:b/>
        <w:sz w:val="18"/>
      </w:rPr>
      <w:tab/>
    </w:r>
    <w:r>
      <w:t>GE.18-20551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6A" w:rsidRPr="001F3E6A" w:rsidRDefault="001F3E6A" w:rsidP="001F3E6A">
    <w:pPr>
      <w:pStyle w:val="Pieddepage"/>
      <w:tabs>
        <w:tab w:val="right" w:pos="9638"/>
      </w:tabs>
      <w:rPr>
        <w:b/>
        <w:sz w:val="18"/>
      </w:rPr>
    </w:pPr>
    <w:r>
      <w:t>GE.18-20551</w:t>
    </w:r>
    <w:r>
      <w:tab/>
    </w:r>
    <w:r w:rsidRPr="001F3E6A">
      <w:rPr>
        <w:b/>
        <w:sz w:val="18"/>
      </w:rPr>
      <w:fldChar w:fldCharType="begin"/>
    </w:r>
    <w:r w:rsidRPr="001F3E6A">
      <w:rPr>
        <w:b/>
        <w:sz w:val="18"/>
      </w:rPr>
      <w:instrText xml:space="preserve"> PAGE  \* MERGEFORMAT </w:instrText>
    </w:r>
    <w:r w:rsidRPr="001F3E6A">
      <w:rPr>
        <w:b/>
        <w:sz w:val="18"/>
      </w:rPr>
      <w:fldChar w:fldCharType="separate"/>
    </w:r>
    <w:r w:rsidR="00B40223">
      <w:rPr>
        <w:b/>
        <w:noProof/>
        <w:sz w:val="18"/>
      </w:rPr>
      <w:t>3</w:t>
    </w:r>
    <w:r w:rsidRPr="001F3E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F3E6A" w:rsidRDefault="001F3E6A" w:rsidP="001F3E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18-20551  (F)    181218    211218</w:t>
    </w:r>
    <w:r>
      <w:rPr>
        <w:sz w:val="20"/>
      </w:rPr>
      <w:br/>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sidRPr="001F3E6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A44" w:rsidRPr="00AC3823" w:rsidRDefault="00E02A44" w:rsidP="00AC3823">
      <w:pPr>
        <w:pStyle w:val="Pieddepage"/>
        <w:tabs>
          <w:tab w:val="right" w:pos="2155"/>
        </w:tabs>
        <w:spacing w:after="80" w:line="240" w:lineRule="atLeast"/>
        <w:ind w:left="680"/>
        <w:rPr>
          <w:u w:val="single"/>
        </w:rPr>
      </w:pPr>
      <w:r>
        <w:rPr>
          <w:u w:val="single"/>
        </w:rPr>
        <w:tab/>
      </w:r>
    </w:p>
  </w:footnote>
  <w:footnote w:type="continuationSeparator" w:id="0">
    <w:p w:rsidR="00E02A44" w:rsidRPr="00AC3823" w:rsidRDefault="00E02A44" w:rsidP="00AC3823">
      <w:pPr>
        <w:pStyle w:val="Pieddepage"/>
        <w:tabs>
          <w:tab w:val="right" w:pos="2155"/>
        </w:tabs>
        <w:spacing w:after="80" w:line="240" w:lineRule="atLeast"/>
        <w:ind w:left="680"/>
        <w:rPr>
          <w:u w:val="single"/>
        </w:rPr>
      </w:pPr>
      <w:r>
        <w:rPr>
          <w:u w:val="single"/>
        </w:rPr>
        <w:tab/>
      </w:r>
    </w:p>
  </w:footnote>
  <w:footnote w:type="continuationNotice" w:id="1">
    <w:p w:rsidR="00E02A44" w:rsidRPr="00AC3823" w:rsidRDefault="00E02A4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6A" w:rsidRPr="001F3E6A" w:rsidRDefault="001F3E6A">
    <w:pPr>
      <w:pStyle w:val="En-tte"/>
    </w:pPr>
    <w:fldSimple w:instr=" TITLE  \* MERGEFORMAT ">
      <w:r w:rsidR="00B40223">
        <w:t>ECE/TRANS/2019/10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6A" w:rsidRPr="001F3E6A" w:rsidRDefault="001F3E6A" w:rsidP="001F3E6A">
    <w:pPr>
      <w:pStyle w:val="En-tte"/>
      <w:jc w:val="right"/>
    </w:pPr>
    <w:fldSimple w:instr=" TITLE  \* MERGEFORMAT ">
      <w:r w:rsidR="00B40223">
        <w:t>ECE/TRANS/2019/10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44"/>
    <w:rsid w:val="000038DD"/>
    <w:rsid w:val="00017F94"/>
    <w:rsid w:val="00023842"/>
    <w:rsid w:val="000334F9"/>
    <w:rsid w:val="00045FEB"/>
    <w:rsid w:val="00073EF4"/>
    <w:rsid w:val="0007796D"/>
    <w:rsid w:val="000816CA"/>
    <w:rsid w:val="000B7790"/>
    <w:rsid w:val="00111F2F"/>
    <w:rsid w:val="0014365E"/>
    <w:rsid w:val="00143C66"/>
    <w:rsid w:val="00176178"/>
    <w:rsid w:val="001C2306"/>
    <w:rsid w:val="001F3E6A"/>
    <w:rsid w:val="001F525A"/>
    <w:rsid w:val="00223272"/>
    <w:rsid w:val="0024779E"/>
    <w:rsid w:val="00257168"/>
    <w:rsid w:val="002744B8"/>
    <w:rsid w:val="002832AC"/>
    <w:rsid w:val="002B08D8"/>
    <w:rsid w:val="002D7C93"/>
    <w:rsid w:val="003031FB"/>
    <w:rsid w:val="00305801"/>
    <w:rsid w:val="003916DE"/>
    <w:rsid w:val="003C46F4"/>
    <w:rsid w:val="00421996"/>
    <w:rsid w:val="00441C3B"/>
    <w:rsid w:val="00446FE5"/>
    <w:rsid w:val="00452396"/>
    <w:rsid w:val="004837D8"/>
    <w:rsid w:val="004E2EED"/>
    <w:rsid w:val="004E468C"/>
    <w:rsid w:val="00537F40"/>
    <w:rsid w:val="005505B7"/>
    <w:rsid w:val="00573BE5"/>
    <w:rsid w:val="00586ED3"/>
    <w:rsid w:val="00596AA9"/>
    <w:rsid w:val="00646808"/>
    <w:rsid w:val="0071601D"/>
    <w:rsid w:val="007A62E6"/>
    <w:rsid w:val="007B31C0"/>
    <w:rsid w:val="007F20FA"/>
    <w:rsid w:val="0080684C"/>
    <w:rsid w:val="00871C75"/>
    <w:rsid w:val="008776DC"/>
    <w:rsid w:val="009446C0"/>
    <w:rsid w:val="009705C8"/>
    <w:rsid w:val="0097357A"/>
    <w:rsid w:val="009C1CF4"/>
    <w:rsid w:val="009F6B74"/>
    <w:rsid w:val="00A3029F"/>
    <w:rsid w:val="00A30353"/>
    <w:rsid w:val="00AB0521"/>
    <w:rsid w:val="00AC3823"/>
    <w:rsid w:val="00AE323C"/>
    <w:rsid w:val="00AF0CB5"/>
    <w:rsid w:val="00B00181"/>
    <w:rsid w:val="00B00B0D"/>
    <w:rsid w:val="00B25324"/>
    <w:rsid w:val="00B40223"/>
    <w:rsid w:val="00B45F2E"/>
    <w:rsid w:val="00B54B20"/>
    <w:rsid w:val="00B765F7"/>
    <w:rsid w:val="00B96116"/>
    <w:rsid w:val="00BA0CA9"/>
    <w:rsid w:val="00BC0067"/>
    <w:rsid w:val="00C02897"/>
    <w:rsid w:val="00C97039"/>
    <w:rsid w:val="00D3439C"/>
    <w:rsid w:val="00DA4059"/>
    <w:rsid w:val="00DB1831"/>
    <w:rsid w:val="00DD3BFD"/>
    <w:rsid w:val="00DF6678"/>
    <w:rsid w:val="00E0299A"/>
    <w:rsid w:val="00E02A44"/>
    <w:rsid w:val="00E60CC1"/>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0ED27E"/>
  <w15:docId w15:val="{97AD9324-7128-47F2-8BAA-2F4FB06A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4059"/>
    <w:rPr>
      <w:rFonts w:ascii="Times New Roman" w:eastAsiaTheme="minorHAnsi" w:hAnsi="Times New Roman" w:cs="Times New Roman"/>
      <w:sz w:val="20"/>
      <w:szCs w:val="20"/>
      <w:lang w:eastAsia="en-US"/>
    </w:rPr>
  </w:style>
  <w:style w:type="character" w:customStyle="1" w:styleId="caps">
    <w:name w:val="caps"/>
    <w:basedOn w:val="Policepardfaut"/>
    <w:rsid w:val="002B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1389</Words>
  <Characters>9724</Characters>
  <Application>Microsoft Office Word</Application>
  <DocSecurity>0</DocSecurity>
  <Lines>810</Lines>
  <Paragraphs>444</Paragraphs>
  <ScaleCrop>false</ScaleCrop>
  <HeadingPairs>
    <vt:vector size="2" baseType="variant">
      <vt:variant>
        <vt:lpstr>Titre</vt:lpstr>
      </vt:variant>
      <vt:variant>
        <vt:i4>1</vt:i4>
      </vt:variant>
    </vt:vector>
  </HeadingPairs>
  <TitlesOfParts>
    <vt:vector size="1" baseType="lpstr">
      <vt:lpstr>ECE/TRANS/2019/10</vt:lpstr>
    </vt:vector>
  </TitlesOfParts>
  <Company>DCM</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ECE/TRANS/2019/10</dc:title>
  <dc:subject/>
  <dc:creator>xx</dc:creator>
  <cp:keywords/>
  <cp:lastModifiedBy>xx</cp:lastModifiedBy>
  <cp:revision>3</cp:revision>
  <cp:lastPrinted>2018-12-21T11:51:00Z</cp:lastPrinted>
  <dcterms:created xsi:type="dcterms:W3CDTF">2018-12-21T11:51:00Z</dcterms:created>
  <dcterms:modified xsi:type="dcterms:W3CDTF">2018-12-21T11:52:00Z</dcterms:modified>
</cp:coreProperties>
</file>