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396E88" w:rsidP="00A74682">
            <w:bookmarkStart w:id="0" w:name="_GoBack"/>
            <w:bookmarkEnd w:id="0"/>
            <w:r w:rsidRPr="00AE1814">
              <w:rPr>
                <w:rStyle w:val="EndnoteReference"/>
              </w:rPr>
              <w:endnoteReference w:id="2"/>
            </w:r>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4682" w:rsidP="00A74682">
            <w:pPr>
              <w:jc w:val="right"/>
            </w:pPr>
            <w:r w:rsidRPr="00A74682">
              <w:rPr>
                <w:sz w:val="40"/>
              </w:rPr>
              <w:t>ECE</w:t>
            </w:r>
            <w:r>
              <w:t>/TRANS/WP.15/AC.2/2019/14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4682" w:rsidP="00C97039">
            <w:pPr>
              <w:spacing w:before="240"/>
            </w:pPr>
            <w:r>
              <w:t>Distr. générale</w:t>
            </w:r>
          </w:p>
          <w:p w:rsidR="00A74682" w:rsidRDefault="00A74682" w:rsidP="00A74682">
            <w:pPr>
              <w:spacing w:line="240" w:lineRule="exact"/>
            </w:pPr>
            <w:r>
              <w:t>31 octobre 2018</w:t>
            </w:r>
          </w:p>
          <w:p w:rsidR="00A74682" w:rsidRDefault="00A74682" w:rsidP="00A74682">
            <w:pPr>
              <w:spacing w:line="240" w:lineRule="exact"/>
            </w:pPr>
            <w:r>
              <w:t>Français</w:t>
            </w:r>
          </w:p>
          <w:p w:rsidR="00A74682" w:rsidRPr="00DB58B5" w:rsidRDefault="00A74682" w:rsidP="00A74682">
            <w:pPr>
              <w:spacing w:line="240" w:lineRule="exact"/>
            </w:pPr>
            <w:r>
              <w:t>Original : anglais</w:t>
            </w:r>
          </w:p>
        </w:tc>
      </w:tr>
    </w:tbl>
    <w:p w:rsidR="007F20FA" w:rsidRPr="000312C0" w:rsidRDefault="007F20FA" w:rsidP="0010344B">
      <w:pPr>
        <w:spacing w:before="100" w:line="220" w:lineRule="atLeast"/>
        <w:rPr>
          <w:b/>
          <w:sz w:val="28"/>
          <w:szCs w:val="28"/>
        </w:rPr>
      </w:pPr>
      <w:r w:rsidRPr="000312C0">
        <w:rPr>
          <w:b/>
          <w:sz w:val="28"/>
          <w:szCs w:val="28"/>
        </w:rPr>
        <w:t>Commission économique pour l’Europe</w:t>
      </w:r>
    </w:p>
    <w:p w:rsidR="007F20FA" w:rsidRDefault="007F20FA" w:rsidP="0010344B">
      <w:pPr>
        <w:spacing w:before="100" w:line="220" w:lineRule="atLeast"/>
        <w:rPr>
          <w:sz w:val="28"/>
          <w:szCs w:val="28"/>
        </w:rPr>
      </w:pPr>
      <w:r w:rsidRPr="00685843">
        <w:rPr>
          <w:sz w:val="28"/>
          <w:szCs w:val="28"/>
        </w:rPr>
        <w:t>Comité des transports intérieurs</w:t>
      </w:r>
    </w:p>
    <w:p w:rsidR="002A0B57" w:rsidRPr="009E01B8" w:rsidRDefault="002A0B57" w:rsidP="0010344B">
      <w:pPr>
        <w:spacing w:before="100" w:line="220" w:lineRule="atLeast"/>
        <w:rPr>
          <w:b/>
          <w:sz w:val="24"/>
          <w:szCs w:val="24"/>
        </w:rPr>
      </w:pPr>
      <w:r w:rsidRPr="009E01B8">
        <w:rPr>
          <w:b/>
          <w:sz w:val="24"/>
          <w:szCs w:val="24"/>
        </w:rPr>
        <w:t>Groupe de travail des transports de marchandises dangereuses</w:t>
      </w:r>
    </w:p>
    <w:p w:rsidR="002A0B57" w:rsidRPr="002A0B57" w:rsidRDefault="002A0B57" w:rsidP="0010344B">
      <w:pPr>
        <w:spacing w:before="100" w:line="220" w:lineRule="atLeast"/>
        <w:rPr>
          <w:b/>
        </w:rPr>
      </w:pPr>
      <w:r w:rsidRPr="002A0B57">
        <w:rPr>
          <w:b/>
        </w:rPr>
        <w:t xml:space="preserve">Réunion commune d’experts sur le Règlement annexé à l’Accord européen </w:t>
      </w:r>
      <w:r>
        <w:rPr>
          <w:b/>
        </w:rPr>
        <w:br/>
      </w:r>
      <w:r w:rsidRPr="002A0B57">
        <w:rPr>
          <w:b/>
        </w:rPr>
        <w:t xml:space="preserve">relatif au transport international des marchandises dangereuses </w:t>
      </w:r>
      <w:r>
        <w:rPr>
          <w:b/>
        </w:rPr>
        <w:br/>
      </w:r>
      <w:r w:rsidRPr="002A0B57">
        <w:rPr>
          <w:b/>
        </w:rPr>
        <w:t xml:space="preserve">par voies de navigation intérieures (ADN) </w:t>
      </w:r>
      <w:r>
        <w:rPr>
          <w:b/>
        </w:rPr>
        <w:br/>
      </w:r>
      <w:r w:rsidRPr="002A0B57">
        <w:rPr>
          <w:b/>
        </w:rPr>
        <w:t>(Comité de sécurité de l’ADN)</w:t>
      </w:r>
    </w:p>
    <w:p w:rsidR="002A0B57" w:rsidRPr="002A0B57" w:rsidRDefault="002A0B57" w:rsidP="0010344B">
      <w:pPr>
        <w:spacing w:before="100" w:line="220" w:lineRule="atLeast"/>
        <w:rPr>
          <w:b/>
        </w:rPr>
      </w:pPr>
      <w:r w:rsidRPr="002A0B57">
        <w:rPr>
          <w:b/>
        </w:rPr>
        <w:t>Trente-quatrième session</w:t>
      </w:r>
    </w:p>
    <w:p w:rsidR="002A0B57" w:rsidRDefault="002A0B57" w:rsidP="002A0B57">
      <w:r>
        <w:t>Genève, 21-25 janvier 2019</w:t>
      </w:r>
    </w:p>
    <w:p w:rsidR="002A0B57" w:rsidRDefault="002A0B57" w:rsidP="00AF0CB5">
      <w:r w:rsidRPr="00B93E72">
        <w:t>Point</w:t>
      </w:r>
      <w:r>
        <w:t> 6</w:t>
      </w:r>
      <w:r w:rsidRPr="00B93E72">
        <w:t xml:space="preserve"> de l’ordre du jour provisoire</w:t>
      </w:r>
    </w:p>
    <w:p w:rsidR="002A0B57" w:rsidRPr="002A0B57" w:rsidRDefault="002A0B57" w:rsidP="0010344B">
      <w:pPr>
        <w:spacing w:line="220" w:lineRule="atLeast"/>
        <w:rPr>
          <w:b/>
        </w:rPr>
      </w:pPr>
      <w:r w:rsidRPr="002A0B57">
        <w:rPr>
          <w:b/>
        </w:rPr>
        <w:t>Rapports des groupes de travail informels</w:t>
      </w:r>
    </w:p>
    <w:p w:rsidR="002A0B57" w:rsidRPr="00506358" w:rsidRDefault="002A0B57" w:rsidP="0010344B">
      <w:pPr>
        <w:pStyle w:val="HChG"/>
        <w:spacing w:before="340" w:after="200" w:line="280" w:lineRule="exact"/>
      </w:pPr>
      <w:r>
        <w:tab/>
      </w:r>
      <w:r>
        <w:tab/>
        <w:t>Rapport du groupe de travail informel des cuves à membrane</w:t>
      </w:r>
    </w:p>
    <w:p w:rsidR="00F9573C" w:rsidRDefault="002A0B57" w:rsidP="0010344B">
      <w:pPr>
        <w:pStyle w:val="H1G"/>
        <w:spacing w:before="300" w:after="220" w:line="250" w:lineRule="exact"/>
        <w:rPr>
          <w:vertAlign w:val="superscript"/>
        </w:rPr>
      </w:pPr>
      <w:r>
        <w:tab/>
      </w:r>
      <w:r>
        <w:tab/>
        <w:t xml:space="preserve">Communication des Gouvernements de l’Allemagne, de la Belgique, </w:t>
      </w:r>
      <w:r>
        <w:br/>
        <w:t>de la France et des Pays-</w:t>
      </w:r>
      <w:r w:rsidRPr="002A0B57">
        <w:t>Bas</w:t>
      </w:r>
      <w:r w:rsidR="008A4E12" w:rsidRPr="008A4E12">
        <w:rPr>
          <w:rStyle w:val="FootnoteReference"/>
          <w:b w:val="0"/>
          <w:sz w:val="20"/>
          <w:vertAlign w:val="baseline"/>
        </w:rPr>
        <w:footnoteReference w:customMarkFollows="1" w:id="2"/>
        <w:t>*</w:t>
      </w:r>
      <w:r w:rsidR="008A4E12" w:rsidRPr="008A4E12">
        <w:rPr>
          <w:b w:val="0"/>
          <w:sz w:val="20"/>
          <w:vertAlign w:val="superscript"/>
        </w:rPr>
        <w:t>,</w:t>
      </w:r>
      <w:r w:rsidR="008A4E12" w:rsidRPr="008A4E12">
        <w:rPr>
          <w:rStyle w:val="FootnoteReference"/>
          <w:b w:val="0"/>
          <w:sz w:val="20"/>
          <w:vertAlign w:val="baseline"/>
        </w:rPr>
        <w:t xml:space="preserve"> </w:t>
      </w:r>
      <w:r w:rsidR="008A4E12" w:rsidRPr="008A4E12">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D366A2">
        <w:trPr>
          <w:jc w:val="center"/>
        </w:trPr>
        <w:tc>
          <w:tcPr>
            <w:tcW w:w="9637" w:type="dxa"/>
            <w:shd w:val="clear" w:color="auto" w:fill="auto"/>
          </w:tcPr>
          <w:p w:rsidR="00D366A2" w:rsidRDefault="00D366A2" w:rsidP="0010344B">
            <w:pPr>
              <w:spacing w:before="120" w:after="120"/>
              <w:ind w:left="255"/>
              <w:rPr>
                <w:i/>
                <w:sz w:val="24"/>
              </w:rPr>
            </w:pPr>
            <w:r>
              <w:rPr>
                <w:i/>
                <w:sz w:val="24"/>
              </w:rPr>
              <w:t>Résumé</w:t>
            </w:r>
          </w:p>
        </w:tc>
      </w:tr>
      <w:tr w:rsidR="00D366A2">
        <w:trPr>
          <w:jc w:val="center"/>
        </w:trPr>
        <w:tc>
          <w:tcPr>
            <w:tcW w:w="9637" w:type="dxa"/>
            <w:shd w:val="clear" w:color="auto" w:fill="auto"/>
          </w:tcPr>
          <w:p w:rsidR="00D366A2" w:rsidRPr="00D366A2" w:rsidRDefault="00D366A2" w:rsidP="00350710">
            <w:pPr>
              <w:pStyle w:val="SingleTxtG"/>
              <w:ind w:left="2778" w:hanging="2523"/>
            </w:pPr>
            <w:r w:rsidRPr="00867E37">
              <w:rPr>
                <w:b/>
              </w:rPr>
              <w:t>Résumé</w:t>
            </w:r>
            <w:r w:rsidR="00867E37" w:rsidRPr="00867E37">
              <w:rPr>
                <w:b/>
              </w:rPr>
              <w:t xml:space="preserve"> analytique</w:t>
            </w:r>
            <w:r w:rsidRPr="00D366A2">
              <w:t> :</w:t>
            </w:r>
            <w:r w:rsidRPr="00D366A2">
              <w:tab/>
              <w:t xml:space="preserve">Le présent document contient le rapport de la troisième réunion du groupe de travail informel des cuves à membrane. Conformément à son mandat, le </w:t>
            </w:r>
            <w:r w:rsidR="00350710">
              <w:t>g</w:t>
            </w:r>
            <w:r w:rsidRPr="00D366A2">
              <w:t>roupe de travail informel a étudié l’évolution récente du marché du gaz naturel liquéfié (GNL) et la liste des matières pouvant être transportées dans des cuves à membrane, et il a réfléchi à la marche à suivre pour la prise en compte des cuves à membrane dans le</w:t>
            </w:r>
            <w:r>
              <w:t> </w:t>
            </w:r>
            <w:r w:rsidRPr="00D366A2">
              <w:t>Règlement annexé à l’ADN.</w:t>
            </w:r>
          </w:p>
        </w:tc>
      </w:tr>
      <w:tr w:rsidR="00D366A2">
        <w:trPr>
          <w:jc w:val="center"/>
        </w:trPr>
        <w:tc>
          <w:tcPr>
            <w:tcW w:w="9637" w:type="dxa"/>
            <w:shd w:val="clear" w:color="auto" w:fill="auto"/>
          </w:tcPr>
          <w:p w:rsidR="00D366A2" w:rsidRDefault="00D366A2" w:rsidP="00C94764">
            <w:pPr>
              <w:pStyle w:val="SingleTxtG"/>
              <w:ind w:left="2778" w:hanging="2523"/>
            </w:pPr>
            <w:r w:rsidRPr="00867E37">
              <w:rPr>
                <w:b/>
              </w:rPr>
              <w:t>Mesure à prendre</w:t>
            </w:r>
            <w:r>
              <w:t> :</w:t>
            </w:r>
            <w:r>
              <w:tab/>
              <w:t xml:space="preserve">Le Comité de sécurité est invité à examiner le rapport du </w:t>
            </w:r>
            <w:r w:rsidR="00350710">
              <w:t>g</w:t>
            </w:r>
            <w:r>
              <w:t xml:space="preserve">roupe de travail informel, à communiquer ses observations et à apporter sa contribution à la démarche choisie par le </w:t>
            </w:r>
            <w:r w:rsidR="00C94764">
              <w:t>g</w:t>
            </w:r>
            <w:r>
              <w:t>roupe de travail informel.</w:t>
            </w:r>
          </w:p>
        </w:tc>
      </w:tr>
      <w:tr w:rsidR="00D366A2">
        <w:trPr>
          <w:jc w:val="center"/>
        </w:trPr>
        <w:tc>
          <w:tcPr>
            <w:tcW w:w="9637" w:type="dxa"/>
            <w:shd w:val="clear" w:color="auto" w:fill="auto"/>
          </w:tcPr>
          <w:p w:rsidR="00D366A2" w:rsidRDefault="00D366A2" w:rsidP="007F45BE">
            <w:pPr>
              <w:pStyle w:val="SingleTxtG"/>
              <w:ind w:left="2778" w:hanging="2523"/>
              <w:jc w:val="left"/>
            </w:pPr>
            <w:r w:rsidRPr="00867E37">
              <w:rPr>
                <w:b/>
              </w:rPr>
              <w:t>Document</w:t>
            </w:r>
            <w:r w:rsidR="00867E37" w:rsidRPr="00867E37">
              <w:rPr>
                <w:b/>
              </w:rPr>
              <w:t>s</w:t>
            </w:r>
            <w:r w:rsidRPr="00867E37">
              <w:rPr>
                <w:b/>
              </w:rPr>
              <w:t xml:space="preserve"> de référence</w:t>
            </w:r>
            <w:r w:rsidR="00867E37">
              <w:t> :</w:t>
            </w:r>
            <w:r>
              <w:tab/>
              <w:t xml:space="preserve">Document informel INF.6 de la vingt-septième session </w:t>
            </w:r>
            <w:r>
              <w:br/>
              <w:t xml:space="preserve">ECE/TRANS/WP.15/AC.2/56 (par. 9 à 12) </w:t>
            </w:r>
            <w:r>
              <w:br/>
              <w:t xml:space="preserve">ECE/ADN/33 (par. 12 et annexe II) </w:t>
            </w:r>
            <w:r>
              <w:br/>
              <w:t xml:space="preserve">Document informel INF.26 de la trente et unième session </w:t>
            </w:r>
            <w:r>
              <w:br/>
              <w:t xml:space="preserve">ECE/TRANS/WP.15/AC.2/64 (par. 62) </w:t>
            </w:r>
            <w:r>
              <w:br/>
              <w:t xml:space="preserve">ECE/TRANS/WP.15/AC.2/2018/35 </w:t>
            </w:r>
            <w:r>
              <w:br/>
              <w:t xml:space="preserve">Document informel INF.25 de la </w:t>
            </w:r>
            <w:r w:rsidRPr="00D366A2">
              <w:t>trente-troisième</w:t>
            </w:r>
            <w:r>
              <w:t xml:space="preserve"> session </w:t>
            </w:r>
            <w:r>
              <w:br/>
            </w:r>
            <w:r>
              <w:lastRenderedPageBreak/>
              <w:t>ECE/TRANS/WP.15/AC.2/68 (par. 68 à 70)</w:t>
            </w:r>
          </w:p>
        </w:tc>
      </w:tr>
    </w:tbl>
    <w:p w:rsidR="00B26D76" w:rsidRPr="00506358" w:rsidRDefault="008A4E12" w:rsidP="008A4E12">
      <w:pPr>
        <w:pStyle w:val="HChG"/>
      </w:pPr>
      <w:r>
        <w:lastRenderedPageBreak/>
        <w:tab/>
      </w:r>
      <w:r>
        <w:tab/>
      </w:r>
      <w:r w:rsidR="00B26D76">
        <w:t>Introduction</w:t>
      </w:r>
    </w:p>
    <w:p w:rsidR="00B26D76" w:rsidRPr="00506358" w:rsidRDefault="00B26D76" w:rsidP="00B26D76">
      <w:pPr>
        <w:pStyle w:val="SingleTxtG"/>
      </w:pPr>
      <w:r w:rsidRPr="0098255D">
        <w:rPr>
          <w:spacing w:val="-1"/>
        </w:rPr>
        <w:t>1.</w:t>
      </w:r>
      <w:r w:rsidRPr="0098255D">
        <w:rPr>
          <w:spacing w:val="-1"/>
        </w:rPr>
        <w:tab/>
        <w:t xml:space="preserve">Le </w:t>
      </w:r>
      <w:r w:rsidR="00460C7C">
        <w:rPr>
          <w:spacing w:val="-1"/>
        </w:rPr>
        <w:t>g</w:t>
      </w:r>
      <w:r w:rsidRPr="0098255D">
        <w:rPr>
          <w:spacing w:val="-1"/>
        </w:rPr>
        <w:t>roupe de travail informel des cuves à membrane a tenu sa troisième réunion dans les locaux du Ministère des infrastructures</w:t>
      </w:r>
      <w:r w:rsidR="00460C7C">
        <w:rPr>
          <w:spacing w:val="-1"/>
        </w:rPr>
        <w:t xml:space="preserve"> et de la gestion de l’eau à La </w:t>
      </w:r>
      <w:r w:rsidRPr="0098255D">
        <w:rPr>
          <w:spacing w:val="-1"/>
        </w:rPr>
        <w:t>Haye (Pays-Bas),</w:t>
      </w:r>
      <w:r w:rsidR="0098255D">
        <w:t xml:space="preserve"> les 11 et 12 </w:t>
      </w:r>
      <w:r>
        <w:t>octobre 2018. Des représentants de l’Allemagne, de la Belgique, de la France et des Pays-Bas ainsi que du secteur, du Bureau Veritas et du Development Centre for Ship Technology and Transport Systems (Centre de recherche sur les technologies navales et les systèmes de transport) ont assisté à la réunion. Malheureusement, les représentants du secteur des transports maritimes ont dû annuler leur participation au dernier moment.</w:t>
      </w:r>
    </w:p>
    <w:p w:rsidR="00B26D76" w:rsidRPr="0098255D" w:rsidRDefault="00B26D76" w:rsidP="00B26D76">
      <w:pPr>
        <w:pStyle w:val="SingleTxtG"/>
      </w:pPr>
      <w:r>
        <w:t>2.</w:t>
      </w:r>
      <w:r>
        <w:tab/>
        <w:t xml:space="preserve">Au début de la réunion, le représentant de la France a rendu compte de la présentation </w:t>
      </w:r>
      <w:r w:rsidRPr="0098255D">
        <w:t>et des débats relatifs aux citernes à membra</w:t>
      </w:r>
      <w:r w:rsidR="00E83419">
        <w:t>ne, dont la dernière réunion du </w:t>
      </w:r>
      <w:r w:rsidRPr="0098255D">
        <w:t xml:space="preserve">Comité de sécurité de l’ADN (ECE/TRANS/WP.15/AC.2/2018/35 et document informel INF.25) a été le théâtre. Le </w:t>
      </w:r>
      <w:r w:rsidR="00A70CD7">
        <w:t>G</w:t>
      </w:r>
      <w:r w:rsidRPr="0098255D">
        <w:t>roupe de travail a pris note des paragraphes</w:t>
      </w:r>
      <w:r w:rsidR="0098255D">
        <w:t> </w:t>
      </w:r>
      <w:r w:rsidRPr="0098255D">
        <w:t>68 à 70 du rapport du Comité de sécurité de l’ADN sur sa trente-troisième session (ECE/TRANS/</w:t>
      </w:r>
      <w:r w:rsidR="0098255D">
        <w:br/>
      </w:r>
      <w:r w:rsidRPr="0098255D">
        <w:t>WP.15/AC.2/68), dont il ressortait clairement que le Comité lui demandait de poursuivre ses travaux.</w:t>
      </w:r>
    </w:p>
    <w:p w:rsidR="00B26D76" w:rsidRPr="00506358" w:rsidRDefault="00B26D76" w:rsidP="00B26D76">
      <w:pPr>
        <w:pStyle w:val="SingleTxtG"/>
      </w:pPr>
      <w:r w:rsidRPr="0098255D">
        <w:t>3.</w:t>
      </w:r>
      <w:r w:rsidRPr="0098255D">
        <w:tab/>
        <w:t xml:space="preserve">Les participants sont également convenus du fait </w:t>
      </w:r>
      <w:r w:rsidR="0098255D">
        <w:t>que cette troisième réunion du </w:t>
      </w:r>
      <w:r w:rsidR="00460C7C">
        <w:t>g</w:t>
      </w:r>
      <w:r w:rsidRPr="0098255D">
        <w:t>roupe de travail devait être considérée comme une réunion intermédiaire dont le but était de décider de la marche à suivre en vue d</w:t>
      </w:r>
      <w:r>
        <w:t xml:space="preserve">’une modification du Règlement annexé à l’ADN visant à faciliter le transport de certaines matières dans des cuves à membrane et de mieux comprendre quelles matières étaient susceptibles d’être transportées dans des cuves à membrane sur les bateaux de navigation intérieure. Le </w:t>
      </w:r>
      <w:r w:rsidR="00A70CD7">
        <w:t>G</w:t>
      </w:r>
      <w:r>
        <w:t xml:space="preserve">roupe de travail ne commencera véritablement à élaborer des projets </w:t>
      </w:r>
      <w:r w:rsidR="00460C7C">
        <w:t>d’</w:t>
      </w:r>
      <w:r>
        <w:t>amendements à l’ADN 2019 qu’à</w:t>
      </w:r>
      <w:r w:rsidRPr="007F12EA">
        <w:t xml:space="preserve"> la prochaine réunion</w:t>
      </w:r>
      <w:r>
        <w:t>.</w:t>
      </w:r>
    </w:p>
    <w:p w:rsidR="00B26D76" w:rsidRPr="00506358" w:rsidRDefault="00B26D76" w:rsidP="0098255D">
      <w:pPr>
        <w:pStyle w:val="HChG"/>
      </w:pPr>
      <w:r>
        <w:tab/>
      </w:r>
      <w:r w:rsidR="0098255D">
        <w:tab/>
      </w:r>
      <w:r>
        <w:t>Évolution du marché</w:t>
      </w:r>
    </w:p>
    <w:p w:rsidR="00B26D76" w:rsidRPr="00506358" w:rsidRDefault="00B26D76" w:rsidP="00B26D76">
      <w:pPr>
        <w:pStyle w:val="SingleTxtG"/>
      </w:pPr>
      <w:r>
        <w:t>4.</w:t>
      </w:r>
      <w:r>
        <w:tab/>
        <w:t>En ce qui concerne la demande du Comité de sécurité de l’ADN relative à la mise à disposition d’informations utiles sur l’évolution du marché du GNL et des cuves à membrane, les participants sont convenus qu’en principe la tâche principale du Comité de sécurité de l’ADN est de garantir la sécurité du transport des marchandises dangereuses et que c’est au marché lui-même</w:t>
      </w:r>
      <w:r w:rsidR="00003382">
        <w:t xml:space="preserve"> </w:t>
      </w:r>
      <w:r>
        <w:t xml:space="preserve">de répondre à la question de savoir si le transport dans des cuves à membrane est souhaitable sur le plan économique. Le </w:t>
      </w:r>
      <w:r w:rsidR="00A70CD7">
        <w:t>G</w:t>
      </w:r>
      <w:r>
        <w:t>roupe de travail rappelle qu’en 2017, l’Union européenne de la navigation fl</w:t>
      </w:r>
      <w:r w:rsidR="0047162E">
        <w:t>uviale (UENF) a déjà demandé au </w:t>
      </w:r>
      <w:r>
        <w:t>Comité de sécurité de l’ADN d’autoriser l’utilisation des citernes à membrane pour le transport de certaines matières.</w:t>
      </w:r>
    </w:p>
    <w:p w:rsidR="00B26D76" w:rsidRPr="00506358" w:rsidRDefault="00B26D76" w:rsidP="00B26D76">
      <w:pPr>
        <w:pStyle w:val="SingleTxtG"/>
      </w:pPr>
      <w:r>
        <w:t>5.</w:t>
      </w:r>
      <w:r>
        <w:tab/>
        <w:t xml:space="preserve">Le représentant de </w:t>
      </w:r>
      <w:r w:rsidR="00917324">
        <w:t xml:space="preserve">la </w:t>
      </w:r>
      <w:r>
        <w:t xml:space="preserve">France a déclaré que le GNL était l’une des rares solutions viables pour la réduction des émissions de soufre imputables au secteur des transports maritimes (voir Directive (UE) 2016/802). Le GNL joue un rôle essentiel dans la réalisation des objectifs en matière d’énergie de substitution car il est très facile </w:t>
      </w:r>
      <w:r w:rsidRPr="00B71834">
        <w:t>de s</w:t>
      </w:r>
      <w:r>
        <w:t>’</w:t>
      </w:r>
      <w:r w:rsidRPr="00B71834">
        <w:t>en procurer.</w:t>
      </w:r>
    </w:p>
    <w:p w:rsidR="00B26D76" w:rsidRPr="00506358" w:rsidRDefault="00B26D76" w:rsidP="00B26D76">
      <w:pPr>
        <w:pStyle w:val="SingleTxtG"/>
      </w:pPr>
      <w:r>
        <w:t>6.</w:t>
      </w:r>
      <w:r>
        <w:tab/>
        <w:t xml:space="preserve">Toutefois, étant donné que l’utilisation des cuves à membrane pourrait entraîner une croissance du transport de certaines matières par bateau-citerne, laquelle pourrait avoir des effets sur le niveau de risque sur les voies de navigation intérieure européennes, le </w:t>
      </w:r>
      <w:r w:rsidR="00E162A1">
        <w:t>g</w:t>
      </w:r>
      <w:r>
        <w:t>roupe de travail a examiné un certain nombre de documents et de brochures publiés par de</w:t>
      </w:r>
      <w:r w:rsidRPr="005426A9">
        <w:t xml:space="preserve"> grandes compagnies pétrolières</w:t>
      </w:r>
      <w:r>
        <w:t xml:space="preserve">, qui contiennent des </w:t>
      </w:r>
      <w:r w:rsidRPr="0047162E">
        <w:t>informations sur l’évolution et les tendances prévisibles concernant le transport du GNL et l’utilisation des cuves à membrane</w:t>
      </w:r>
      <w:r w:rsidRPr="0047162E">
        <w:rPr>
          <w:rStyle w:val="FootnoteReference"/>
        </w:rPr>
        <w:footnoteReference w:id="4"/>
      </w:r>
      <w:r w:rsidRPr="0047162E">
        <w:t xml:space="preserve">. Selon ces documents, on peut s’attendre à une croissance régulière de la </w:t>
      </w:r>
      <w:r w:rsidRPr="0047162E">
        <w:lastRenderedPageBreak/>
        <w:t>demande de GNL, notamment pour la production d’énergie pour la consommation des ménages et l’industrie.</w:t>
      </w:r>
    </w:p>
    <w:p w:rsidR="00B26D76" w:rsidRPr="00506358" w:rsidRDefault="00B26D76" w:rsidP="0047162E">
      <w:pPr>
        <w:pStyle w:val="SingleTxtG"/>
        <w:keepNext/>
        <w:keepLines/>
      </w:pPr>
      <w:r>
        <w:t>7.</w:t>
      </w:r>
      <w:r>
        <w:tab/>
        <w:t xml:space="preserve">Les participants à la réunion ont estimé que les chiffres examinés n’obligeaient pas le Comité de sécurité de l’ADN à adopter des amendements à ses prochaines réunions, mais qu’ils encourageaient et justifiaient une adaptation du Règlement annexé à l’ADN pour que la technique des cuves à membrane soit prise en compte afin d’accompagner la croissance </w:t>
      </w:r>
      <w:r w:rsidRPr="005426A9">
        <w:t xml:space="preserve">prévue </w:t>
      </w:r>
      <w:r>
        <w:t>du commerce du GNL et des produits similaires.</w:t>
      </w:r>
    </w:p>
    <w:p w:rsidR="00B26D76" w:rsidRPr="00506358" w:rsidRDefault="00B26D76" w:rsidP="00B26D76">
      <w:pPr>
        <w:pStyle w:val="SingleTxtG"/>
      </w:pPr>
      <w:r>
        <w:t>8.</w:t>
      </w:r>
      <w:r>
        <w:tab/>
        <w:t>Enfin, les participants ont été priés de rassembler des informations supplémentaires sur l’évolution du GNL et des cuves à membrane concernant davantage la navigation et l’environnement et, s’ils le souhaitaient, de présenter ces informations lors de la prochaine</w:t>
      </w:r>
      <w:r w:rsidR="0047162E">
        <w:t xml:space="preserve"> réunion du </w:t>
      </w:r>
      <w:r w:rsidR="00A70CD7">
        <w:t>G</w:t>
      </w:r>
      <w:r w:rsidR="0047162E">
        <w:t>roupe de travail.</w:t>
      </w:r>
    </w:p>
    <w:p w:rsidR="00B26D76" w:rsidRPr="00506358" w:rsidRDefault="00B26D76" w:rsidP="0047162E">
      <w:pPr>
        <w:pStyle w:val="HChG"/>
      </w:pPr>
      <w:r>
        <w:tab/>
      </w:r>
      <w:r>
        <w:tab/>
        <w:t xml:space="preserve">Liste des matières pouvant être transportées dans des cuves </w:t>
      </w:r>
      <w:r w:rsidR="0047162E">
        <w:br/>
      </w:r>
      <w:r>
        <w:t>à membrane</w:t>
      </w:r>
    </w:p>
    <w:p w:rsidR="00B26D76" w:rsidRPr="00506358" w:rsidRDefault="00B26D76" w:rsidP="00B26D76">
      <w:pPr>
        <w:pStyle w:val="SingleTxtG"/>
      </w:pPr>
      <w:r>
        <w:t>9.</w:t>
      </w:r>
      <w:r>
        <w:tab/>
        <w:t xml:space="preserve">Le </w:t>
      </w:r>
      <w:r w:rsidR="00A70CD7">
        <w:t>G</w:t>
      </w:r>
      <w:r>
        <w:t xml:space="preserve">roupe de travail s’est longuement penché sur la méthode qui conviendrait le mieux pour déterminer la liste des matières pouvant être transportées dans des cuves à membrane. Après un long débat, il a été décidé de s’appuyer sur le Recueil international de règles relatives à la construction et à l’équipement des navires transportant des gaz liquéfiés en vrac (Recueil IGC) pour déterminer quelles matières figurant dans le </w:t>
      </w:r>
      <w:r w:rsidR="0047162E">
        <w:t>tableau </w:t>
      </w:r>
      <w:r>
        <w:t>C de l’ADN pouvaient être transportées de cette manière. Cette décision a été prise parce qu’on trouve au</w:t>
      </w:r>
      <w:r w:rsidR="0047162E">
        <w:t xml:space="preserve"> chapitre </w:t>
      </w:r>
      <w:r>
        <w:t>19 du Recueil IGC une liste de matières dont la plupart sont adaptées au transport dans des cuves à membrane. Cette liste établie par une autorité publique internationale s’est également révélée convenir pour le secteur des transports maritimes</w:t>
      </w:r>
      <w:r w:rsidR="00003382">
        <w:t> </w:t>
      </w:r>
      <w:r>
        <w:t>: depuis de nombreuses années, ces produits sont en effet transportés en toute sécurité dans des cuves à membrane sur des navires de mer.</w:t>
      </w:r>
    </w:p>
    <w:p w:rsidR="00B26D76" w:rsidRPr="00506358" w:rsidRDefault="00B26D76" w:rsidP="00B26D76">
      <w:pPr>
        <w:pStyle w:val="SingleTxtG"/>
      </w:pPr>
      <w:r>
        <w:t>10.</w:t>
      </w:r>
      <w:r>
        <w:tab/>
        <w:t xml:space="preserve"> La liste des matières énumérées au</w:t>
      </w:r>
      <w:r w:rsidR="0047162E">
        <w:t xml:space="preserve"> chapitre </w:t>
      </w:r>
      <w:r>
        <w:t>19 du Recueil IGC convenant au transport dans des cuves à membrane selon ledit recueil a été comparée</w:t>
      </w:r>
      <w:r w:rsidR="0047162E">
        <w:t xml:space="preserve"> aux tableaux </w:t>
      </w:r>
      <w:r>
        <w:t>A et C de l’ADN. Seules les matières dont le transport en bateau-citerne est a</w:t>
      </w:r>
      <w:r w:rsidR="0047162E">
        <w:t>utorisé conformément au Tableau </w:t>
      </w:r>
      <w:r>
        <w:t>A et qui doivent être transportées da</w:t>
      </w:r>
      <w:r w:rsidR="0047162E">
        <w:t>ns des bateaux citernes de type </w:t>
      </w:r>
      <w:r>
        <w:t>G.1.1 conformément au tableau</w:t>
      </w:r>
      <w:r w:rsidR="0047162E">
        <w:t> </w:t>
      </w:r>
      <w:r>
        <w:t xml:space="preserve">C ont été sélectionnées pour la liste des matières pouvant être transportées dans des cuves à membrane. Le dernier critère a été choisi parce que le Groupe de travail s’est mis d’accord sur un point essentiel, à savoir le fait que l’on doit considérer </w:t>
      </w:r>
      <w:r w:rsidRPr="009219F0">
        <w:t>la cuve à membrane fermée</w:t>
      </w:r>
      <w:r>
        <w:t xml:space="preserve"> </w:t>
      </w:r>
      <w:r w:rsidRPr="0047162E">
        <w:t>comme un substitut</w:t>
      </w:r>
      <w:r>
        <w:t xml:space="preserve"> aux </w:t>
      </w:r>
      <w:r w:rsidRPr="008739A6">
        <w:t>citerne</w:t>
      </w:r>
      <w:r>
        <w:t>s sous pression indépendantes et qu’elle ne saurait en aucun cas les remplacer</w:t>
      </w:r>
      <w:r w:rsidR="0047162E">
        <w:t> </w:t>
      </w:r>
      <w:r>
        <w:t>:</w:t>
      </w:r>
    </w:p>
    <w:p w:rsidR="00B26D76" w:rsidRPr="00056DA6" w:rsidRDefault="0047162E" w:rsidP="0047162E">
      <w:pPr>
        <w:pStyle w:val="Bullet1G"/>
        <w:rPr>
          <w:lang w:val="es-ES"/>
        </w:rPr>
      </w:pPr>
      <w:r>
        <w:rPr>
          <w:lang w:val="es-ES"/>
        </w:rPr>
        <w:t>N</w:t>
      </w:r>
      <w:r w:rsidRPr="0047162E">
        <w:rPr>
          <w:vertAlign w:val="superscript"/>
          <w:lang w:val="es-ES"/>
        </w:rPr>
        <w:t>o</w:t>
      </w:r>
      <w:r>
        <w:rPr>
          <w:lang w:val="es-ES"/>
        </w:rPr>
        <w:t> </w:t>
      </w:r>
      <w:r w:rsidR="00B26D76" w:rsidRPr="00056DA6">
        <w:rPr>
          <w:lang w:val="es-ES"/>
        </w:rPr>
        <w:t>ONU 1005</w:t>
      </w:r>
      <w:r w:rsidR="00B26D76" w:rsidRPr="00056DA6">
        <w:rPr>
          <w:lang w:val="es-ES"/>
        </w:rPr>
        <w:tab/>
        <w:t>AMMONIAC ANHYDRE</w:t>
      </w:r>
    </w:p>
    <w:p w:rsidR="00B26D76" w:rsidRPr="00056DA6" w:rsidRDefault="00B26D76" w:rsidP="0047162E">
      <w:pPr>
        <w:pStyle w:val="Bullet1G"/>
        <w:rPr>
          <w:lang w:val="es-ES"/>
        </w:rPr>
      </w:pPr>
      <w:r w:rsidRPr="00056DA6">
        <w:rPr>
          <w:lang w:val="es-ES"/>
        </w:rPr>
        <w:t>N</w:t>
      </w:r>
      <w:r w:rsidRPr="0047162E">
        <w:rPr>
          <w:vertAlign w:val="superscript"/>
          <w:lang w:val="es-ES"/>
        </w:rPr>
        <w:t>o</w:t>
      </w:r>
      <w:r w:rsidR="0047162E">
        <w:rPr>
          <w:lang w:val="es-ES"/>
        </w:rPr>
        <w:t> </w:t>
      </w:r>
      <w:r w:rsidRPr="00056DA6">
        <w:rPr>
          <w:lang w:val="es-ES"/>
        </w:rPr>
        <w:t>ONU 1010</w:t>
      </w:r>
      <w:r w:rsidRPr="00056DA6">
        <w:rPr>
          <w:lang w:val="es-ES"/>
        </w:rPr>
        <w:tab/>
        <w:t>BUTADIÈNES (quatre rubriques)</w:t>
      </w:r>
    </w:p>
    <w:p w:rsidR="00B26D76" w:rsidRPr="00506358" w:rsidRDefault="00B26D76" w:rsidP="0047162E">
      <w:pPr>
        <w:pStyle w:val="Bullet1G"/>
      </w:pPr>
      <w:r w:rsidRPr="0047162E">
        <w:t>N</w:t>
      </w:r>
      <w:r w:rsidRPr="0047162E">
        <w:rPr>
          <w:vertAlign w:val="superscript"/>
        </w:rPr>
        <w:t>o</w:t>
      </w:r>
      <w:r w:rsidR="0047162E">
        <w:t> </w:t>
      </w:r>
      <w:r>
        <w:t>ONU 1011</w:t>
      </w:r>
      <w:r>
        <w:tab/>
        <w:t>BUTANE (deux rubriques)</w:t>
      </w:r>
    </w:p>
    <w:p w:rsidR="00B26D76" w:rsidRPr="00FF2DB1" w:rsidRDefault="00B26D76" w:rsidP="0047162E">
      <w:pPr>
        <w:pStyle w:val="Bullet1G"/>
      </w:pPr>
      <w:r w:rsidRPr="0047162E">
        <w:rPr>
          <w:lang w:val="es-ES"/>
        </w:rPr>
        <w:t>N</w:t>
      </w:r>
      <w:r w:rsidRPr="0047162E">
        <w:rPr>
          <w:vertAlign w:val="superscript"/>
          <w:lang w:val="es-ES"/>
        </w:rPr>
        <w:t>o</w:t>
      </w:r>
      <w:r w:rsidR="0047162E">
        <w:t> </w:t>
      </w:r>
      <w:r>
        <w:t>ONU 1012</w:t>
      </w:r>
      <w:r>
        <w:tab/>
        <w:t>BUTYLÈNE-1</w:t>
      </w:r>
    </w:p>
    <w:p w:rsidR="00B26D76" w:rsidRPr="00506358" w:rsidRDefault="0047162E" w:rsidP="0047162E">
      <w:pPr>
        <w:pStyle w:val="Bullet1G"/>
        <w:ind w:left="3402" w:hanging="1871"/>
      </w:pPr>
      <w:r>
        <w:t>N</w:t>
      </w:r>
      <w:r w:rsidRPr="0047162E">
        <w:rPr>
          <w:vertAlign w:val="superscript"/>
        </w:rPr>
        <w:t>o</w:t>
      </w:r>
      <w:r>
        <w:t> </w:t>
      </w:r>
      <w:r w:rsidR="00B26D76">
        <w:t>ONU 1020</w:t>
      </w:r>
      <w:r w:rsidR="00B26D76">
        <w:tab/>
        <w:t>CHLOROPENTAFLUOROÉTHANE (GAZ RÉFRIGÉRANT R 115)</w:t>
      </w:r>
    </w:p>
    <w:p w:rsidR="00B26D76" w:rsidRPr="00506358" w:rsidRDefault="0047162E" w:rsidP="0047162E">
      <w:pPr>
        <w:pStyle w:val="Bullet1G"/>
      </w:pPr>
      <w:r>
        <w:t>N</w:t>
      </w:r>
      <w:r w:rsidRPr="0047162E">
        <w:rPr>
          <w:vertAlign w:val="superscript"/>
        </w:rPr>
        <w:t>o</w:t>
      </w:r>
      <w:r>
        <w:t> </w:t>
      </w:r>
      <w:r w:rsidR="00B26D76">
        <w:t>ONU 1030</w:t>
      </w:r>
      <w:r w:rsidR="00B26D76">
        <w:tab/>
        <w:t>DIFLUORO-1,1 ÉTHANE (GAZ RÉFRIGÉRANT R 152a)</w:t>
      </w:r>
    </w:p>
    <w:p w:rsidR="00B26D76" w:rsidRPr="00FF2DB1" w:rsidRDefault="0047162E" w:rsidP="0047162E">
      <w:pPr>
        <w:pStyle w:val="Bullet1G"/>
      </w:pPr>
      <w:r>
        <w:t>N</w:t>
      </w:r>
      <w:r w:rsidRPr="0047162E">
        <w:rPr>
          <w:vertAlign w:val="superscript"/>
        </w:rPr>
        <w:t>o</w:t>
      </w:r>
      <w:r>
        <w:t> </w:t>
      </w:r>
      <w:r w:rsidR="00B26D76" w:rsidRPr="0047162E">
        <w:rPr>
          <w:lang w:val="es-ES"/>
        </w:rPr>
        <w:t>ONU</w:t>
      </w:r>
      <w:r w:rsidR="00B26D76">
        <w:t xml:space="preserve"> 1033</w:t>
      </w:r>
      <w:r w:rsidR="00B26D76">
        <w:tab/>
        <w:t>ÉTHER MÉTHYLIQUE</w:t>
      </w:r>
    </w:p>
    <w:p w:rsidR="00B26D76" w:rsidRPr="00FF2DB1" w:rsidRDefault="0047162E" w:rsidP="0047162E">
      <w:pPr>
        <w:pStyle w:val="Bullet1G"/>
      </w:pPr>
      <w:r>
        <w:t>N</w:t>
      </w:r>
      <w:r w:rsidRPr="0047162E">
        <w:rPr>
          <w:vertAlign w:val="superscript"/>
        </w:rPr>
        <w:t>o</w:t>
      </w:r>
      <w:r>
        <w:t> </w:t>
      </w:r>
      <w:r w:rsidR="00B26D76">
        <w:t>ONU 1038</w:t>
      </w:r>
      <w:r w:rsidR="00B26D76">
        <w:tab/>
        <w:t>ÉTHYLÈNE LIQUIDE RÉFRIGÉRÉ</w:t>
      </w:r>
    </w:p>
    <w:p w:rsidR="00B26D76" w:rsidRPr="00FF2DB1" w:rsidRDefault="0047162E" w:rsidP="0047162E">
      <w:pPr>
        <w:pStyle w:val="Bullet1G"/>
      </w:pPr>
      <w:r>
        <w:t>N</w:t>
      </w:r>
      <w:r w:rsidRPr="0047162E">
        <w:rPr>
          <w:vertAlign w:val="superscript"/>
        </w:rPr>
        <w:t>o</w:t>
      </w:r>
      <w:r>
        <w:t> </w:t>
      </w:r>
      <w:r w:rsidR="00B26D76">
        <w:t>ONU 1055</w:t>
      </w:r>
      <w:r w:rsidR="00B26D76">
        <w:tab/>
        <w:t>ISOBUTYLÈNE</w:t>
      </w:r>
    </w:p>
    <w:p w:rsidR="00B26D76" w:rsidRPr="00506358" w:rsidRDefault="0047162E" w:rsidP="0047162E">
      <w:pPr>
        <w:pStyle w:val="Bullet1G"/>
      </w:pPr>
      <w:r>
        <w:t>N</w:t>
      </w:r>
      <w:r w:rsidRPr="0047162E">
        <w:rPr>
          <w:vertAlign w:val="superscript"/>
        </w:rPr>
        <w:t>o</w:t>
      </w:r>
      <w:r>
        <w:t> </w:t>
      </w:r>
      <w:r w:rsidR="00B26D76" w:rsidRPr="0047162E">
        <w:t>ONU</w:t>
      </w:r>
      <w:r w:rsidR="00B26D76">
        <w:t xml:space="preserve"> 1063</w:t>
      </w:r>
      <w:r w:rsidR="00B26D76">
        <w:tab/>
        <w:t>CHLORURE DE MÉTHYLE (GAZ RÉFRIGÉRANT R 40)</w:t>
      </w:r>
    </w:p>
    <w:p w:rsidR="00B26D76" w:rsidRPr="00FF2DB1" w:rsidRDefault="0047162E" w:rsidP="0047162E">
      <w:pPr>
        <w:pStyle w:val="Bullet1G"/>
      </w:pPr>
      <w:r>
        <w:t>N</w:t>
      </w:r>
      <w:r w:rsidRPr="0047162E">
        <w:rPr>
          <w:vertAlign w:val="superscript"/>
        </w:rPr>
        <w:t>o</w:t>
      </w:r>
      <w:r>
        <w:t> </w:t>
      </w:r>
      <w:r w:rsidR="00B26D76" w:rsidRPr="0047162E">
        <w:rPr>
          <w:lang w:val="es-ES"/>
        </w:rPr>
        <w:t>ONU</w:t>
      </w:r>
      <w:r w:rsidR="00B26D76">
        <w:t xml:space="preserve"> 1077</w:t>
      </w:r>
      <w:r w:rsidR="00B26D76">
        <w:tab/>
        <w:t>PROPYLÈNE</w:t>
      </w:r>
    </w:p>
    <w:p w:rsidR="00B26D76" w:rsidRDefault="0047162E" w:rsidP="0047162E">
      <w:pPr>
        <w:pStyle w:val="Bullet1G"/>
      </w:pPr>
      <w:r>
        <w:t>N</w:t>
      </w:r>
      <w:r w:rsidRPr="0047162E">
        <w:rPr>
          <w:vertAlign w:val="superscript"/>
        </w:rPr>
        <w:t>o</w:t>
      </w:r>
      <w:r>
        <w:t> </w:t>
      </w:r>
      <w:r w:rsidR="00B26D76" w:rsidRPr="0047162E">
        <w:t>ONU</w:t>
      </w:r>
      <w:r w:rsidR="00B26D76">
        <w:t xml:space="preserve"> 1086</w:t>
      </w:r>
      <w:r w:rsidR="00B26D76">
        <w:tab/>
        <w:t>CHLORURE DE VINYLE STABILISÉ</w:t>
      </w:r>
    </w:p>
    <w:p w:rsidR="00B26D76" w:rsidRDefault="00B26D76" w:rsidP="001B3C38">
      <w:pPr>
        <w:pStyle w:val="Bullet1G"/>
        <w:ind w:left="3402" w:hanging="1871"/>
      </w:pPr>
      <w:r>
        <w:t>N</w:t>
      </w:r>
      <w:r w:rsidRPr="0047162E">
        <w:rPr>
          <w:vertAlign w:val="superscript"/>
        </w:rPr>
        <w:t>o</w:t>
      </w:r>
      <w:r w:rsidR="0047162E">
        <w:t> </w:t>
      </w:r>
      <w:r>
        <w:t>ONU 1965</w:t>
      </w:r>
      <w:r>
        <w:tab/>
        <w:t>HYDROCARBURES GAZEUX EN MÉLANGE LIQUÉFIÉ, N.S.A. (neuf rubriques)</w:t>
      </w:r>
    </w:p>
    <w:p w:rsidR="00B26D76" w:rsidRPr="005426A9" w:rsidRDefault="00010FB7" w:rsidP="001B3C38">
      <w:pPr>
        <w:pStyle w:val="Bullet1G"/>
        <w:ind w:left="3402" w:hanging="1871"/>
      </w:pPr>
      <w:r>
        <w:lastRenderedPageBreak/>
        <w:t>N</w:t>
      </w:r>
      <w:r w:rsidRPr="00010FB7">
        <w:rPr>
          <w:vertAlign w:val="superscript"/>
        </w:rPr>
        <w:t>o</w:t>
      </w:r>
      <w:r>
        <w:t> </w:t>
      </w:r>
      <w:r w:rsidR="00B26D76" w:rsidRPr="001B3C38">
        <w:t>ONU</w:t>
      </w:r>
      <w:r w:rsidR="00B26D76">
        <w:t xml:space="preserve"> 1972</w:t>
      </w:r>
      <w:r w:rsidR="00B26D76">
        <w:tab/>
        <w:t>MÉTHANE LIQU</w:t>
      </w:r>
      <w:r w:rsidR="001B3C38">
        <w:t>IDE RÉFRIGÉRÉ ou GAZ NATUREL (à </w:t>
      </w:r>
      <w:r w:rsidR="00B26D76">
        <w:t>haute teneur en méthane) LIQUIDE RÉFRIGÉRÉ</w:t>
      </w:r>
    </w:p>
    <w:p w:rsidR="00B26D76" w:rsidRPr="00FF2DB1" w:rsidRDefault="00010FB7" w:rsidP="0047162E">
      <w:pPr>
        <w:pStyle w:val="Bullet1G"/>
      </w:pPr>
      <w:r>
        <w:t>N</w:t>
      </w:r>
      <w:r w:rsidRPr="00010FB7">
        <w:rPr>
          <w:vertAlign w:val="superscript"/>
        </w:rPr>
        <w:t>o</w:t>
      </w:r>
      <w:r>
        <w:t> </w:t>
      </w:r>
      <w:r w:rsidR="00B26D76" w:rsidRPr="0047162E">
        <w:rPr>
          <w:lang w:val="es-ES"/>
        </w:rPr>
        <w:t>ONU</w:t>
      </w:r>
      <w:r w:rsidR="00B26D76">
        <w:t xml:space="preserve"> 1978</w:t>
      </w:r>
      <w:r w:rsidR="00B26D76">
        <w:tab/>
        <w:t>PROPANE</w:t>
      </w:r>
    </w:p>
    <w:p w:rsidR="00B26D76" w:rsidRPr="00506358" w:rsidRDefault="00010FB7" w:rsidP="0047162E">
      <w:pPr>
        <w:pStyle w:val="Bullet1G"/>
      </w:pPr>
      <w:r>
        <w:t>N</w:t>
      </w:r>
      <w:r w:rsidRPr="00010FB7">
        <w:rPr>
          <w:vertAlign w:val="superscript"/>
        </w:rPr>
        <w:t>o</w:t>
      </w:r>
      <w:r>
        <w:t> </w:t>
      </w:r>
      <w:r w:rsidR="00B26D76" w:rsidRPr="00010FB7">
        <w:t>ONU</w:t>
      </w:r>
      <w:r w:rsidR="00B26D76">
        <w:t xml:space="preserve"> 2187</w:t>
      </w:r>
      <w:r w:rsidR="00B26D76">
        <w:tab/>
        <w:t>DIOXYDE DE CARBONE LIQUIDE RÉFRIGÉRÉ</w:t>
      </w:r>
    </w:p>
    <w:p w:rsidR="002A0B57" w:rsidRDefault="00B26D76" w:rsidP="00B26D76">
      <w:pPr>
        <w:pStyle w:val="SingleTxtG"/>
      </w:pPr>
      <w:r>
        <w:t>11.</w:t>
      </w:r>
      <w:r>
        <w:tab/>
        <w:t>Autres gaz figurant dans la liste d</w:t>
      </w:r>
      <w:r w:rsidR="00CF0DEE">
        <w:t>u chapitre </w:t>
      </w:r>
      <w:r>
        <w:t xml:space="preserve">19 du Recueil IGC </w:t>
      </w:r>
      <w:r w:rsidRPr="002512C7">
        <w:t>pouvant être transportés dans des cuves à membrane</w:t>
      </w:r>
      <w:r w:rsidR="00CF0DEE">
        <w:t>, en lien avec le tableau C </w:t>
      </w:r>
      <w: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799"/>
        <w:gridCol w:w="1183"/>
        <w:gridCol w:w="2585"/>
        <w:gridCol w:w="2937"/>
      </w:tblGrid>
      <w:tr w:rsidR="00DA0F9C" w:rsidRPr="00DA0F9C" w:rsidTr="00402FD9">
        <w:trPr>
          <w:tblHeader/>
        </w:trPr>
        <w:tc>
          <w:tcPr>
            <w:tcW w:w="1799" w:type="dxa"/>
            <w:tcBorders>
              <w:bottom w:val="single" w:sz="4" w:space="0" w:color="auto"/>
              <w:right w:val="single" w:sz="4" w:space="0" w:color="auto"/>
            </w:tcBorders>
            <w:shd w:val="clear" w:color="auto" w:fill="auto"/>
            <w:vAlign w:val="bottom"/>
          </w:tcPr>
          <w:p w:rsidR="00DA0F9C" w:rsidRPr="00DA0F9C" w:rsidRDefault="00DA0F9C" w:rsidP="00DA0F9C">
            <w:pPr>
              <w:spacing w:before="80" w:after="80" w:line="200" w:lineRule="exact"/>
              <w:ind w:left="57" w:right="57"/>
              <w:rPr>
                <w:b/>
                <w:iCs/>
              </w:rPr>
            </w:pPr>
            <w:r w:rsidRPr="00DA0F9C">
              <w:rPr>
                <w:b/>
              </w:rPr>
              <w:t>Recueil IGC</w:t>
            </w:r>
          </w:p>
          <w:p w:rsidR="00DA0F9C" w:rsidRPr="00DA0F9C" w:rsidRDefault="00DA0F9C" w:rsidP="00DA0F9C">
            <w:pPr>
              <w:spacing w:before="80" w:after="80" w:line="200" w:lineRule="exact"/>
              <w:ind w:left="57" w:right="57"/>
              <w:rPr>
                <w:b/>
              </w:rPr>
            </w:pPr>
            <w:r w:rsidRPr="00DA0F9C">
              <w:rPr>
                <w:b/>
              </w:rPr>
              <w:t>Chapitre 19</w:t>
            </w:r>
          </w:p>
        </w:tc>
        <w:tc>
          <w:tcPr>
            <w:tcW w:w="6705" w:type="dxa"/>
            <w:gridSpan w:val="3"/>
            <w:tcBorders>
              <w:left w:val="single" w:sz="4" w:space="0" w:color="auto"/>
              <w:bottom w:val="single" w:sz="4" w:space="0" w:color="auto"/>
            </w:tcBorders>
            <w:shd w:val="clear" w:color="auto" w:fill="auto"/>
            <w:vAlign w:val="center"/>
          </w:tcPr>
          <w:p w:rsidR="00DA0F9C" w:rsidRPr="00DA0F9C" w:rsidRDefault="00DA0F9C" w:rsidP="00DA0F9C">
            <w:pPr>
              <w:spacing w:before="80" w:after="80" w:line="200" w:lineRule="exact"/>
              <w:ind w:left="57" w:right="57"/>
              <w:jc w:val="center"/>
              <w:rPr>
                <w:b/>
              </w:rPr>
            </w:pPr>
            <w:r w:rsidRPr="00DA0F9C">
              <w:rPr>
                <w:b/>
              </w:rPr>
              <w:t>ADN</w:t>
            </w:r>
          </w:p>
        </w:tc>
      </w:tr>
      <w:tr w:rsidR="00DA0F9C" w:rsidRPr="00402FD9" w:rsidTr="00561855">
        <w:trPr>
          <w:tblHeader/>
        </w:trPr>
        <w:tc>
          <w:tcPr>
            <w:tcW w:w="1799" w:type="dxa"/>
            <w:tcBorders>
              <w:bottom w:val="single" w:sz="12" w:space="0" w:color="auto"/>
              <w:right w:val="single" w:sz="4" w:space="0" w:color="auto"/>
            </w:tcBorders>
            <w:shd w:val="clear" w:color="auto" w:fill="auto"/>
          </w:tcPr>
          <w:p w:rsidR="00DA0F9C" w:rsidRPr="00402FD9" w:rsidRDefault="00DA0F9C" w:rsidP="00DA0F9C">
            <w:pPr>
              <w:spacing w:before="40" w:after="120"/>
              <w:ind w:left="57" w:right="57"/>
              <w:rPr>
                <w:sz w:val="16"/>
                <w:szCs w:val="16"/>
              </w:rPr>
            </w:pPr>
          </w:p>
        </w:tc>
        <w:tc>
          <w:tcPr>
            <w:tcW w:w="1183" w:type="dxa"/>
            <w:tcBorders>
              <w:left w:val="single" w:sz="4" w:space="0" w:color="auto"/>
              <w:bottom w:val="single" w:sz="12" w:space="0" w:color="auto"/>
            </w:tcBorders>
            <w:shd w:val="clear" w:color="auto" w:fill="auto"/>
          </w:tcPr>
          <w:p w:rsidR="00DA0F9C" w:rsidRPr="00402FD9" w:rsidRDefault="00DA0F9C" w:rsidP="00DA0F9C">
            <w:pPr>
              <w:spacing w:before="40" w:after="120"/>
              <w:ind w:left="57" w:right="57"/>
              <w:rPr>
                <w:i/>
                <w:sz w:val="16"/>
                <w:szCs w:val="16"/>
              </w:rPr>
            </w:pPr>
            <w:r w:rsidRPr="00402FD9">
              <w:rPr>
                <w:i/>
                <w:iCs/>
                <w:sz w:val="16"/>
                <w:szCs w:val="16"/>
              </w:rPr>
              <w:t>Numéro ONU</w:t>
            </w:r>
          </w:p>
        </w:tc>
        <w:tc>
          <w:tcPr>
            <w:tcW w:w="2585" w:type="dxa"/>
            <w:tcBorders>
              <w:bottom w:val="single" w:sz="12" w:space="0" w:color="auto"/>
            </w:tcBorders>
            <w:shd w:val="clear" w:color="auto" w:fill="auto"/>
          </w:tcPr>
          <w:p w:rsidR="00DA0F9C" w:rsidRPr="00402FD9" w:rsidRDefault="00DA0F9C" w:rsidP="00DA0F9C">
            <w:pPr>
              <w:spacing w:before="40" w:after="120"/>
              <w:ind w:left="57" w:right="57"/>
              <w:rPr>
                <w:i/>
                <w:sz w:val="16"/>
                <w:szCs w:val="16"/>
              </w:rPr>
            </w:pPr>
            <w:r w:rsidRPr="00402FD9">
              <w:rPr>
                <w:i/>
                <w:iCs/>
                <w:sz w:val="16"/>
                <w:szCs w:val="16"/>
              </w:rPr>
              <w:t>Nom et description</w:t>
            </w:r>
          </w:p>
        </w:tc>
        <w:tc>
          <w:tcPr>
            <w:tcW w:w="2937" w:type="dxa"/>
            <w:tcBorders>
              <w:bottom w:val="single" w:sz="12" w:space="0" w:color="auto"/>
            </w:tcBorders>
            <w:shd w:val="clear" w:color="auto" w:fill="auto"/>
          </w:tcPr>
          <w:p w:rsidR="00DA0F9C" w:rsidRPr="00402FD9" w:rsidRDefault="00DA0F9C" w:rsidP="00DA0F9C">
            <w:pPr>
              <w:spacing w:before="40" w:after="120"/>
              <w:ind w:left="57" w:right="57"/>
              <w:rPr>
                <w:i/>
                <w:sz w:val="16"/>
                <w:szCs w:val="16"/>
              </w:rPr>
            </w:pPr>
            <w:r w:rsidRPr="00402FD9">
              <w:rPr>
                <w:i/>
                <w:iCs/>
                <w:sz w:val="16"/>
                <w:szCs w:val="16"/>
              </w:rPr>
              <w:t>Observations</w:t>
            </w:r>
          </w:p>
        </w:tc>
      </w:tr>
      <w:tr w:rsidR="00DA0F9C" w:rsidRPr="00DA0F9C" w:rsidTr="00561855">
        <w:tc>
          <w:tcPr>
            <w:tcW w:w="1799" w:type="dxa"/>
            <w:tcBorders>
              <w:top w:val="single" w:sz="12" w:space="0" w:color="auto"/>
              <w:right w:val="single" w:sz="4" w:space="0" w:color="auto"/>
            </w:tcBorders>
            <w:shd w:val="clear" w:color="auto" w:fill="auto"/>
          </w:tcPr>
          <w:p w:rsidR="00DA0F9C" w:rsidRPr="00DA0F9C" w:rsidRDefault="00DA0F9C" w:rsidP="00DA0F9C">
            <w:pPr>
              <w:spacing w:before="40" w:after="120"/>
              <w:ind w:left="57" w:right="57"/>
            </w:pPr>
            <w:r w:rsidRPr="00DA0F9C">
              <w:t>Acétaldéhyde</w:t>
            </w:r>
          </w:p>
        </w:tc>
        <w:tc>
          <w:tcPr>
            <w:tcW w:w="1183" w:type="dxa"/>
            <w:tcBorders>
              <w:top w:val="single" w:sz="12" w:space="0" w:color="auto"/>
              <w:left w:val="single" w:sz="4" w:space="0" w:color="auto"/>
            </w:tcBorders>
            <w:shd w:val="clear" w:color="auto" w:fill="auto"/>
          </w:tcPr>
          <w:p w:rsidR="00DA0F9C" w:rsidRPr="00DA0F9C" w:rsidRDefault="00DA0F9C" w:rsidP="00DA0F9C">
            <w:pPr>
              <w:spacing w:before="40" w:after="120"/>
              <w:ind w:left="57" w:right="57"/>
            </w:pPr>
            <w:r w:rsidRPr="00DA0F9C">
              <w:t>1089</w:t>
            </w:r>
          </w:p>
        </w:tc>
        <w:tc>
          <w:tcPr>
            <w:tcW w:w="2585" w:type="dxa"/>
            <w:tcBorders>
              <w:top w:val="single" w:sz="12" w:space="0" w:color="auto"/>
            </w:tcBorders>
            <w:shd w:val="clear" w:color="auto" w:fill="auto"/>
          </w:tcPr>
          <w:p w:rsidR="00DA0F9C" w:rsidRPr="00DA0F9C" w:rsidRDefault="00DA0F9C" w:rsidP="00DA0F9C">
            <w:pPr>
              <w:spacing w:before="40" w:after="120"/>
              <w:ind w:left="57" w:right="57"/>
            </w:pPr>
            <w:r w:rsidRPr="00DA0F9C">
              <w:t>ACÉTALDÉHYDE (éthanal)</w:t>
            </w:r>
          </w:p>
        </w:tc>
        <w:tc>
          <w:tcPr>
            <w:tcW w:w="2937" w:type="dxa"/>
            <w:tcBorders>
              <w:top w:val="single" w:sz="12" w:space="0" w:color="auto"/>
            </w:tcBorders>
            <w:shd w:val="clear" w:color="auto" w:fill="auto"/>
          </w:tcPr>
          <w:p w:rsidR="00DA0F9C" w:rsidRPr="00DA0F9C" w:rsidRDefault="00DA0F9C" w:rsidP="00DA0F9C">
            <w:pPr>
              <w:spacing w:before="40" w:after="120"/>
              <w:ind w:left="57" w:right="57"/>
            </w:pPr>
            <w:r w:rsidRPr="00DA0F9C">
              <w:t>Transp</w:t>
            </w:r>
            <w:r>
              <w:t>ort en bateaux-citernes du Type </w:t>
            </w:r>
            <w:r w:rsidRPr="00DA0F9C">
              <w:t>C</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Mélange butane/propane</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w:t>
            </w:r>
          </w:p>
        </w:tc>
        <w:tc>
          <w:tcPr>
            <w:tcW w:w="2585" w:type="dxa"/>
            <w:shd w:val="clear" w:color="auto" w:fill="auto"/>
          </w:tcPr>
          <w:p w:rsidR="00DA0F9C" w:rsidRPr="00DA0F9C" w:rsidRDefault="00DA0F9C" w:rsidP="00DA0F9C">
            <w:pPr>
              <w:spacing w:before="40" w:after="120"/>
              <w:ind w:left="57" w:right="57"/>
            </w:pPr>
            <w:r w:rsidRPr="00DA0F9C">
              <w:t>-</w:t>
            </w:r>
          </w:p>
        </w:tc>
        <w:tc>
          <w:tcPr>
            <w:tcW w:w="2937" w:type="dxa"/>
            <w:shd w:val="clear" w:color="auto" w:fill="auto"/>
          </w:tcPr>
          <w:p w:rsidR="00DA0F9C" w:rsidRPr="00DA0F9C" w:rsidRDefault="00DA0F9C" w:rsidP="00DA0F9C">
            <w:pPr>
              <w:spacing w:before="40" w:after="120"/>
              <w:ind w:left="57" w:right="57"/>
            </w:pPr>
            <w:r w:rsidRPr="00DA0F9C">
              <w:t xml:space="preserve">Non répertorié </w:t>
            </w:r>
            <w:r>
              <w:t>dans les tableaux </w:t>
            </w:r>
            <w:r w:rsidRPr="00DA0F9C">
              <w:t>A ou C de l’ADN</w:t>
            </w:r>
          </w:p>
          <w:p w:rsidR="00DA0F9C" w:rsidRPr="00DA0F9C" w:rsidRDefault="00DA0F9C" w:rsidP="00DA0F9C">
            <w:pPr>
              <w:spacing w:before="40" w:after="120"/>
              <w:ind w:left="57" w:right="57"/>
            </w:pPr>
            <w:r w:rsidRPr="00DA0F9C">
              <w:rPr>
                <w:spacing w:val="-3"/>
              </w:rPr>
              <w:t>À traiter au titre</w:t>
            </w:r>
            <w:r>
              <w:rPr>
                <w:spacing w:val="-3"/>
              </w:rPr>
              <w:t xml:space="preserve"> du chapitre </w:t>
            </w:r>
            <w:r w:rsidRPr="00DA0F9C">
              <w:rPr>
                <w:spacing w:val="-3"/>
              </w:rPr>
              <w:t>2.1</w:t>
            </w:r>
            <w:r w:rsidRPr="00DA0F9C">
              <w:t xml:space="preserve"> de l’ADN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Éther éthylique</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1155</w:t>
            </w:r>
          </w:p>
        </w:tc>
        <w:tc>
          <w:tcPr>
            <w:tcW w:w="2585" w:type="dxa"/>
            <w:shd w:val="clear" w:color="auto" w:fill="auto"/>
          </w:tcPr>
          <w:p w:rsidR="00DA0F9C" w:rsidRPr="00DA0F9C" w:rsidRDefault="00DA0F9C" w:rsidP="00DA0F9C">
            <w:pPr>
              <w:spacing w:before="40" w:after="120"/>
              <w:ind w:left="57" w:right="57"/>
            </w:pPr>
            <w:r w:rsidRPr="00DA0F9C">
              <w:t>ÉTHER ÉTHYLIQUE</w:t>
            </w:r>
          </w:p>
        </w:tc>
        <w:tc>
          <w:tcPr>
            <w:tcW w:w="2937" w:type="dxa"/>
            <w:shd w:val="clear" w:color="auto" w:fill="auto"/>
          </w:tcPr>
          <w:p w:rsidR="00DA0F9C" w:rsidRPr="00DA0F9C" w:rsidRDefault="00DA0F9C" w:rsidP="00DA0F9C">
            <w:pPr>
              <w:spacing w:before="40" w:after="120"/>
              <w:ind w:left="57" w:right="57"/>
            </w:pPr>
            <w:r w:rsidRPr="00DA0F9C">
              <w:t>Transp</w:t>
            </w:r>
            <w:r>
              <w:t>ort en bateaux-citernes du Type </w:t>
            </w:r>
            <w:r w:rsidRPr="00DA0F9C">
              <w:t>C</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Diméthylamine</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1160</w:t>
            </w:r>
          </w:p>
        </w:tc>
        <w:tc>
          <w:tcPr>
            <w:tcW w:w="2585" w:type="dxa"/>
            <w:shd w:val="clear" w:color="auto" w:fill="auto"/>
          </w:tcPr>
          <w:p w:rsidR="00DA0F9C" w:rsidRPr="00DA0F9C" w:rsidRDefault="00DA0F9C" w:rsidP="00DA0F9C">
            <w:pPr>
              <w:spacing w:before="40" w:after="120"/>
              <w:ind w:left="57" w:right="57"/>
            </w:pPr>
            <w:r w:rsidRPr="00DA0F9C">
              <w:t>DIMÉTHYLAMINE EN SOLUTION AQUEUSE</w:t>
            </w:r>
          </w:p>
        </w:tc>
        <w:tc>
          <w:tcPr>
            <w:tcW w:w="2937" w:type="dxa"/>
            <w:shd w:val="clear" w:color="auto" w:fill="auto"/>
          </w:tcPr>
          <w:p w:rsidR="00DA0F9C" w:rsidRPr="00DA0F9C" w:rsidRDefault="00DA0F9C" w:rsidP="00DA0F9C">
            <w:pPr>
              <w:spacing w:before="40" w:after="120"/>
              <w:ind w:left="57" w:right="57"/>
            </w:pPr>
            <w:r w:rsidRPr="00DA0F9C">
              <w:t>Transp</w:t>
            </w:r>
            <w:r>
              <w:t>ort en bateaux-citernes du Type </w:t>
            </w:r>
            <w:r w:rsidRPr="00DA0F9C">
              <w:t>C</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Éthane</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1035</w:t>
            </w:r>
          </w:p>
        </w:tc>
        <w:tc>
          <w:tcPr>
            <w:tcW w:w="2585" w:type="dxa"/>
            <w:shd w:val="clear" w:color="auto" w:fill="auto"/>
          </w:tcPr>
          <w:p w:rsidR="00DA0F9C" w:rsidRPr="00DA0F9C" w:rsidRDefault="00DA0F9C" w:rsidP="00DA0F9C">
            <w:pPr>
              <w:spacing w:before="40" w:after="120"/>
              <w:ind w:left="57" w:right="57"/>
            </w:pPr>
            <w:r w:rsidRPr="00DA0F9C">
              <w:t>ÉTHANE</w:t>
            </w:r>
          </w:p>
        </w:tc>
        <w:tc>
          <w:tcPr>
            <w:tcW w:w="2937" w:type="dxa"/>
            <w:shd w:val="clear" w:color="auto" w:fill="auto"/>
          </w:tcPr>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Chlorure d’éthyle</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1037</w:t>
            </w:r>
          </w:p>
        </w:tc>
        <w:tc>
          <w:tcPr>
            <w:tcW w:w="2585" w:type="dxa"/>
            <w:shd w:val="clear" w:color="auto" w:fill="auto"/>
          </w:tcPr>
          <w:p w:rsidR="00DA0F9C" w:rsidRPr="00DA0F9C" w:rsidRDefault="00DA0F9C" w:rsidP="00DA0F9C">
            <w:pPr>
              <w:spacing w:before="40" w:after="120"/>
              <w:ind w:left="57" w:right="57"/>
              <w:rPr>
                <w:rFonts w:eastAsia="MS Mincho"/>
              </w:rPr>
            </w:pPr>
            <w:r w:rsidRPr="00DA0F9C">
              <w:t>CHLORURE D’ÉTHYLE</w:t>
            </w:r>
          </w:p>
        </w:tc>
        <w:tc>
          <w:tcPr>
            <w:tcW w:w="2937" w:type="dxa"/>
            <w:shd w:val="clear" w:color="auto" w:fill="auto"/>
          </w:tcPr>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 xml:space="preserve">Mélanges oxyde d’éthylène </w:t>
            </w:r>
            <w:r>
              <w:t>−</w:t>
            </w:r>
            <w:r w:rsidRPr="00DA0F9C">
              <w:t xml:space="preserve"> oxyde de propylène, le contenu en oxyde d’éthylèn</w:t>
            </w:r>
            <w:r>
              <w:t>e ne constituant pas plus de 30 </w:t>
            </w:r>
            <w:r w:rsidRPr="00DA0F9C">
              <w:t>% en</w:t>
            </w:r>
            <w:r>
              <w:t> </w:t>
            </w:r>
            <w:r w:rsidRPr="00DA0F9C">
              <w:t>poids</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2983</w:t>
            </w:r>
          </w:p>
        </w:tc>
        <w:tc>
          <w:tcPr>
            <w:tcW w:w="2585" w:type="dxa"/>
            <w:shd w:val="clear" w:color="auto" w:fill="auto"/>
          </w:tcPr>
          <w:p w:rsidR="00DA0F9C" w:rsidRPr="00DA0F9C" w:rsidRDefault="00DA0F9C" w:rsidP="00743C99">
            <w:pPr>
              <w:spacing w:before="40" w:after="120"/>
              <w:ind w:left="57" w:right="57"/>
              <w:rPr>
                <w:rFonts w:eastAsia="MS Mincho"/>
              </w:rPr>
            </w:pPr>
            <w:r w:rsidRPr="00DA0F9C">
              <w:t>OXYDE D’</w:t>
            </w:r>
            <w:r>
              <w:t>ÉTHYLÈNE ET</w:t>
            </w:r>
            <w:r w:rsidR="00743C99">
              <w:t xml:space="preserve"> </w:t>
            </w:r>
            <w:r>
              <w:t>OXYDE DE PROPYLÈNE EN</w:t>
            </w:r>
            <w:r w:rsidR="00743C99">
              <w:t xml:space="preserve"> MÉLANGE contenant au </w:t>
            </w:r>
            <w:r w:rsidRPr="00DA0F9C">
              <w:t>plus 30</w:t>
            </w:r>
            <w:r>
              <w:t> </w:t>
            </w:r>
            <w:r w:rsidRPr="00DA0F9C">
              <w:t>% d’oxyde d’éthylène</w:t>
            </w:r>
          </w:p>
        </w:tc>
        <w:tc>
          <w:tcPr>
            <w:tcW w:w="2937" w:type="dxa"/>
            <w:shd w:val="clear" w:color="auto" w:fill="auto"/>
          </w:tcPr>
          <w:p w:rsidR="00DA0F9C" w:rsidRPr="00DA0F9C" w:rsidRDefault="00DA0F9C" w:rsidP="00DA0F9C">
            <w:pPr>
              <w:spacing w:before="40" w:after="120"/>
              <w:ind w:left="57" w:right="57"/>
            </w:pPr>
            <w:r w:rsidRPr="00DA0F9C">
              <w:t>Transp</w:t>
            </w:r>
            <w:r>
              <w:t>ort en bateaux-citernes du Type </w:t>
            </w:r>
            <w:r w:rsidRPr="00DA0F9C">
              <w:t>C</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Isoprène (tous isomères)</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1218</w:t>
            </w:r>
          </w:p>
        </w:tc>
        <w:tc>
          <w:tcPr>
            <w:tcW w:w="2585" w:type="dxa"/>
            <w:shd w:val="clear" w:color="auto" w:fill="auto"/>
          </w:tcPr>
          <w:p w:rsidR="00DA0F9C" w:rsidRPr="00DA0F9C" w:rsidRDefault="00DA0F9C" w:rsidP="00DA0F9C">
            <w:pPr>
              <w:spacing w:before="40" w:after="120"/>
              <w:ind w:left="57" w:right="57"/>
              <w:rPr>
                <w:rFonts w:eastAsia="MS Mincho"/>
              </w:rPr>
            </w:pPr>
            <w:r w:rsidRPr="00DA0F9C">
              <w:t>ISOPRÈNE STABILISÉ</w:t>
            </w:r>
          </w:p>
        </w:tc>
        <w:tc>
          <w:tcPr>
            <w:tcW w:w="2937" w:type="dxa"/>
            <w:shd w:val="clear" w:color="auto" w:fill="auto"/>
          </w:tcPr>
          <w:p w:rsidR="00DA0F9C" w:rsidRPr="00DA0F9C" w:rsidRDefault="00DA0F9C" w:rsidP="00DA0F9C">
            <w:pPr>
              <w:spacing w:before="40" w:after="120"/>
              <w:ind w:left="57" w:right="57"/>
            </w:pPr>
            <w:r w:rsidRPr="00DA0F9C">
              <w:t>Transp</w:t>
            </w:r>
            <w:r w:rsidR="008D1E48">
              <w:t>ort en bateaux-citernes du Type </w:t>
            </w:r>
            <w:r w:rsidRPr="00DA0F9C">
              <w:t>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Isoprène (en partie raffiné)</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1218</w:t>
            </w:r>
          </w:p>
        </w:tc>
        <w:tc>
          <w:tcPr>
            <w:tcW w:w="2585" w:type="dxa"/>
            <w:shd w:val="clear" w:color="auto" w:fill="auto"/>
          </w:tcPr>
          <w:p w:rsidR="00DA0F9C" w:rsidRPr="00DA0F9C" w:rsidRDefault="00DA0F9C" w:rsidP="00DA0F9C">
            <w:pPr>
              <w:spacing w:before="40" w:after="120"/>
              <w:ind w:left="57" w:right="57"/>
              <w:rPr>
                <w:rFonts w:eastAsia="MS Mincho"/>
              </w:rPr>
            </w:pPr>
            <w:r w:rsidRPr="00DA0F9C">
              <w:t>ISOPRÈNE STABILISÉ</w:t>
            </w:r>
          </w:p>
        </w:tc>
        <w:tc>
          <w:tcPr>
            <w:tcW w:w="2937" w:type="dxa"/>
            <w:shd w:val="clear" w:color="auto" w:fill="auto"/>
          </w:tcPr>
          <w:p w:rsidR="00DA0F9C" w:rsidRPr="00DA0F9C" w:rsidRDefault="00DA0F9C" w:rsidP="00DA0F9C">
            <w:pPr>
              <w:spacing w:before="40" w:after="120"/>
              <w:ind w:left="57" w:right="57"/>
            </w:pPr>
            <w:r w:rsidRPr="00DA0F9C">
              <w:t>Transp</w:t>
            </w:r>
            <w:r w:rsidR="008D1E48">
              <w:t>ort en bateaux-citernes du Type </w:t>
            </w:r>
            <w:r w:rsidRPr="00DA0F9C">
              <w:t>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Isopropylamine</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1221</w:t>
            </w:r>
          </w:p>
        </w:tc>
        <w:tc>
          <w:tcPr>
            <w:tcW w:w="2585" w:type="dxa"/>
            <w:shd w:val="clear" w:color="auto" w:fill="auto"/>
          </w:tcPr>
          <w:p w:rsidR="00DA0F9C" w:rsidRPr="008D1E48" w:rsidRDefault="00DA0F9C" w:rsidP="00DA0F9C">
            <w:pPr>
              <w:spacing w:before="40" w:after="120"/>
              <w:ind w:left="57" w:right="57"/>
              <w:rPr>
                <w:rFonts w:eastAsia="MS Mincho"/>
                <w:spacing w:val="-2"/>
              </w:rPr>
            </w:pPr>
            <w:r w:rsidRPr="008D1E48">
              <w:rPr>
                <w:spacing w:val="-2"/>
              </w:rPr>
              <w:t>ISOPROPYLAMINE</w:t>
            </w:r>
          </w:p>
        </w:tc>
        <w:tc>
          <w:tcPr>
            <w:tcW w:w="2937" w:type="dxa"/>
            <w:shd w:val="clear" w:color="auto" w:fill="auto"/>
          </w:tcPr>
          <w:p w:rsidR="00DA0F9C" w:rsidRPr="00DA0F9C" w:rsidRDefault="00DA0F9C" w:rsidP="00DA0F9C">
            <w:pPr>
              <w:spacing w:before="40" w:after="120"/>
              <w:ind w:left="57" w:right="57"/>
            </w:pPr>
            <w:r w:rsidRPr="00DA0F9C">
              <w:t>Transp</w:t>
            </w:r>
            <w:r w:rsidR="008D1E48">
              <w:t>ort en bateaux-citernes du Type </w:t>
            </w:r>
            <w:r w:rsidRPr="00DA0F9C">
              <w:t>C</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Mélanges méthylacétylène/</w:t>
            </w:r>
            <w:r w:rsidR="00743C99">
              <w:br/>
            </w:r>
            <w:r w:rsidRPr="00DA0F9C">
              <w:t>propadiène</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1060</w:t>
            </w:r>
          </w:p>
        </w:tc>
        <w:tc>
          <w:tcPr>
            <w:tcW w:w="2585" w:type="dxa"/>
            <w:shd w:val="clear" w:color="auto" w:fill="auto"/>
          </w:tcPr>
          <w:p w:rsidR="00DA0F9C" w:rsidRPr="00DA0F9C" w:rsidRDefault="00DA0F9C" w:rsidP="00561855">
            <w:pPr>
              <w:spacing w:before="40" w:after="120"/>
              <w:ind w:left="57" w:right="57"/>
              <w:rPr>
                <w:rFonts w:eastAsia="MS Mincho"/>
              </w:rPr>
            </w:pPr>
            <w:r w:rsidRPr="00DA0F9C">
              <w:t>M</w:t>
            </w:r>
            <w:r w:rsidR="00743C99">
              <w:t xml:space="preserve">ÉTHYLACÉTYLÈNE ET PROPADIÈNE EN </w:t>
            </w:r>
            <w:r w:rsidRPr="00DA0F9C">
              <w:t>MÉLANGE STABILISÉ comme le mélange</w:t>
            </w:r>
            <w:r w:rsidR="00743C99">
              <w:t> P1 ou le</w:t>
            </w:r>
            <w:r w:rsidR="00561855">
              <w:t> </w:t>
            </w:r>
            <w:r w:rsidRPr="00DA0F9C">
              <w:t>m</w:t>
            </w:r>
            <w:r w:rsidR="00743C99">
              <w:t>élange </w:t>
            </w:r>
            <w:r w:rsidRPr="00DA0F9C">
              <w:t>P2</w:t>
            </w:r>
          </w:p>
        </w:tc>
        <w:tc>
          <w:tcPr>
            <w:tcW w:w="2937" w:type="dxa"/>
            <w:shd w:val="clear" w:color="auto" w:fill="auto"/>
          </w:tcPr>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right w:val="single" w:sz="4" w:space="0" w:color="auto"/>
            </w:tcBorders>
            <w:shd w:val="clear" w:color="auto" w:fill="auto"/>
          </w:tcPr>
          <w:p w:rsidR="00DA0F9C" w:rsidRPr="00DA0F9C" w:rsidRDefault="00DA0F9C" w:rsidP="00E66562">
            <w:pPr>
              <w:spacing w:before="40" w:after="120"/>
              <w:ind w:left="57" w:right="57"/>
            </w:pPr>
            <w:r w:rsidRPr="00DA0F9C">
              <w:t>Cargaisons mixtes C4</w:t>
            </w:r>
          </w:p>
        </w:tc>
        <w:tc>
          <w:tcPr>
            <w:tcW w:w="1183" w:type="dxa"/>
            <w:tcBorders>
              <w:left w:val="single" w:sz="4" w:space="0" w:color="auto"/>
            </w:tcBorders>
            <w:shd w:val="clear" w:color="auto" w:fill="auto"/>
          </w:tcPr>
          <w:p w:rsidR="00DA0F9C" w:rsidRPr="00DA0F9C" w:rsidRDefault="00DA0F9C" w:rsidP="00E66562">
            <w:pPr>
              <w:spacing w:before="40" w:after="120"/>
              <w:ind w:left="57" w:right="57"/>
            </w:pPr>
            <w:r w:rsidRPr="00DA0F9C">
              <w:t>-</w:t>
            </w:r>
          </w:p>
        </w:tc>
        <w:tc>
          <w:tcPr>
            <w:tcW w:w="2585" w:type="dxa"/>
            <w:shd w:val="clear" w:color="auto" w:fill="auto"/>
          </w:tcPr>
          <w:p w:rsidR="00DA0F9C" w:rsidRPr="00DA0F9C" w:rsidRDefault="00DA0F9C" w:rsidP="00E66562">
            <w:pPr>
              <w:spacing w:before="40" w:after="120"/>
              <w:ind w:left="57" w:right="57"/>
            </w:pPr>
            <w:r w:rsidRPr="00DA0F9C">
              <w:t>-</w:t>
            </w:r>
          </w:p>
        </w:tc>
        <w:tc>
          <w:tcPr>
            <w:tcW w:w="2937" w:type="dxa"/>
            <w:shd w:val="clear" w:color="auto" w:fill="auto"/>
          </w:tcPr>
          <w:p w:rsidR="00DA0F9C" w:rsidRPr="00DA0F9C" w:rsidRDefault="00DA0F9C" w:rsidP="00E66562">
            <w:pPr>
              <w:spacing w:before="40" w:after="120"/>
              <w:ind w:left="57" w:right="57"/>
            </w:pPr>
            <w:r w:rsidRPr="00DA0F9C">
              <w:t>Ne</w:t>
            </w:r>
            <w:r w:rsidR="00743C99">
              <w:t xml:space="preserve"> figurent pas dans les tableaux </w:t>
            </w:r>
            <w:r w:rsidRPr="00DA0F9C">
              <w:t>A ou C de l’ADN</w:t>
            </w:r>
          </w:p>
          <w:p w:rsidR="00DA0F9C" w:rsidRPr="00DA0F9C" w:rsidRDefault="00DA0F9C" w:rsidP="00E66562">
            <w:pPr>
              <w:spacing w:before="40" w:after="120"/>
              <w:ind w:left="57" w:right="57"/>
            </w:pPr>
            <w:r w:rsidRPr="00DA0F9C">
              <w:t>À tra</w:t>
            </w:r>
            <w:r w:rsidR="00743C99">
              <w:t>iter éventuellement au titre du </w:t>
            </w:r>
            <w:r w:rsidRPr="00DA0F9C">
              <w:t>chapitre</w:t>
            </w:r>
            <w:r w:rsidR="00743C99">
              <w:t> </w:t>
            </w:r>
            <w:r w:rsidRPr="00DA0F9C">
              <w:t>2.1 de l’ADN</w:t>
            </w:r>
          </w:p>
          <w:p w:rsidR="00DA0F9C" w:rsidRPr="00DA0F9C" w:rsidRDefault="00DA0F9C" w:rsidP="00E66562">
            <w:pPr>
              <w:spacing w:before="40" w:after="120"/>
              <w:ind w:left="57" w:right="57"/>
            </w:pPr>
            <w:r w:rsidRPr="00DA0F9C">
              <w:t>Mentionnées da</w:t>
            </w:r>
            <w:r w:rsidR="00743C99">
              <w:t xml:space="preserve">ns les documents </w:t>
            </w:r>
            <w:r w:rsidR="00743C99">
              <w:lastRenderedPageBreak/>
              <w:t>BLG 15/10/3 et </w:t>
            </w:r>
            <w:r w:rsidRPr="00DA0F9C">
              <w:t>BLG.1/Circ.32 d</w:t>
            </w:r>
            <w:r w:rsidR="00743C99">
              <w:t>e </w:t>
            </w:r>
            <w:r w:rsidRPr="00DA0F9C">
              <w:t>l’OMI</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lastRenderedPageBreak/>
              <w:t>Monoéthylamine</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1036</w:t>
            </w:r>
          </w:p>
        </w:tc>
        <w:tc>
          <w:tcPr>
            <w:tcW w:w="2585" w:type="dxa"/>
            <w:shd w:val="clear" w:color="auto" w:fill="auto"/>
          </w:tcPr>
          <w:p w:rsidR="00DA0F9C" w:rsidRPr="00DA0F9C" w:rsidRDefault="00DA0F9C" w:rsidP="00DA0F9C">
            <w:pPr>
              <w:spacing w:before="40" w:after="120"/>
              <w:ind w:left="57" w:right="57"/>
              <w:rPr>
                <w:rFonts w:eastAsia="MS Mincho"/>
              </w:rPr>
            </w:pPr>
            <w:r w:rsidRPr="00DA0F9C">
              <w:t>ÉTHYLAMINE</w:t>
            </w:r>
          </w:p>
        </w:tc>
        <w:tc>
          <w:tcPr>
            <w:tcW w:w="2937" w:type="dxa"/>
            <w:shd w:val="clear" w:color="auto" w:fill="auto"/>
          </w:tcPr>
          <w:p w:rsidR="00DA0F9C" w:rsidRPr="00DA0F9C" w:rsidRDefault="00DA0F9C" w:rsidP="00DA0F9C">
            <w:pPr>
              <w:spacing w:before="40" w:after="120"/>
              <w:ind w:left="57" w:right="57"/>
            </w:pPr>
            <w:r w:rsidRPr="00DA0F9C">
              <w:t>La monoét</w:t>
            </w:r>
            <w:r w:rsidR="00743C99">
              <w:t>hylamine figure dans le tableau </w:t>
            </w:r>
            <w:r w:rsidRPr="00DA0F9C">
              <w:t>B de l’ADN en tant que synonyme</w:t>
            </w:r>
          </w:p>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Azote</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1977</w:t>
            </w:r>
          </w:p>
        </w:tc>
        <w:tc>
          <w:tcPr>
            <w:tcW w:w="2585" w:type="dxa"/>
            <w:shd w:val="clear" w:color="auto" w:fill="auto"/>
          </w:tcPr>
          <w:p w:rsidR="00DA0F9C" w:rsidRPr="00DA0F9C" w:rsidRDefault="00DA0F9C" w:rsidP="00DA0F9C">
            <w:pPr>
              <w:spacing w:before="40" w:after="120"/>
              <w:ind w:left="57" w:right="57"/>
              <w:rPr>
                <w:rFonts w:eastAsia="MS Mincho"/>
              </w:rPr>
            </w:pPr>
            <w:r w:rsidRPr="00DA0F9C">
              <w:t>AZOTE LIQUIDE, RÉFRIGÉRÉE</w:t>
            </w:r>
          </w:p>
        </w:tc>
        <w:tc>
          <w:tcPr>
            <w:tcW w:w="2937" w:type="dxa"/>
            <w:shd w:val="clear" w:color="auto" w:fill="auto"/>
          </w:tcPr>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Pentane (tous isomères)</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1265</w:t>
            </w:r>
          </w:p>
        </w:tc>
        <w:tc>
          <w:tcPr>
            <w:tcW w:w="2585" w:type="dxa"/>
            <w:shd w:val="clear" w:color="auto" w:fill="auto"/>
          </w:tcPr>
          <w:p w:rsidR="00DA0F9C" w:rsidRPr="00DA0F9C" w:rsidRDefault="00DA0F9C" w:rsidP="00DA0F9C">
            <w:pPr>
              <w:spacing w:before="40" w:after="120"/>
              <w:ind w:left="57" w:right="57"/>
              <w:rPr>
                <w:rFonts w:eastAsia="MS Mincho"/>
              </w:rPr>
            </w:pPr>
            <w:r w:rsidRPr="00DA0F9C">
              <w:t>PENTANES, liquides</w:t>
            </w:r>
          </w:p>
        </w:tc>
        <w:tc>
          <w:tcPr>
            <w:tcW w:w="2937" w:type="dxa"/>
            <w:shd w:val="clear" w:color="auto" w:fill="auto"/>
          </w:tcPr>
          <w:p w:rsidR="00DA0F9C" w:rsidRPr="00DA0F9C" w:rsidRDefault="00DA0F9C" w:rsidP="00DA0F9C">
            <w:pPr>
              <w:spacing w:before="40" w:after="120"/>
              <w:ind w:left="57" w:right="57"/>
            </w:pPr>
            <w:r w:rsidRPr="00DA0F9C">
              <w:t>5</w:t>
            </w:r>
            <w:r w:rsidR="00743C99">
              <w:t> rubriques dans le tableau </w:t>
            </w:r>
            <w:r w:rsidR="00BF4299">
              <w:t>C de </w:t>
            </w:r>
            <w:r w:rsidRPr="00DA0F9C">
              <w:t>l’ADN</w:t>
            </w:r>
          </w:p>
          <w:p w:rsidR="00DA0F9C" w:rsidRPr="00DA0F9C" w:rsidRDefault="00DA0F9C" w:rsidP="00DA0F9C">
            <w:pPr>
              <w:spacing w:before="40" w:after="120"/>
              <w:ind w:left="57" w:right="57"/>
            </w:pPr>
            <w:r w:rsidRPr="00DA0F9C">
              <w:t>Transp</w:t>
            </w:r>
            <w:r w:rsidR="00743C99">
              <w:t>ort en bateaux-citernes du Type </w:t>
            </w:r>
            <w:r w:rsidRPr="00DA0F9C">
              <w:t>N ou diagramme de décision (ADN 3.2.3.3)</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Pentane (tous isomères)</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1108</w:t>
            </w:r>
          </w:p>
        </w:tc>
        <w:tc>
          <w:tcPr>
            <w:tcW w:w="2585" w:type="dxa"/>
            <w:shd w:val="clear" w:color="auto" w:fill="auto"/>
          </w:tcPr>
          <w:p w:rsidR="00DA0F9C" w:rsidRPr="00561855" w:rsidRDefault="00743C99" w:rsidP="00DA0F9C">
            <w:pPr>
              <w:spacing w:before="40" w:after="120"/>
              <w:ind w:left="57" w:right="57"/>
              <w:rPr>
                <w:rFonts w:eastAsia="MS Mincho"/>
                <w:spacing w:val="-2"/>
              </w:rPr>
            </w:pPr>
            <w:r w:rsidRPr="00561855">
              <w:rPr>
                <w:spacing w:val="-2"/>
              </w:rPr>
              <w:t>PENTÈNE-1 (n−</w:t>
            </w:r>
            <w:r w:rsidR="00DA0F9C" w:rsidRPr="00561855">
              <w:rPr>
                <w:spacing w:val="-2"/>
              </w:rPr>
              <w:t>AMYLENE)</w:t>
            </w:r>
          </w:p>
        </w:tc>
        <w:tc>
          <w:tcPr>
            <w:tcW w:w="2937" w:type="dxa"/>
            <w:shd w:val="clear" w:color="auto" w:fill="auto"/>
          </w:tcPr>
          <w:p w:rsidR="00DA0F9C" w:rsidRPr="00DA0F9C" w:rsidRDefault="00DA0F9C" w:rsidP="00DA0F9C">
            <w:pPr>
              <w:spacing w:before="40" w:after="120"/>
              <w:ind w:left="57" w:right="57"/>
            </w:pPr>
            <w:r w:rsidRPr="00DA0F9C">
              <w:t>Transp</w:t>
            </w:r>
            <w:r w:rsidR="00BF4299">
              <w:t>ort en bateaux-citernes du </w:t>
            </w:r>
            <w:r w:rsidR="00743C99">
              <w:t>Type </w:t>
            </w:r>
            <w:r w:rsidRPr="00DA0F9C">
              <w:t>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Oxyde de propylène</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1280</w:t>
            </w:r>
          </w:p>
        </w:tc>
        <w:tc>
          <w:tcPr>
            <w:tcW w:w="2585" w:type="dxa"/>
            <w:shd w:val="clear" w:color="auto" w:fill="auto"/>
          </w:tcPr>
          <w:p w:rsidR="00DA0F9C" w:rsidRPr="00DA0F9C" w:rsidRDefault="00DA0F9C" w:rsidP="00DA0F9C">
            <w:pPr>
              <w:spacing w:before="40" w:after="120"/>
              <w:ind w:left="57" w:right="57"/>
              <w:rPr>
                <w:rFonts w:eastAsia="MS Mincho"/>
              </w:rPr>
            </w:pPr>
            <w:r w:rsidRPr="00DA0F9C">
              <w:t>OXYDE DE PROPYLÈNE</w:t>
            </w:r>
          </w:p>
        </w:tc>
        <w:tc>
          <w:tcPr>
            <w:tcW w:w="2937" w:type="dxa"/>
            <w:shd w:val="clear" w:color="auto" w:fill="auto"/>
          </w:tcPr>
          <w:p w:rsidR="00DA0F9C" w:rsidRPr="00DA0F9C" w:rsidRDefault="00DA0F9C" w:rsidP="00DA0F9C">
            <w:pPr>
              <w:spacing w:before="40" w:after="120"/>
              <w:ind w:left="57" w:right="57"/>
            </w:pPr>
            <w:r w:rsidRPr="00DA0F9C">
              <w:t>Transp</w:t>
            </w:r>
            <w:r w:rsidR="00BF4299">
              <w:t>ort en bateaux-citernes du </w:t>
            </w:r>
            <w:r w:rsidR="00743C99">
              <w:t>Type </w:t>
            </w:r>
            <w:r w:rsidRPr="00DA0F9C">
              <w:t>C</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Gaz frigorifiques</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1009</w:t>
            </w:r>
          </w:p>
        </w:tc>
        <w:tc>
          <w:tcPr>
            <w:tcW w:w="2585" w:type="dxa"/>
            <w:shd w:val="clear" w:color="auto" w:fill="auto"/>
          </w:tcPr>
          <w:p w:rsidR="00DA0F9C" w:rsidRPr="00DA0F9C" w:rsidRDefault="00DA0F9C" w:rsidP="00DA0F9C">
            <w:pPr>
              <w:spacing w:before="40" w:after="120"/>
              <w:ind w:left="57" w:right="57"/>
              <w:rPr>
                <w:rFonts w:eastAsia="MS Mincho"/>
              </w:rPr>
            </w:pPr>
            <w:r w:rsidRPr="00DA0F9C">
              <w:t>BROMOTRIFLU</w:t>
            </w:r>
            <w:r w:rsidR="00BF4299">
              <w:t>ORO- MÉTHANE (GAZ RÉFRIGÉRANT R </w:t>
            </w:r>
            <w:r w:rsidRPr="00DA0F9C">
              <w:t>13B1)</w:t>
            </w:r>
          </w:p>
        </w:tc>
        <w:tc>
          <w:tcPr>
            <w:tcW w:w="2937" w:type="dxa"/>
            <w:shd w:val="clear" w:color="auto" w:fill="auto"/>
          </w:tcPr>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Gaz frigorifiques</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1018</w:t>
            </w:r>
          </w:p>
        </w:tc>
        <w:tc>
          <w:tcPr>
            <w:tcW w:w="2585" w:type="dxa"/>
            <w:shd w:val="clear" w:color="auto" w:fill="auto"/>
          </w:tcPr>
          <w:p w:rsidR="00DA0F9C" w:rsidRPr="00DA0F9C" w:rsidRDefault="00DA0F9C" w:rsidP="00BF4299">
            <w:pPr>
              <w:spacing w:before="40" w:after="120"/>
              <w:ind w:left="57" w:right="57"/>
              <w:rPr>
                <w:rFonts w:eastAsia="MS Mincho"/>
              </w:rPr>
            </w:pPr>
            <w:r w:rsidRPr="00DA0F9C">
              <w:t>CHLORODIFLUORO- MÉTHANE (GAZ RÉFRIGÉRANT R</w:t>
            </w:r>
            <w:r w:rsidR="00BF4299">
              <w:t> </w:t>
            </w:r>
            <w:r w:rsidRPr="00DA0F9C">
              <w:t>22)</w:t>
            </w:r>
          </w:p>
        </w:tc>
        <w:tc>
          <w:tcPr>
            <w:tcW w:w="2937" w:type="dxa"/>
            <w:shd w:val="clear" w:color="auto" w:fill="auto"/>
          </w:tcPr>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Gaz frigorifiques</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1021</w:t>
            </w:r>
          </w:p>
        </w:tc>
        <w:tc>
          <w:tcPr>
            <w:tcW w:w="2585" w:type="dxa"/>
            <w:shd w:val="clear" w:color="auto" w:fill="auto"/>
          </w:tcPr>
          <w:p w:rsidR="00DA0F9C" w:rsidRPr="00DA0F9C" w:rsidRDefault="00DA0F9C" w:rsidP="00DA0F9C">
            <w:pPr>
              <w:spacing w:before="40" w:after="120"/>
              <w:ind w:left="57" w:right="57"/>
              <w:rPr>
                <w:rFonts w:eastAsia="MS Mincho"/>
              </w:rPr>
            </w:pPr>
            <w:r w:rsidRPr="00DA0F9C">
              <w:t>CHLORO-1 TÉTRAFLUORO-1,</w:t>
            </w:r>
            <w:r w:rsidR="00BF4299">
              <w:t>2,2,2 ÉTHANE (GAZ RÉFRIGÉRANT R </w:t>
            </w:r>
            <w:r w:rsidRPr="00DA0F9C">
              <w:t>124)</w:t>
            </w:r>
          </w:p>
        </w:tc>
        <w:tc>
          <w:tcPr>
            <w:tcW w:w="2937" w:type="dxa"/>
            <w:shd w:val="clear" w:color="auto" w:fill="auto"/>
          </w:tcPr>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Gaz frigorifiques</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1022</w:t>
            </w:r>
          </w:p>
        </w:tc>
        <w:tc>
          <w:tcPr>
            <w:tcW w:w="2585" w:type="dxa"/>
            <w:shd w:val="clear" w:color="auto" w:fill="auto"/>
          </w:tcPr>
          <w:p w:rsidR="00DA0F9C" w:rsidRPr="00DA0F9C" w:rsidRDefault="00DA0F9C" w:rsidP="00DA0F9C">
            <w:pPr>
              <w:spacing w:before="40" w:after="120"/>
              <w:ind w:left="57" w:right="57"/>
              <w:rPr>
                <w:rFonts w:eastAsia="MS Mincho"/>
              </w:rPr>
            </w:pPr>
            <w:r w:rsidRPr="00DA0F9C">
              <w:t>CHLOROTRIFLUORO- MÉTHANE (GA</w:t>
            </w:r>
            <w:r w:rsidR="00BF4299">
              <w:t>Z RÉFRIGÉRANT R </w:t>
            </w:r>
            <w:r w:rsidRPr="00DA0F9C">
              <w:t>13)</w:t>
            </w:r>
          </w:p>
        </w:tc>
        <w:tc>
          <w:tcPr>
            <w:tcW w:w="2937" w:type="dxa"/>
            <w:shd w:val="clear" w:color="auto" w:fill="auto"/>
          </w:tcPr>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Gaz frigorifiques</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1028</w:t>
            </w:r>
          </w:p>
        </w:tc>
        <w:tc>
          <w:tcPr>
            <w:tcW w:w="2585" w:type="dxa"/>
            <w:shd w:val="clear" w:color="auto" w:fill="auto"/>
          </w:tcPr>
          <w:p w:rsidR="00DA0F9C" w:rsidRPr="00DA0F9C" w:rsidRDefault="00DA0F9C" w:rsidP="00DA0F9C">
            <w:pPr>
              <w:spacing w:before="40" w:after="120"/>
              <w:ind w:left="57" w:right="57"/>
              <w:rPr>
                <w:rFonts w:eastAsia="MS Mincho"/>
              </w:rPr>
            </w:pPr>
            <w:r w:rsidRPr="00DA0F9C">
              <w:t>DICHLORODIFLU</w:t>
            </w:r>
            <w:r w:rsidR="00BF4299">
              <w:t>ORO- MÉTHANE (GAZ RÉFRIGÉRANT R </w:t>
            </w:r>
            <w:r w:rsidRPr="00DA0F9C">
              <w:t>12)</w:t>
            </w:r>
          </w:p>
        </w:tc>
        <w:tc>
          <w:tcPr>
            <w:tcW w:w="2937" w:type="dxa"/>
            <w:shd w:val="clear" w:color="auto" w:fill="auto"/>
          </w:tcPr>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right w:val="single" w:sz="4" w:space="0" w:color="auto"/>
            </w:tcBorders>
            <w:shd w:val="clear" w:color="auto" w:fill="auto"/>
          </w:tcPr>
          <w:p w:rsidR="00DA0F9C" w:rsidRPr="00DA0F9C" w:rsidRDefault="00DA0F9C" w:rsidP="00DA0F9C">
            <w:pPr>
              <w:spacing w:before="40" w:after="120"/>
              <w:ind w:left="57" w:right="57"/>
            </w:pPr>
            <w:r w:rsidRPr="00DA0F9C">
              <w:t>Gaz frigorifiques</w:t>
            </w:r>
          </w:p>
        </w:tc>
        <w:tc>
          <w:tcPr>
            <w:tcW w:w="1183" w:type="dxa"/>
            <w:tcBorders>
              <w:left w:val="single" w:sz="4" w:space="0" w:color="auto"/>
            </w:tcBorders>
            <w:shd w:val="clear" w:color="auto" w:fill="auto"/>
          </w:tcPr>
          <w:p w:rsidR="00DA0F9C" w:rsidRPr="00DA0F9C" w:rsidRDefault="00DA0F9C" w:rsidP="00DA0F9C">
            <w:pPr>
              <w:spacing w:before="40" w:after="120"/>
              <w:ind w:left="57" w:right="57"/>
            </w:pPr>
            <w:r w:rsidRPr="00DA0F9C">
              <w:t>1029</w:t>
            </w:r>
          </w:p>
        </w:tc>
        <w:tc>
          <w:tcPr>
            <w:tcW w:w="2585" w:type="dxa"/>
            <w:shd w:val="clear" w:color="auto" w:fill="auto"/>
          </w:tcPr>
          <w:p w:rsidR="00DA0F9C" w:rsidRPr="00DA0F9C" w:rsidRDefault="00DA0F9C" w:rsidP="00DA0F9C">
            <w:pPr>
              <w:spacing w:before="40" w:after="120"/>
              <w:ind w:left="57" w:right="57"/>
              <w:rPr>
                <w:rFonts w:eastAsia="MS Mincho"/>
              </w:rPr>
            </w:pPr>
            <w:r w:rsidRPr="00DA0F9C">
              <w:t>DICHLOROFLUORO- MÉTHANE (GAZ RÉFRIGÉRAN</w:t>
            </w:r>
            <w:r w:rsidR="00BF4299">
              <w:t>T R </w:t>
            </w:r>
            <w:r w:rsidRPr="00DA0F9C">
              <w:t>21)</w:t>
            </w:r>
          </w:p>
        </w:tc>
        <w:tc>
          <w:tcPr>
            <w:tcW w:w="2937" w:type="dxa"/>
            <w:shd w:val="clear" w:color="auto" w:fill="auto"/>
          </w:tcPr>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right w:val="single" w:sz="4" w:space="0" w:color="auto"/>
            </w:tcBorders>
            <w:shd w:val="clear" w:color="auto" w:fill="auto"/>
          </w:tcPr>
          <w:p w:rsidR="00DA0F9C" w:rsidRPr="00DA0F9C" w:rsidRDefault="00DA0F9C" w:rsidP="00561855">
            <w:pPr>
              <w:keepNext/>
              <w:keepLines/>
              <w:spacing w:before="40" w:after="120"/>
              <w:ind w:left="57" w:right="57"/>
            </w:pPr>
            <w:r w:rsidRPr="00DA0F9C">
              <w:t>Gaz frigorifiques</w:t>
            </w:r>
          </w:p>
        </w:tc>
        <w:tc>
          <w:tcPr>
            <w:tcW w:w="1183" w:type="dxa"/>
            <w:tcBorders>
              <w:left w:val="single" w:sz="4" w:space="0" w:color="auto"/>
            </w:tcBorders>
            <w:shd w:val="clear" w:color="auto" w:fill="auto"/>
          </w:tcPr>
          <w:p w:rsidR="00DA0F9C" w:rsidRPr="00DA0F9C" w:rsidRDefault="00DA0F9C" w:rsidP="00561855">
            <w:pPr>
              <w:keepNext/>
              <w:keepLines/>
              <w:spacing w:before="40" w:after="120"/>
              <w:ind w:left="57" w:right="57"/>
            </w:pPr>
            <w:r w:rsidRPr="00DA0F9C">
              <w:t>1078</w:t>
            </w:r>
          </w:p>
        </w:tc>
        <w:tc>
          <w:tcPr>
            <w:tcW w:w="2585" w:type="dxa"/>
            <w:shd w:val="clear" w:color="auto" w:fill="auto"/>
          </w:tcPr>
          <w:p w:rsidR="00DA0F9C" w:rsidRPr="00561855" w:rsidRDefault="00DA0F9C" w:rsidP="00561855">
            <w:pPr>
              <w:keepNext/>
              <w:keepLines/>
              <w:spacing w:before="40" w:after="120"/>
              <w:ind w:left="57" w:right="57"/>
              <w:rPr>
                <w:rFonts w:eastAsia="MS Mincho"/>
                <w:spacing w:val="-2"/>
              </w:rPr>
            </w:pPr>
            <w:r w:rsidRPr="00561855">
              <w:rPr>
                <w:spacing w:val="-2"/>
              </w:rPr>
              <w:t>GAZ FRIGORIFIQUE, N.S.A. (GAS RÉFRIGÉRANT, N.S.A.), tels que les mélanges F1, F2 ou F3</w:t>
            </w:r>
          </w:p>
        </w:tc>
        <w:tc>
          <w:tcPr>
            <w:tcW w:w="2937" w:type="dxa"/>
            <w:shd w:val="clear" w:color="auto" w:fill="auto"/>
          </w:tcPr>
          <w:p w:rsidR="00DA0F9C" w:rsidRPr="00DA0F9C" w:rsidRDefault="00DA0F9C" w:rsidP="00561855">
            <w:pPr>
              <w:keepNext/>
              <w:keepLines/>
              <w:spacing w:before="40" w:after="120"/>
              <w:ind w:left="57" w:right="57"/>
            </w:pPr>
            <w:r w:rsidRPr="00DA0F9C">
              <w:t>Non autorisé dans des bateaux-citernes dans l’ADN</w:t>
            </w:r>
          </w:p>
        </w:tc>
      </w:tr>
      <w:tr w:rsidR="00DA0F9C" w:rsidRPr="00DA0F9C" w:rsidTr="00561855">
        <w:tc>
          <w:tcPr>
            <w:tcW w:w="1799" w:type="dxa"/>
            <w:tcBorders>
              <w:bottom w:val="single" w:sz="4" w:space="0" w:color="auto"/>
              <w:right w:val="single" w:sz="4" w:space="0" w:color="auto"/>
            </w:tcBorders>
            <w:shd w:val="clear" w:color="auto" w:fill="auto"/>
          </w:tcPr>
          <w:p w:rsidR="00DA0F9C" w:rsidRPr="00DA0F9C" w:rsidRDefault="00DA0F9C" w:rsidP="00DA0F9C">
            <w:pPr>
              <w:spacing w:before="40" w:after="120"/>
              <w:ind w:left="57" w:right="57"/>
            </w:pPr>
            <w:r w:rsidRPr="00DA0F9C">
              <w:t>Éther éthylvinylique</w:t>
            </w:r>
          </w:p>
        </w:tc>
        <w:tc>
          <w:tcPr>
            <w:tcW w:w="1183" w:type="dxa"/>
            <w:tcBorders>
              <w:left w:val="single" w:sz="4" w:space="0" w:color="auto"/>
              <w:bottom w:val="single" w:sz="4" w:space="0" w:color="auto"/>
            </w:tcBorders>
            <w:shd w:val="clear" w:color="auto" w:fill="auto"/>
          </w:tcPr>
          <w:p w:rsidR="00DA0F9C" w:rsidRPr="00DA0F9C" w:rsidRDefault="00DA0F9C" w:rsidP="00DA0F9C">
            <w:pPr>
              <w:spacing w:before="40" w:after="120"/>
              <w:ind w:left="57" w:right="57"/>
            </w:pPr>
            <w:r w:rsidRPr="00DA0F9C">
              <w:t>1302</w:t>
            </w:r>
          </w:p>
        </w:tc>
        <w:tc>
          <w:tcPr>
            <w:tcW w:w="2585" w:type="dxa"/>
            <w:tcBorders>
              <w:bottom w:val="single" w:sz="4" w:space="0" w:color="auto"/>
            </w:tcBorders>
            <w:shd w:val="clear" w:color="auto" w:fill="auto"/>
          </w:tcPr>
          <w:p w:rsidR="00DA0F9C" w:rsidRPr="00DA0F9C" w:rsidRDefault="00DA0F9C" w:rsidP="00DA0F9C">
            <w:pPr>
              <w:spacing w:before="40" w:after="120"/>
              <w:ind w:left="57" w:right="57"/>
              <w:rPr>
                <w:rFonts w:eastAsia="MS Mincho"/>
              </w:rPr>
            </w:pPr>
            <w:r w:rsidRPr="00DA0F9C">
              <w:t>ÉTHER ÉTHYLVINYLIQUE STABILISÉ</w:t>
            </w:r>
          </w:p>
        </w:tc>
        <w:tc>
          <w:tcPr>
            <w:tcW w:w="2937" w:type="dxa"/>
            <w:tcBorders>
              <w:bottom w:val="single" w:sz="4" w:space="0" w:color="auto"/>
            </w:tcBorders>
            <w:shd w:val="clear" w:color="auto" w:fill="auto"/>
          </w:tcPr>
          <w:p w:rsidR="00DA0F9C" w:rsidRPr="00DA0F9C" w:rsidRDefault="00DA0F9C" w:rsidP="00DA0F9C">
            <w:pPr>
              <w:spacing w:before="40" w:after="120"/>
              <w:ind w:left="57" w:right="57"/>
            </w:pPr>
            <w:r w:rsidRPr="00DA0F9C">
              <w:t>Non autorisé dans des bateaux-citernes dans l’ADN</w:t>
            </w:r>
          </w:p>
        </w:tc>
      </w:tr>
      <w:tr w:rsidR="00DA0F9C" w:rsidRPr="00DA0F9C" w:rsidTr="00561855">
        <w:tc>
          <w:tcPr>
            <w:tcW w:w="1799" w:type="dxa"/>
            <w:tcBorders>
              <w:bottom w:val="single" w:sz="12" w:space="0" w:color="auto"/>
              <w:right w:val="single" w:sz="4" w:space="0" w:color="auto"/>
            </w:tcBorders>
            <w:shd w:val="clear" w:color="auto" w:fill="auto"/>
          </w:tcPr>
          <w:p w:rsidR="00DA0F9C" w:rsidRPr="00DA0F9C" w:rsidRDefault="00DA0F9C" w:rsidP="00BF4299">
            <w:pPr>
              <w:keepNext/>
              <w:keepLines/>
              <w:spacing w:before="40" w:after="120"/>
              <w:ind w:left="57" w:right="57"/>
            </w:pPr>
            <w:r w:rsidRPr="00DA0F9C">
              <w:lastRenderedPageBreak/>
              <w:t>Chlorure de vinylidène</w:t>
            </w:r>
          </w:p>
        </w:tc>
        <w:tc>
          <w:tcPr>
            <w:tcW w:w="1183" w:type="dxa"/>
            <w:tcBorders>
              <w:left w:val="single" w:sz="4" w:space="0" w:color="auto"/>
              <w:bottom w:val="single" w:sz="12" w:space="0" w:color="auto"/>
            </w:tcBorders>
            <w:shd w:val="clear" w:color="auto" w:fill="auto"/>
          </w:tcPr>
          <w:p w:rsidR="00DA0F9C" w:rsidRPr="00DA0F9C" w:rsidRDefault="00DA0F9C" w:rsidP="00BF4299">
            <w:pPr>
              <w:keepNext/>
              <w:keepLines/>
              <w:spacing w:before="40" w:after="120"/>
              <w:ind w:left="57" w:right="57"/>
            </w:pPr>
            <w:r w:rsidRPr="00DA0F9C">
              <w:t>1303</w:t>
            </w:r>
          </w:p>
        </w:tc>
        <w:tc>
          <w:tcPr>
            <w:tcW w:w="2585" w:type="dxa"/>
            <w:tcBorders>
              <w:bottom w:val="single" w:sz="12" w:space="0" w:color="auto"/>
            </w:tcBorders>
            <w:shd w:val="clear" w:color="auto" w:fill="auto"/>
          </w:tcPr>
          <w:p w:rsidR="00DA0F9C" w:rsidRPr="00DA0F9C" w:rsidRDefault="00DA0F9C" w:rsidP="00BF4299">
            <w:pPr>
              <w:keepNext/>
              <w:keepLines/>
              <w:spacing w:before="40" w:after="120"/>
              <w:ind w:left="57" w:right="57"/>
              <w:rPr>
                <w:rFonts w:eastAsia="MS Mincho"/>
              </w:rPr>
            </w:pPr>
            <w:r w:rsidRPr="00DA0F9C">
              <w:t>CHLORURE DE VINYLIDÈNE STABILISÉ</w:t>
            </w:r>
          </w:p>
        </w:tc>
        <w:tc>
          <w:tcPr>
            <w:tcW w:w="2937" w:type="dxa"/>
            <w:tcBorders>
              <w:bottom w:val="single" w:sz="12" w:space="0" w:color="auto"/>
            </w:tcBorders>
            <w:shd w:val="clear" w:color="auto" w:fill="auto"/>
          </w:tcPr>
          <w:p w:rsidR="00DA0F9C" w:rsidRPr="00DA0F9C" w:rsidRDefault="00DA0F9C" w:rsidP="00BF4299">
            <w:pPr>
              <w:keepNext/>
              <w:keepLines/>
              <w:spacing w:before="40" w:after="120"/>
              <w:ind w:left="57" w:right="57"/>
            </w:pPr>
            <w:r w:rsidRPr="00DA0F9C">
              <w:t>Non autorisé dans des bateaux-citernes dans l’ADN</w:t>
            </w:r>
          </w:p>
        </w:tc>
      </w:tr>
    </w:tbl>
    <w:p w:rsidR="00DA0F9C" w:rsidRPr="00506358" w:rsidRDefault="00DA0F9C" w:rsidP="00DA0F9C">
      <w:pPr>
        <w:pStyle w:val="SingleTxtG"/>
        <w:spacing w:before="240"/>
      </w:pPr>
      <w:r>
        <w:t>12.</w:t>
      </w:r>
      <w:r>
        <w:tab/>
        <w:t xml:space="preserve">Les participants ont toutefois estimé que la liste des matières du paragraphe 10 devait faire l’objet d’une évaluation supplémentaire, surtout pour vérifier que les autres conditions de transport prescrites dans le tableau C, les observations de la colonne 20 du tableau C ainsi que les prescriptions spéciales de la colonne i du chapitre 19 du Recueil IGC ne contiennent pas de dispositions interdisant l’utilisation des cuves à membrane pour le transport de ces matières. Entre autres, la question a été posée de savoir dans quelle mesure les matières qui, conformément à l’ADN, doivent être transportées stabilisées, et pas seulement sous régulation de température, </w:t>
      </w:r>
      <w:r w:rsidRPr="00CB633C">
        <w:t>pouva</w:t>
      </w:r>
      <w:r>
        <w:t>ie</w:t>
      </w:r>
      <w:r w:rsidRPr="00CB633C">
        <w:t>nt être transportées dans des</w:t>
      </w:r>
      <w:r>
        <w:t xml:space="preserve"> cuves à membrane, comme dans le cas des navires de mer. Cette évaluation sera menée à la prochaine réunion du </w:t>
      </w:r>
      <w:r w:rsidR="006A3B12">
        <w:t>G</w:t>
      </w:r>
      <w:r>
        <w:t xml:space="preserve">roupe de travail. Ce dernier a décidé de demander au </w:t>
      </w:r>
      <w:r w:rsidR="006A3B12">
        <w:t>g</w:t>
      </w:r>
      <w:r>
        <w:t xml:space="preserve">roupe de travail informel des matières de vérifier la liste provisoire des matières </w:t>
      </w:r>
      <w:r w:rsidRPr="00CB633C">
        <w:t>pouvant être transportées dans</w:t>
      </w:r>
      <w:r>
        <w:t xml:space="preserve"> des cuves à membrane.</w:t>
      </w:r>
    </w:p>
    <w:p w:rsidR="00DA0F9C" w:rsidRPr="00506358" w:rsidRDefault="00DA0F9C" w:rsidP="00561855">
      <w:pPr>
        <w:pStyle w:val="HChG"/>
        <w:spacing w:before="340" w:after="220" w:line="280" w:lineRule="exact"/>
      </w:pPr>
      <w:r>
        <w:tab/>
      </w:r>
      <w:r>
        <w:tab/>
        <w:t>Amendements à l’ADN 2019</w:t>
      </w:r>
    </w:p>
    <w:p w:rsidR="00DA0F9C" w:rsidRPr="00346853" w:rsidRDefault="00DA0F9C" w:rsidP="00DA0F9C">
      <w:pPr>
        <w:pStyle w:val="SingleTxtG"/>
      </w:pPr>
      <w:r>
        <w:t>13.</w:t>
      </w:r>
      <w:r>
        <w:tab/>
        <w:t xml:space="preserve">Après avoir établi la liste provisoire des matières </w:t>
      </w:r>
      <w:r w:rsidRPr="00CB633C">
        <w:t>pouvant être transportées dans des cuves</w:t>
      </w:r>
      <w:r>
        <w:t xml:space="preserve"> à membrane, le Groupe de travail a réfléchi à la meilleure façon de prendre en compte les cuves à membrane dans le Règlement annexé à l’ADN. Les participants ont appuyé la proposition du </w:t>
      </w:r>
      <w:r w:rsidRPr="00346853">
        <w:t>représentant de la France tendant à ajouter au tableau</w:t>
      </w:r>
      <w:r w:rsidR="00346853">
        <w:t> </w:t>
      </w:r>
      <w:r w:rsidRPr="00346853">
        <w:t>C des lignes contenant des prescriptions relatives à d’autres contenants (cuves à membrane) pour les matières pertinentes retenues. Cette solution démontre très clairement que le transport dans des cuves à membrane constitue pour certaines matières une solution de remplacement au transport en citernes sous pression indépendantes.</w:t>
      </w:r>
    </w:p>
    <w:p w:rsidR="00BB6B7B" w:rsidRPr="00561855" w:rsidRDefault="00DA0F9C" w:rsidP="00DA0F9C">
      <w:pPr>
        <w:pStyle w:val="SingleTxtG"/>
      </w:pPr>
      <w:r w:rsidRPr="00561855">
        <w:t>14.</w:t>
      </w:r>
      <w:r w:rsidRPr="00561855">
        <w:tab/>
        <w:t>Au cas où le Comité de sécurité de l’ADN serait favorable à l</w:t>
      </w:r>
      <w:r w:rsidR="00346853" w:rsidRPr="00561855">
        <w:t>’approche exposée au paragraphe </w:t>
      </w:r>
      <w:r w:rsidRPr="00561855">
        <w:t>13, le Groupe de travail a effectué un premier inventaire</w:t>
      </w:r>
      <w:r w:rsidR="00346853" w:rsidRPr="00561855">
        <w:t xml:space="preserve"> des articles </w:t>
      </w:r>
      <w:r w:rsidRPr="00561855">
        <w:t xml:space="preserve">à propos desquels il est nécessaire de mener de nouvelles recherches </w:t>
      </w:r>
      <w:r w:rsidR="00346853" w:rsidRPr="00561855">
        <w:t>pouvant aboutir à un amendement </w:t>
      </w:r>
      <w:r w:rsidRPr="00561855">
        <w:t>:</w:t>
      </w:r>
    </w:p>
    <w:tbl>
      <w:tblPr>
        <w:tblW w:w="7370" w:type="dxa"/>
        <w:tblInd w:w="1134" w:type="dxa"/>
        <w:tblLayout w:type="fixed"/>
        <w:tblCellMar>
          <w:left w:w="0" w:type="dxa"/>
          <w:right w:w="0" w:type="dxa"/>
        </w:tblCellMar>
        <w:tblLook w:val="04A0" w:firstRow="1" w:lastRow="0" w:firstColumn="1" w:lastColumn="0" w:noHBand="0" w:noVBand="1"/>
      </w:tblPr>
      <w:tblGrid>
        <w:gridCol w:w="1134"/>
        <w:gridCol w:w="3544"/>
        <w:gridCol w:w="2692"/>
      </w:tblGrid>
      <w:tr w:rsidR="000F49A3" w:rsidRPr="00E74783" w:rsidTr="000F49A3">
        <w:trPr>
          <w:tblHeader/>
        </w:trPr>
        <w:tc>
          <w:tcPr>
            <w:tcW w:w="1134" w:type="dxa"/>
            <w:tcBorders>
              <w:top w:val="single" w:sz="4" w:space="0" w:color="auto"/>
              <w:bottom w:val="single" w:sz="12" w:space="0" w:color="auto"/>
            </w:tcBorders>
            <w:shd w:val="clear" w:color="auto" w:fill="auto"/>
            <w:vAlign w:val="bottom"/>
          </w:tcPr>
          <w:p w:rsidR="00E74783" w:rsidRPr="00E74783" w:rsidRDefault="00E74783" w:rsidP="00E74783">
            <w:pPr>
              <w:spacing w:before="80" w:after="80" w:line="200" w:lineRule="exact"/>
              <w:ind w:right="113"/>
              <w:rPr>
                <w:i/>
                <w:sz w:val="16"/>
              </w:rPr>
            </w:pPr>
            <w:r w:rsidRPr="00E74783">
              <w:rPr>
                <w:i/>
                <w:sz w:val="16"/>
              </w:rPr>
              <w:t>N</w:t>
            </w:r>
            <w:r w:rsidRPr="00E74783">
              <w:rPr>
                <w:i/>
                <w:sz w:val="16"/>
                <w:vertAlign w:val="superscript"/>
              </w:rPr>
              <w:t>o</w:t>
            </w:r>
            <w:r>
              <w:rPr>
                <w:i/>
                <w:sz w:val="16"/>
              </w:rPr>
              <w:t> </w:t>
            </w:r>
            <w:r w:rsidRPr="00E74783">
              <w:rPr>
                <w:i/>
                <w:sz w:val="16"/>
              </w:rPr>
              <w:t>de l’article</w:t>
            </w:r>
          </w:p>
        </w:tc>
        <w:tc>
          <w:tcPr>
            <w:tcW w:w="3544" w:type="dxa"/>
            <w:tcBorders>
              <w:top w:val="single" w:sz="4" w:space="0" w:color="auto"/>
              <w:bottom w:val="single" w:sz="12" w:space="0" w:color="auto"/>
            </w:tcBorders>
            <w:shd w:val="clear" w:color="auto" w:fill="auto"/>
            <w:vAlign w:val="bottom"/>
          </w:tcPr>
          <w:p w:rsidR="00E74783" w:rsidRPr="00E74783" w:rsidRDefault="00E74783" w:rsidP="00E74783">
            <w:pPr>
              <w:spacing w:before="80" w:after="80" w:line="200" w:lineRule="exact"/>
              <w:ind w:right="113"/>
              <w:rPr>
                <w:i/>
                <w:sz w:val="16"/>
              </w:rPr>
            </w:pPr>
            <w:r w:rsidRPr="00E74783">
              <w:rPr>
                <w:i/>
                <w:sz w:val="16"/>
              </w:rPr>
              <w:t>Objet</w:t>
            </w:r>
          </w:p>
        </w:tc>
        <w:tc>
          <w:tcPr>
            <w:tcW w:w="2692" w:type="dxa"/>
            <w:tcBorders>
              <w:top w:val="single" w:sz="4" w:space="0" w:color="auto"/>
              <w:bottom w:val="single" w:sz="12" w:space="0" w:color="auto"/>
            </w:tcBorders>
            <w:shd w:val="clear" w:color="auto" w:fill="auto"/>
            <w:vAlign w:val="bottom"/>
          </w:tcPr>
          <w:p w:rsidR="00E74783" w:rsidRPr="00E74783" w:rsidRDefault="00E74783" w:rsidP="00E74783">
            <w:pPr>
              <w:spacing w:before="80" w:after="80" w:line="200" w:lineRule="exact"/>
              <w:ind w:right="113"/>
              <w:rPr>
                <w:i/>
                <w:sz w:val="16"/>
              </w:rPr>
            </w:pPr>
            <w:r w:rsidRPr="00E74783">
              <w:rPr>
                <w:i/>
                <w:sz w:val="16"/>
              </w:rPr>
              <w:t>Observations supplémentaires</w:t>
            </w:r>
          </w:p>
        </w:tc>
      </w:tr>
      <w:tr w:rsidR="00E74783" w:rsidRPr="00E74783" w:rsidTr="000F49A3">
        <w:trPr>
          <w:trHeight w:hRule="exact" w:val="113"/>
          <w:tblHeader/>
        </w:trPr>
        <w:tc>
          <w:tcPr>
            <w:tcW w:w="1134" w:type="dxa"/>
            <w:tcBorders>
              <w:top w:val="single" w:sz="12" w:space="0" w:color="auto"/>
            </w:tcBorders>
            <w:shd w:val="clear" w:color="auto" w:fill="auto"/>
          </w:tcPr>
          <w:p w:rsidR="00E74783" w:rsidRPr="00E74783" w:rsidRDefault="00E74783" w:rsidP="00E74783">
            <w:pPr>
              <w:spacing w:before="40" w:after="120"/>
              <w:ind w:right="113"/>
            </w:pPr>
          </w:p>
        </w:tc>
        <w:tc>
          <w:tcPr>
            <w:tcW w:w="3544" w:type="dxa"/>
            <w:tcBorders>
              <w:top w:val="single" w:sz="12" w:space="0" w:color="auto"/>
            </w:tcBorders>
            <w:shd w:val="clear" w:color="auto" w:fill="auto"/>
          </w:tcPr>
          <w:p w:rsidR="00E74783" w:rsidRPr="00E74783" w:rsidRDefault="00E74783" w:rsidP="00E74783">
            <w:pPr>
              <w:spacing w:before="40" w:after="120"/>
              <w:ind w:right="113"/>
            </w:pPr>
          </w:p>
        </w:tc>
        <w:tc>
          <w:tcPr>
            <w:tcW w:w="2692" w:type="dxa"/>
            <w:tcBorders>
              <w:top w:val="single" w:sz="12" w:space="0" w:color="auto"/>
            </w:tcBorders>
            <w:shd w:val="clear" w:color="auto" w:fill="auto"/>
          </w:tcPr>
          <w:p w:rsidR="00E74783" w:rsidRPr="00E74783" w:rsidRDefault="00E74783" w:rsidP="00E74783">
            <w:pPr>
              <w:spacing w:before="40" w:after="120"/>
              <w:ind w:right="113"/>
            </w:pPr>
          </w:p>
        </w:tc>
      </w:tr>
      <w:tr w:rsidR="00E74783" w:rsidRPr="00E74783" w:rsidTr="000F49A3">
        <w:tc>
          <w:tcPr>
            <w:tcW w:w="1134" w:type="dxa"/>
            <w:shd w:val="clear" w:color="auto" w:fill="auto"/>
          </w:tcPr>
          <w:p w:rsidR="00E74783" w:rsidRPr="00E74783" w:rsidRDefault="00E74783" w:rsidP="00E74783">
            <w:pPr>
              <w:spacing w:before="40" w:after="120"/>
              <w:ind w:right="113"/>
            </w:pPr>
            <w:r w:rsidRPr="00E74783">
              <w:t>1.2.1</w:t>
            </w:r>
          </w:p>
        </w:tc>
        <w:tc>
          <w:tcPr>
            <w:tcW w:w="3544" w:type="dxa"/>
            <w:shd w:val="clear" w:color="auto" w:fill="auto"/>
          </w:tcPr>
          <w:p w:rsidR="00E74783" w:rsidRPr="00E74783" w:rsidRDefault="00E74783" w:rsidP="00E74783">
            <w:pPr>
              <w:spacing w:before="40" w:after="120"/>
              <w:ind w:right="113"/>
            </w:pPr>
            <w:r w:rsidRPr="00E74783">
              <w:t xml:space="preserve">Définir la cuve à membrane en tant que quatrième </w:t>
            </w:r>
            <w:r w:rsidRPr="006A3B12">
              <w:rPr>
                <w:i/>
              </w:rPr>
              <w:t>type de citerne à cargaison</w:t>
            </w:r>
          </w:p>
        </w:tc>
        <w:tc>
          <w:tcPr>
            <w:tcW w:w="2692" w:type="dxa"/>
            <w:shd w:val="clear" w:color="auto" w:fill="auto"/>
          </w:tcPr>
          <w:p w:rsidR="00E74783" w:rsidRPr="00E74783" w:rsidRDefault="00E74783" w:rsidP="00E74783">
            <w:pPr>
              <w:spacing w:before="40" w:after="120"/>
              <w:ind w:right="113"/>
            </w:pPr>
            <w:r w:rsidRPr="00E74783">
              <w:t xml:space="preserve">Voir Recueil IGC, 4.1.5, </w:t>
            </w:r>
            <w:r>
              <w:t>4.24.1.1, 4.24.1.3, 4.24.1.4 et </w:t>
            </w:r>
            <w:r w:rsidRPr="00E74783">
              <w:t>4.24.1.7</w:t>
            </w:r>
          </w:p>
        </w:tc>
      </w:tr>
      <w:tr w:rsidR="00E74783" w:rsidRPr="00E74783" w:rsidTr="000F49A3">
        <w:tc>
          <w:tcPr>
            <w:tcW w:w="1134" w:type="dxa"/>
            <w:shd w:val="clear" w:color="auto" w:fill="auto"/>
          </w:tcPr>
          <w:p w:rsidR="00E74783" w:rsidRPr="00E74783" w:rsidRDefault="00E74783" w:rsidP="00E74783">
            <w:pPr>
              <w:spacing w:before="40" w:after="120"/>
              <w:ind w:right="113"/>
            </w:pPr>
            <w:r w:rsidRPr="00E74783">
              <w:t>1.2.1</w:t>
            </w:r>
          </w:p>
        </w:tc>
        <w:tc>
          <w:tcPr>
            <w:tcW w:w="3544" w:type="dxa"/>
            <w:shd w:val="clear" w:color="auto" w:fill="auto"/>
          </w:tcPr>
          <w:p w:rsidR="00E74783" w:rsidRPr="00E74783" w:rsidRDefault="00E74783" w:rsidP="00E74783">
            <w:pPr>
              <w:spacing w:before="40" w:after="120"/>
              <w:ind w:right="113"/>
            </w:pPr>
            <w:r w:rsidRPr="00E74783">
              <w:t>Définir le Recueil IGC</w:t>
            </w:r>
          </w:p>
        </w:tc>
        <w:tc>
          <w:tcPr>
            <w:tcW w:w="2692" w:type="dxa"/>
            <w:shd w:val="clear" w:color="auto" w:fill="auto"/>
          </w:tcPr>
          <w:p w:rsidR="00E74783" w:rsidRPr="00E74783" w:rsidRDefault="00E74783" w:rsidP="00E74783">
            <w:pPr>
              <w:spacing w:before="40" w:after="120"/>
              <w:ind w:right="113"/>
            </w:pPr>
            <w:r w:rsidRPr="00E74783">
              <w:t>Le Recueil IGC est l’appellation abrégée du Recueil international de règles relatives à la construction et à l’équipement des navires transportant des gaz liquéfiés en vrac, publié par l’Organisation maritime internationale (OMI)</w:t>
            </w:r>
          </w:p>
        </w:tc>
      </w:tr>
      <w:tr w:rsidR="00E74783" w:rsidRPr="00E74783" w:rsidTr="000F49A3">
        <w:tc>
          <w:tcPr>
            <w:tcW w:w="1134" w:type="dxa"/>
            <w:shd w:val="clear" w:color="auto" w:fill="auto"/>
          </w:tcPr>
          <w:p w:rsidR="00E74783" w:rsidRPr="00E74783" w:rsidRDefault="00E74783" w:rsidP="00561855">
            <w:pPr>
              <w:keepNext/>
              <w:keepLines/>
              <w:spacing w:before="40" w:after="120"/>
              <w:ind w:right="113"/>
            </w:pPr>
            <w:r w:rsidRPr="00E74783">
              <w:t>1.2.1</w:t>
            </w:r>
          </w:p>
        </w:tc>
        <w:tc>
          <w:tcPr>
            <w:tcW w:w="3544" w:type="dxa"/>
            <w:shd w:val="clear" w:color="auto" w:fill="auto"/>
          </w:tcPr>
          <w:p w:rsidR="00E74783" w:rsidRPr="00E74783" w:rsidRDefault="00E74783" w:rsidP="00561855">
            <w:pPr>
              <w:keepNext/>
              <w:keepLines/>
              <w:spacing w:before="40" w:after="120"/>
              <w:ind w:right="113"/>
            </w:pPr>
            <w:r w:rsidRPr="00E74783">
              <w:t xml:space="preserve">Ajouter le G.2.4 en tant qu’autre </w:t>
            </w:r>
            <w:r w:rsidRPr="006A3B12">
              <w:rPr>
                <w:i/>
              </w:rPr>
              <w:t>Type de</w:t>
            </w:r>
            <w:r w:rsidR="000F49A3" w:rsidRPr="006A3B12">
              <w:rPr>
                <w:i/>
              </w:rPr>
              <w:t> </w:t>
            </w:r>
            <w:r w:rsidRPr="006A3B12">
              <w:rPr>
                <w:i/>
              </w:rPr>
              <w:t>navire, du Type G</w:t>
            </w:r>
          </w:p>
        </w:tc>
        <w:tc>
          <w:tcPr>
            <w:tcW w:w="2692" w:type="dxa"/>
            <w:shd w:val="clear" w:color="auto" w:fill="auto"/>
          </w:tcPr>
          <w:p w:rsidR="00E74783" w:rsidRPr="00E74783" w:rsidRDefault="00E74783" w:rsidP="00561855">
            <w:pPr>
              <w:keepNext/>
              <w:keepLines/>
              <w:spacing w:before="40" w:after="120"/>
              <w:ind w:right="113"/>
            </w:pPr>
            <w:r w:rsidRPr="00E74783">
              <w:t xml:space="preserve">Ajouter un dessin intitulé </w:t>
            </w:r>
            <w:r>
              <w:t>« </w:t>
            </w:r>
            <w:r w:rsidRPr="00E74783">
              <w:t>Type</w:t>
            </w:r>
            <w:r>
              <w:t> </w:t>
            </w:r>
            <w:r w:rsidRPr="00E74783">
              <w:t>G, conc</w:t>
            </w:r>
            <w:r w:rsidR="000F49A3">
              <w:t>eption des citernes à cargaison 2, Type de citerne à cargaison </w:t>
            </w:r>
            <w:r w:rsidRPr="00E74783">
              <w:t>4 (cuve à membrane)</w:t>
            </w:r>
            <w:r>
              <w:t> »</w:t>
            </w:r>
          </w:p>
        </w:tc>
      </w:tr>
      <w:tr w:rsidR="00E74783" w:rsidRPr="00E74783" w:rsidTr="000F49A3">
        <w:tc>
          <w:tcPr>
            <w:tcW w:w="1134" w:type="dxa"/>
            <w:shd w:val="clear" w:color="auto" w:fill="auto"/>
          </w:tcPr>
          <w:p w:rsidR="00E74783" w:rsidRPr="00E74783" w:rsidRDefault="00E74783" w:rsidP="00E74783">
            <w:pPr>
              <w:spacing w:before="40" w:after="120"/>
              <w:ind w:right="113"/>
            </w:pPr>
            <w:r w:rsidRPr="00E74783">
              <w:t>3.2</w:t>
            </w:r>
          </w:p>
        </w:tc>
        <w:tc>
          <w:tcPr>
            <w:tcW w:w="3544" w:type="dxa"/>
            <w:shd w:val="clear" w:color="auto" w:fill="auto"/>
          </w:tcPr>
          <w:p w:rsidR="00E74783" w:rsidRPr="00E74783" w:rsidRDefault="00E74783" w:rsidP="00E74783">
            <w:pPr>
              <w:spacing w:before="40" w:after="120"/>
              <w:ind w:right="113"/>
            </w:pPr>
            <w:r w:rsidRPr="00E74783">
              <w:t>Ajouter des lignes pour certains numéros ONU dans le tableau</w:t>
            </w:r>
            <w:r>
              <w:t> </w:t>
            </w:r>
            <w:r w:rsidRPr="00E74783">
              <w:t>C</w:t>
            </w:r>
          </w:p>
        </w:tc>
        <w:tc>
          <w:tcPr>
            <w:tcW w:w="2692" w:type="dxa"/>
            <w:shd w:val="clear" w:color="auto" w:fill="auto"/>
          </w:tcPr>
          <w:p w:rsidR="00E74783" w:rsidRPr="00E74783" w:rsidRDefault="00E74783" w:rsidP="00E74783">
            <w:pPr>
              <w:spacing w:before="40" w:after="120"/>
              <w:ind w:right="113"/>
            </w:pPr>
          </w:p>
        </w:tc>
      </w:tr>
      <w:tr w:rsidR="00E74783" w:rsidRPr="00E74783" w:rsidTr="000F49A3">
        <w:tc>
          <w:tcPr>
            <w:tcW w:w="1134" w:type="dxa"/>
            <w:shd w:val="clear" w:color="auto" w:fill="auto"/>
          </w:tcPr>
          <w:p w:rsidR="00E74783" w:rsidRPr="00E74783" w:rsidRDefault="00E74783" w:rsidP="00E74783">
            <w:pPr>
              <w:spacing w:before="40" w:after="120"/>
              <w:ind w:right="113"/>
            </w:pPr>
            <w:r>
              <w:lastRenderedPageBreak/>
              <w:t>7.2 (en </w:t>
            </w:r>
            <w:r w:rsidRPr="00E74783">
              <w:t>général)</w:t>
            </w:r>
          </w:p>
        </w:tc>
        <w:tc>
          <w:tcPr>
            <w:tcW w:w="3544" w:type="dxa"/>
            <w:shd w:val="clear" w:color="auto" w:fill="auto"/>
          </w:tcPr>
          <w:p w:rsidR="00E74783" w:rsidRPr="00E74783" w:rsidRDefault="00E74783" w:rsidP="00E74783">
            <w:pPr>
              <w:spacing w:before="40" w:after="120"/>
              <w:ind w:right="113"/>
            </w:pPr>
            <w:r w:rsidRPr="00E74783">
              <w:t>Vérifier que</w:t>
            </w:r>
            <w:r w:rsidR="007E6D98">
              <w:t>lles prescriptions relatives au </w:t>
            </w:r>
            <w:r w:rsidRPr="00E74783">
              <w:t>chargement, au transport, au déchargement et à la manutention de la cargaison s’appliquent au transport dans des cuves à membrane et/ou doivent être adaptées</w:t>
            </w:r>
          </w:p>
        </w:tc>
        <w:tc>
          <w:tcPr>
            <w:tcW w:w="2692" w:type="dxa"/>
            <w:shd w:val="clear" w:color="auto" w:fill="auto"/>
          </w:tcPr>
          <w:p w:rsidR="00E74783" w:rsidRPr="00E74783" w:rsidRDefault="00E74783" w:rsidP="00E74783">
            <w:pPr>
              <w:spacing w:before="40" w:after="120"/>
              <w:ind w:right="113"/>
            </w:pPr>
            <w:r w:rsidRPr="00E74783">
              <w:t>Par exemple, l’</w:t>
            </w:r>
            <w:r w:rsidR="007E6D98">
              <w:t>état de </w:t>
            </w:r>
            <w:r w:rsidRPr="00E74783">
              <w:t>remplissage</w:t>
            </w:r>
          </w:p>
        </w:tc>
      </w:tr>
      <w:tr w:rsidR="00E74783" w:rsidRPr="00E74783" w:rsidTr="000F49A3">
        <w:tc>
          <w:tcPr>
            <w:tcW w:w="1134" w:type="dxa"/>
            <w:shd w:val="clear" w:color="auto" w:fill="auto"/>
          </w:tcPr>
          <w:p w:rsidR="00E74783" w:rsidRPr="00E74783" w:rsidRDefault="00E74783" w:rsidP="00E66562">
            <w:pPr>
              <w:keepNext/>
              <w:keepLines/>
              <w:spacing w:before="40" w:after="120"/>
              <w:ind w:right="113"/>
            </w:pPr>
            <w:r w:rsidRPr="00E74783">
              <w:t>7.2.1.21</w:t>
            </w:r>
          </w:p>
        </w:tc>
        <w:tc>
          <w:tcPr>
            <w:tcW w:w="3544" w:type="dxa"/>
            <w:shd w:val="clear" w:color="auto" w:fill="auto"/>
          </w:tcPr>
          <w:p w:rsidR="00E74783" w:rsidRPr="00E74783" w:rsidRDefault="00E74783" w:rsidP="00E66562">
            <w:pPr>
              <w:keepNext/>
              <w:keepLines/>
              <w:spacing w:before="40" w:after="120"/>
              <w:ind w:right="113"/>
            </w:pPr>
            <w:r w:rsidRPr="00E74783">
              <w:t>Spécif</w:t>
            </w:r>
            <w:r>
              <w:t>ier que les cuves à membrane ne </w:t>
            </w:r>
            <w:r w:rsidRPr="00E74783">
              <w:t>constituent qu’une solution de substitution pour certaines matières actuellement transportées en bateaux-citernes de type</w:t>
            </w:r>
            <w:r>
              <w:t> </w:t>
            </w:r>
            <w:r w:rsidRPr="00E74783">
              <w:t>G.1.1</w:t>
            </w:r>
          </w:p>
        </w:tc>
        <w:tc>
          <w:tcPr>
            <w:tcW w:w="2692" w:type="dxa"/>
            <w:shd w:val="clear" w:color="auto" w:fill="auto"/>
          </w:tcPr>
          <w:p w:rsidR="00E74783" w:rsidRPr="00E74783" w:rsidRDefault="00E74783" w:rsidP="00E66562">
            <w:pPr>
              <w:keepNext/>
              <w:keepLines/>
              <w:spacing w:before="40" w:after="120"/>
              <w:ind w:right="113"/>
            </w:pPr>
          </w:p>
        </w:tc>
      </w:tr>
      <w:tr w:rsidR="00E74783" w:rsidRPr="00E74783" w:rsidTr="000F49A3">
        <w:tc>
          <w:tcPr>
            <w:tcW w:w="1134" w:type="dxa"/>
            <w:shd w:val="clear" w:color="auto" w:fill="auto"/>
          </w:tcPr>
          <w:p w:rsidR="00E74783" w:rsidRPr="00E74783" w:rsidRDefault="00E74783" w:rsidP="00E74783">
            <w:pPr>
              <w:spacing w:before="40" w:after="120"/>
              <w:ind w:right="113"/>
            </w:pPr>
            <w:r w:rsidRPr="00E74783">
              <w:t xml:space="preserve">7.2.4.16.16 </w:t>
            </w:r>
          </w:p>
        </w:tc>
        <w:tc>
          <w:tcPr>
            <w:tcW w:w="3544" w:type="dxa"/>
            <w:shd w:val="clear" w:color="auto" w:fill="auto"/>
          </w:tcPr>
          <w:p w:rsidR="00E74783" w:rsidRPr="00E74783" w:rsidRDefault="00E74783" w:rsidP="007E6D98">
            <w:pPr>
              <w:spacing w:before="40" w:after="120"/>
              <w:ind w:right="113"/>
            </w:pPr>
            <w:r w:rsidRPr="00E74783">
              <w:t>Mesures à prendre avant le chargement de</w:t>
            </w:r>
            <w:r w:rsidR="007E6D98">
              <w:t> </w:t>
            </w:r>
            <w:r w:rsidRPr="00E74783">
              <w:t>gaz liquéfiés réfrigérés</w:t>
            </w:r>
          </w:p>
        </w:tc>
        <w:tc>
          <w:tcPr>
            <w:tcW w:w="2692" w:type="dxa"/>
            <w:shd w:val="clear" w:color="auto" w:fill="auto"/>
          </w:tcPr>
          <w:p w:rsidR="00E74783" w:rsidRPr="00E74783" w:rsidRDefault="00E74783" w:rsidP="00E74783">
            <w:pPr>
              <w:spacing w:before="40" w:after="120"/>
              <w:ind w:right="113"/>
            </w:pPr>
          </w:p>
        </w:tc>
      </w:tr>
      <w:tr w:rsidR="00E74783" w:rsidRPr="00E74783" w:rsidTr="000F49A3">
        <w:tc>
          <w:tcPr>
            <w:tcW w:w="1134" w:type="dxa"/>
            <w:shd w:val="clear" w:color="auto" w:fill="auto"/>
          </w:tcPr>
          <w:p w:rsidR="00E74783" w:rsidRPr="00E74783" w:rsidRDefault="00E74783" w:rsidP="00E74783">
            <w:pPr>
              <w:spacing w:before="40" w:after="120"/>
              <w:ind w:right="113"/>
            </w:pPr>
            <w:r w:rsidRPr="00E74783">
              <w:t>7.2.4.16.17</w:t>
            </w:r>
          </w:p>
        </w:tc>
        <w:tc>
          <w:tcPr>
            <w:tcW w:w="3544" w:type="dxa"/>
            <w:shd w:val="clear" w:color="auto" w:fill="auto"/>
          </w:tcPr>
          <w:p w:rsidR="00E74783" w:rsidRPr="00E74783" w:rsidRDefault="00E74783" w:rsidP="00E74783">
            <w:pPr>
              <w:spacing w:before="40" w:after="120"/>
              <w:ind w:right="113"/>
            </w:pPr>
            <w:r w:rsidRPr="00E74783">
              <w:t>Détermination du temps de retenue</w:t>
            </w:r>
          </w:p>
        </w:tc>
        <w:tc>
          <w:tcPr>
            <w:tcW w:w="2692" w:type="dxa"/>
            <w:shd w:val="clear" w:color="auto" w:fill="auto"/>
          </w:tcPr>
          <w:p w:rsidR="00E74783" w:rsidRPr="00E74783" w:rsidRDefault="00E74783" w:rsidP="00E74783">
            <w:pPr>
              <w:spacing w:before="40" w:after="120"/>
              <w:ind w:right="113"/>
            </w:pPr>
          </w:p>
        </w:tc>
      </w:tr>
      <w:tr w:rsidR="00E74783" w:rsidRPr="00E74783" w:rsidTr="000F49A3">
        <w:tc>
          <w:tcPr>
            <w:tcW w:w="1134" w:type="dxa"/>
            <w:shd w:val="clear" w:color="auto" w:fill="auto"/>
          </w:tcPr>
          <w:p w:rsidR="00E74783" w:rsidRPr="00E74783" w:rsidRDefault="00E74783" w:rsidP="00E74783">
            <w:pPr>
              <w:spacing w:before="40" w:after="120"/>
              <w:ind w:right="113"/>
            </w:pPr>
            <w:r w:rsidRPr="00E74783">
              <w:t>8.2.2.3.3.1</w:t>
            </w:r>
          </w:p>
        </w:tc>
        <w:tc>
          <w:tcPr>
            <w:tcW w:w="3544" w:type="dxa"/>
            <w:shd w:val="clear" w:color="auto" w:fill="auto"/>
          </w:tcPr>
          <w:p w:rsidR="00E74783" w:rsidRPr="00E74783" w:rsidRDefault="00E74783" w:rsidP="00E74783">
            <w:pPr>
              <w:spacing w:before="40" w:after="120"/>
              <w:ind w:right="113"/>
            </w:pPr>
            <w:r w:rsidRPr="00E74783">
              <w:t xml:space="preserve">Ajouter la connaissance des cuves à membrane aux objectifs du cours de spécialisation </w:t>
            </w:r>
            <w:r>
              <w:t>« </w:t>
            </w:r>
            <w:r w:rsidRPr="00E74783">
              <w:t>gaz</w:t>
            </w:r>
            <w:r>
              <w:t> »</w:t>
            </w:r>
          </w:p>
        </w:tc>
        <w:tc>
          <w:tcPr>
            <w:tcW w:w="2692" w:type="dxa"/>
            <w:shd w:val="clear" w:color="auto" w:fill="auto"/>
          </w:tcPr>
          <w:p w:rsidR="00E74783" w:rsidRPr="00E74783" w:rsidRDefault="00E74783" w:rsidP="00E74783">
            <w:pPr>
              <w:spacing w:before="40" w:after="120"/>
              <w:ind w:right="113"/>
            </w:pPr>
          </w:p>
        </w:tc>
      </w:tr>
      <w:tr w:rsidR="00E74783" w:rsidRPr="00E74783" w:rsidTr="000F49A3">
        <w:tc>
          <w:tcPr>
            <w:tcW w:w="1134" w:type="dxa"/>
            <w:shd w:val="clear" w:color="auto" w:fill="auto"/>
          </w:tcPr>
          <w:p w:rsidR="00E74783" w:rsidRPr="00E74783" w:rsidRDefault="00E74783" w:rsidP="00E74783">
            <w:pPr>
              <w:spacing w:before="40" w:after="120"/>
              <w:ind w:right="113"/>
            </w:pPr>
            <w:r>
              <w:t>9.3.1 (en </w:t>
            </w:r>
            <w:r w:rsidRPr="00E74783">
              <w:t>général)</w:t>
            </w:r>
          </w:p>
        </w:tc>
        <w:tc>
          <w:tcPr>
            <w:tcW w:w="3544" w:type="dxa"/>
            <w:shd w:val="clear" w:color="auto" w:fill="auto"/>
          </w:tcPr>
          <w:p w:rsidR="00E74783" w:rsidRPr="00E74783" w:rsidRDefault="00E74783" w:rsidP="00E74783">
            <w:pPr>
              <w:spacing w:before="40" w:after="120"/>
              <w:ind w:right="113"/>
            </w:pPr>
            <w:r w:rsidRPr="00E74783">
              <w:t>Vérifier quelles prescriptions en matière de constru</w:t>
            </w:r>
            <w:r w:rsidR="003151D3">
              <w:t>ction doivent être modifiées en </w:t>
            </w:r>
            <w:r w:rsidRPr="00E74783">
              <w:t>vue de</w:t>
            </w:r>
            <w:r w:rsidR="003151D3">
              <w:t xml:space="preserve"> la prise en compte des cuves à </w:t>
            </w:r>
            <w:r w:rsidRPr="00E74783">
              <w:t>membrane</w:t>
            </w:r>
          </w:p>
        </w:tc>
        <w:tc>
          <w:tcPr>
            <w:tcW w:w="2692" w:type="dxa"/>
            <w:shd w:val="clear" w:color="auto" w:fill="auto"/>
          </w:tcPr>
          <w:p w:rsidR="00E74783" w:rsidRPr="00E74783" w:rsidRDefault="00E74783" w:rsidP="00E74783">
            <w:pPr>
              <w:spacing w:before="40" w:after="120"/>
              <w:ind w:right="113"/>
            </w:pPr>
            <w:r w:rsidRPr="00E74783">
              <w:t>Par exemple s’agissant de la st</w:t>
            </w:r>
            <w:r w:rsidR="000F49A3">
              <w:t>abilité, de l’évaporation ou du </w:t>
            </w:r>
            <w:r w:rsidRPr="00E74783">
              <w:t>ballottement</w:t>
            </w:r>
          </w:p>
        </w:tc>
      </w:tr>
      <w:tr w:rsidR="00E74783" w:rsidRPr="00E74783" w:rsidTr="000F49A3">
        <w:tc>
          <w:tcPr>
            <w:tcW w:w="1134" w:type="dxa"/>
            <w:shd w:val="clear" w:color="auto" w:fill="auto"/>
          </w:tcPr>
          <w:p w:rsidR="00E74783" w:rsidRPr="00E74783" w:rsidRDefault="00E74783" w:rsidP="00E74783">
            <w:pPr>
              <w:spacing w:before="40" w:after="120"/>
              <w:ind w:right="113"/>
            </w:pPr>
            <w:r w:rsidRPr="00E74783">
              <w:t>9.3.1.0</w:t>
            </w:r>
          </w:p>
        </w:tc>
        <w:tc>
          <w:tcPr>
            <w:tcW w:w="3544" w:type="dxa"/>
            <w:shd w:val="clear" w:color="auto" w:fill="auto"/>
          </w:tcPr>
          <w:p w:rsidR="00E74783" w:rsidRPr="00E74783" w:rsidRDefault="00E74783" w:rsidP="00E74783">
            <w:pPr>
              <w:spacing w:before="40" w:after="120"/>
              <w:ind w:right="113"/>
            </w:pPr>
            <w:r w:rsidRPr="00E74783">
              <w:t>Matériaux de construction</w:t>
            </w:r>
          </w:p>
        </w:tc>
        <w:tc>
          <w:tcPr>
            <w:tcW w:w="2692" w:type="dxa"/>
            <w:shd w:val="clear" w:color="auto" w:fill="auto"/>
          </w:tcPr>
          <w:p w:rsidR="00E74783" w:rsidRPr="00E74783" w:rsidRDefault="00E74783" w:rsidP="00E74783">
            <w:pPr>
              <w:spacing w:before="40" w:after="120"/>
              <w:ind w:right="113"/>
            </w:pPr>
            <w:r w:rsidRPr="00E74783">
              <w:t>Vérifier si tous les matériaux composant les cu</w:t>
            </w:r>
            <w:r w:rsidR="00817EB4">
              <w:t>ves à membrane sont conformes à </w:t>
            </w:r>
            <w:r w:rsidRPr="00E74783">
              <w:t>l’ADN</w:t>
            </w:r>
          </w:p>
        </w:tc>
      </w:tr>
      <w:tr w:rsidR="00E74783" w:rsidRPr="00E74783" w:rsidTr="000F49A3">
        <w:tc>
          <w:tcPr>
            <w:tcW w:w="1134" w:type="dxa"/>
            <w:tcBorders>
              <w:bottom w:val="single" w:sz="12" w:space="0" w:color="auto"/>
            </w:tcBorders>
            <w:shd w:val="clear" w:color="auto" w:fill="auto"/>
          </w:tcPr>
          <w:p w:rsidR="00E74783" w:rsidRPr="00E74783" w:rsidRDefault="00E74783" w:rsidP="00E74783">
            <w:pPr>
              <w:spacing w:before="40" w:after="120"/>
              <w:ind w:right="113"/>
            </w:pPr>
            <w:r w:rsidRPr="00E74783">
              <w:t>9.3.1.21</w:t>
            </w:r>
          </w:p>
        </w:tc>
        <w:tc>
          <w:tcPr>
            <w:tcW w:w="3544" w:type="dxa"/>
            <w:tcBorders>
              <w:bottom w:val="single" w:sz="12" w:space="0" w:color="auto"/>
            </w:tcBorders>
            <w:shd w:val="clear" w:color="auto" w:fill="auto"/>
          </w:tcPr>
          <w:p w:rsidR="00E74783" w:rsidRPr="00E74783" w:rsidRDefault="00E74783" w:rsidP="00E74783">
            <w:pPr>
              <w:spacing w:before="40" w:after="120"/>
              <w:ind w:right="113"/>
            </w:pPr>
            <w:r w:rsidRPr="00E74783">
              <w:t>Équipement de contrôle et de sécurité</w:t>
            </w:r>
          </w:p>
        </w:tc>
        <w:tc>
          <w:tcPr>
            <w:tcW w:w="2692" w:type="dxa"/>
            <w:tcBorders>
              <w:bottom w:val="single" w:sz="12" w:space="0" w:color="auto"/>
            </w:tcBorders>
            <w:shd w:val="clear" w:color="auto" w:fill="auto"/>
          </w:tcPr>
          <w:p w:rsidR="00E74783" w:rsidRPr="00E74783" w:rsidRDefault="00E74783" w:rsidP="00E74783">
            <w:pPr>
              <w:spacing w:before="40" w:after="120"/>
              <w:ind w:right="113"/>
            </w:pPr>
            <w:r w:rsidRPr="00E74783">
              <w:t>Vérifier si tous les équipements de sécurité des cuves à membrane sont prescrits</w:t>
            </w:r>
          </w:p>
        </w:tc>
      </w:tr>
    </w:tbl>
    <w:p w:rsidR="00F46E00" w:rsidRPr="00506358" w:rsidRDefault="00F46E00" w:rsidP="00F46E00">
      <w:pPr>
        <w:pStyle w:val="SingleTxtG"/>
        <w:spacing w:before="240"/>
      </w:pPr>
      <w:r>
        <w:t>15.</w:t>
      </w:r>
      <w:r>
        <w:tab/>
        <w:t xml:space="preserve">Le Comité de sécurité de l’ADN est prié de présenter ses observations sur ce premier inventaire et d’ajouter les articles ou sujets qu’il jugera pertinents. Ces observations et contributions permettront au </w:t>
      </w:r>
      <w:r w:rsidR="006A3B12">
        <w:t>g</w:t>
      </w:r>
      <w:r>
        <w:t>roupe de travail informel d’aborder la prochaine phase des travaux, à savoir l’élaboration d’amendements à l’ADN 2019.</w:t>
      </w:r>
    </w:p>
    <w:p w:rsidR="00F46E00" w:rsidRPr="00506358" w:rsidRDefault="00F46E00" w:rsidP="00F46E00">
      <w:pPr>
        <w:pStyle w:val="HChG"/>
      </w:pPr>
      <w:r>
        <w:tab/>
      </w:r>
      <w:r>
        <w:tab/>
        <w:t>Questions diverses</w:t>
      </w:r>
    </w:p>
    <w:p w:rsidR="00F46E00" w:rsidRDefault="00F46E00" w:rsidP="00A04B26">
      <w:pPr>
        <w:pStyle w:val="SingleTxtG"/>
      </w:pPr>
      <w:r>
        <w:t>16.</w:t>
      </w:r>
      <w:r>
        <w:tab/>
        <w:t xml:space="preserve">La prochaine réunion du </w:t>
      </w:r>
      <w:r w:rsidR="000C1CF7">
        <w:t>g</w:t>
      </w:r>
      <w:r>
        <w:t>roupe de travail informel devrait se tenir le mercredi 24 et le jeudi 25 avril à Paris (France). Toutes les autres parties intéressées sont cordialement invité</w:t>
      </w:r>
      <w:r w:rsidR="00130F51">
        <w:t>e</w:t>
      </w:r>
      <w:r>
        <w:t>s à y participer.</w:t>
      </w:r>
    </w:p>
    <w:p w:rsidR="00A04B26" w:rsidRPr="00A04B26" w:rsidRDefault="00A04B26" w:rsidP="00A04B26">
      <w:pPr>
        <w:pStyle w:val="SingleTxtG"/>
        <w:spacing w:before="240" w:after="0"/>
        <w:jc w:val="center"/>
        <w:rPr>
          <w:u w:val="single"/>
        </w:rPr>
      </w:pPr>
      <w:r>
        <w:rPr>
          <w:u w:val="single"/>
        </w:rPr>
        <w:tab/>
      </w:r>
      <w:r>
        <w:rPr>
          <w:u w:val="single"/>
        </w:rPr>
        <w:tab/>
      </w:r>
      <w:r>
        <w:rPr>
          <w:u w:val="single"/>
        </w:rPr>
        <w:tab/>
      </w:r>
    </w:p>
    <w:sectPr w:rsidR="00A04B26" w:rsidRPr="00A04B26" w:rsidSect="00A7468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E48" w:rsidRDefault="008D1E48" w:rsidP="00F95C08">
      <w:pPr>
        <w:spacing w:line="240" w:lineRule="auto"/>
      </w:pPr>
    </w:p>
  </w:endnote>
  <w:endnote w:type="continuationSeparator" w:id="0">
    <w:p w:rsidR="008D1E48" w:rsidRPr="00AC3823" w:rsidRDefault="008D1E48" w:rsidP="00AC3823">
      <w:pPr>
        <w:pStyle w:val="Footer"/>
      </w:pPr>
    </w:p>
  </w:endnote>
  <w:endnote w:type="continuationNotice" w:id="1">
    <w:p w:rsidR="008D1E48" w:rsidRDefault="008D1E48">
      <w:pPr>
        <w:spacing w:line="240" w:lineRule="auto"/>
      </w:pPr>
    </w:p>
  </w:endnote>
  <w:endnote w:id="2">
    <w:p w:rsidR="00396E88" w:rsidRPr="00A04B26" w:rsidRDefault="00396E88" w:rsidP="00A04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48" w:rsidRPr="00A74682" w:rsidRDefault="008D1E48" w:rsidP="00A74682">
    <w:pPr>
      <w:pStyle w:val="Footer"/>
      <w:tabs>
        <w:tab w:val="right" w:pos="9638"/>
      </w:tabs>
    </w:pPr>
    <w:r w:rsidRPr="00A74682">
      <w:rPr>
        <w:b/>
        <w:sz w:val="18"/>
      </w:rPr>
      <w:fldChar w:fldCharType="begin"/>
    </w:r>
    <w:r w:rsidRPr="00A74682">
      <w:rPr>
        <w:b/>
        <w:sz w:val="18"/>
      </w:rPr>
      <w:instrText xml:space="preserve"> PAGE  \* MERGEFORMAT </w:instrText>
    </w:r>
    <w:r w:rsidRPr="00A74682">
      <w:rPr>
        <w:b/>
        <w:sz w:val="18"/>
      </w:rPr>
      <w:fldChar w:fldCharType="separate"/>
    </w:r>
    <w:r w:rsidR="00F924D2">
      <w:rPr>
        <w:b/>
        <w:noProof/>
        <w:sz w:val="18"/>
      </w:rPr>
      <w:t>6</w:t>
    </w:r>
    <w:r w:rsidRPr="00A74682">
      <w:rPr>
        <w:b/>
        <w:sz w:val="18"/>
      </w:rPr>
      <w:fldChar w:fldCharType="end"/>
    </w:r>
    <w:r>
      <w:rPr>
        <w:b/>
        <w:sz w:val="18"/>
      </w:rPr>
      <w:tab/>
    </w:r>
    <w:r>
      <w:t>GE.18-18212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48" w:rsidRPr="00A74682" w:rsidRDefault="008D1E48" w:rsidP="00A74682">
    <w:pPr>
      <w:pStyle w:val="Footer"/>
      <w:tabs>
        <w:tab w:val="right" w:pos="9638"/>
      </w:tabs>
      <w:rPr>
        <w:b/>
        <w:sz w:val="18"/>
      </w:rPr>
    </w:pPr>
    <w:r>
      <w:t>GE.18-18212</w:t>
    </w:r>
    <w:r>
      <w:tab/>
    </w:r>
    <w:r w:rsidRPr="00A74682">
      <w:rPr>
        <w:b/>
        <w:sz w:val="18"/>
      </w:rPr>
      <w:fldChar w:fldCharType="begin"/>
    </w:r>
    <w:r w:rsidRPr="00A74682">
      <w:rPr>
        <w:b/>
        <w:sz w:val="18"/>
      </w:rPr>
      <w:instrText xml:space="preserve"> PAGE  \* MERGEFORMAT </w:instrText>
    </w:r>
    <w:r w:rsidRPr="00A74682">
      <w:rPr>
        <w:b/>
        <w:sz w:val="18"/>
      </w:rPr>
      <w:fldChar w:fldCharType="separate"/>
    </w:r>
    <w:r w:rsidR="00F924D2">
      <w:rPr>
        <w:b/>
        <w:noProof/>
        <w:sz w:val="18"/>
      </w:rPr>
      <w:t>5</w:t>
    </w:r>
    <w:r w:rsidRPr="00A746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48" w:rsidRPr="00A74682" w:rsidRDefault="008D1E48" w:rsidP="00A74682">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18-18212  (F)    211118    031218</w:t>
    </w:r>
    <w:r>
      <w:rPr>
        <w:sz w:val="20"/>
      </w:rPr>
      <w:br/>
    </w:r>
    <w:r w:rsidRPr="00A74682">
      <w:rPr>
        <w:rFonts w:ascii="C39T30Lfz" w:hAnsi="C39T30Lfz"/>
        <w:sz w:val="56"/>
      </w:rPr>
      <w:t></w:t>
    </w:r>
    <w:r w:rsidRPr="00A74682">
      <w:rPr>
        <w:rFonts w:ascii="C39T30Lfz" w:hAnsi="C39T30Lfz"/>
        <w:sz w:val="56"/>
      </w:rPr>
      <w:t></w:t>
    </w:r>
    <w:r w:rsidRPr="00A74682">
      <w:rPr>
        <w:rFonts w:ascii="C39T30Lfz" w:hAnsi="C39T30Lfz"/>
        <w:sz w:val="56"/>
      </w:rPr>
      <w:t></w:t>
    </w:r>
    <w:r w:rsidRPr="00A74682">
      <w:rPr>
        <w:rFonts w:ascii="C39T30Lfz" w:hAnsi="C39T30Lfz"/>
        <w:sz w:val="56"/>
      </w:rPr>
      <w:t></w:t>
    </w:r>
    <w:r w:rsidRPr="00A74682">
      <w:rPr>
        <w:rFonts w:ascii="C39T30Lfz" w:hAnsi="C39T30Lfz"/>
        <w:sz w:val="56"/>
      </w:rPr>
      <w:t></w:t>
    </w:r>
    <w:r w:rsidRPr="00A74682">
      <w:rPr>
        <w:rFonts w:ascii="C39T30Lfz" w:hAnsi="C39T30Lfz"/>
        <w:sz w:val="56"/>
      </w:rPr>
      <w:t></w:t>
    </w:r>
    <w:r w:rsidRPr="00A74682">
      <w:rPr>
        <w:rFonts w:ascii="C39T30Lfz" w:hAnsi="C39T30Lfz"/>
        <w:sz w:val="56"/>
      </w:rPr>
      <w:t></w:t>
    </w:r>
    <w:r w:rsidRPr="00A74682">
      <w:rPr>
        <w:rFonts w:ascii="C39T30Lfz" w:hAnsi="C39T30Lfz"/>
        <w:sz w:val="56"/>
      </w:rPr>
      <w:t></w:t>
    </w:r>
    <w:r w:rsidRPr="00A7468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9/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E48" w:rsidRPr="00AC3823" w:rsidRDefault="008D1E48" w:rsidP="00AC3823">
      <w:pPr>
        <w:pStyle w:val="Footer"/>
        <w:tabs>
          <w:tab w:val="right" w:pos="2155"/>
        </w:tabs>
        <w:spacing w:after="80" w:line="240" w:lineRule="atLeast"/>
        <w:ind w:left="680"/>
        <w:rPr>
          <w:u w:val="single"/>
        </w:rPr>
      </w:pPr>
      <w:r>
        <w:rPr>
          <w:u w:val="single"/>
        </w:rPr>
        <w:tab/>
      </w:r>
    </w:p>
  </w:footnote>
  <w:footnote w:type="continuationSeparator" w:id="0">
    <w:p w:rsidR="008D1E48" w:rsidRPr="00AC3823" w:rsidRDefault="008D1E48" w:rsidP="00AC3823">
      <w:pPr>
        <w:pStyle w:val="Footer"/>
        <w:tabs>
          <w:tab w:val="right" w:pos="2155"/>
        </w:tabs>
        <w:spacing w:after="80" w:line="240" w:lineRule="atLeast"/>
        <w:ind w:left="680"/>
        <w:rPr>
          <w:u w:val="single"/>
        </w:rPr>
      </w:pPr>
      <w:r>
        <w:rPr>
          <w:u w:val="single"/>
        </w:rPr>
        <w:tab/>
      </w:r>
    </w:p>
  </w:footnote>
  <w:footnote w:type="continuationNotice" w:id="1">
    <w:p w:rsidR="008D1E48" w:rsidRPr="00AC3823" w:rsidRDefault="008D1E48">
      <w:pPr>
        <w:spacing w:line="240" w:lineRule="auto"/>
        <w:rPr>
          <w:sz w:val="2"/>
          <w:szCs w:val="2"/>
        </w:rPr>
      </w:pPr>
    </w:p>
  </w:footnote>
  <w:footnote w:id="2">
    <w:p w:rsidR="008D1E48" w:rsidRPr="008A4E12" w:rsidRDefault="008D1E48">
      <w:pPr>
        <w:pStyle w:val="FootnoteText"/>
      </w:pPr>
      <w:r>
        <w:rPr>
          <w:rStyle w:val="FootnoteReference"/>
        </w:rPr>
        <w:tab/>
      </w:r>
      <w:r w:rsidRPr="008A4E12">
        <w:rPr>
          <w:rStyle w:val="FootnoteReference"/>
          <w:sz w:val="20"/>
          <w:vertAlign w:val="baseline"/>
        </w:rPr>
        <w:t>*</w:t>
      </w:r>
      <w:r>
        <w:rPr>
          <w:rStyle w:val="FootnoteReference"/>
          <w:sz w:val="20"/>
          <w:vertAlign w:val="baseline"/>
        </w:rPr>
        <w:tab/>
      </w:r>
      <w:r w:rsidR="007537A1">
        <w:rPr>
          <w:lang w:val="fr-FR"/>
        </w:rPr>
        <w:t>Publié en langue allemande par la Commission centrale pour la navigation du Rhin sous la cote CCNR/ZKR/ADN/WP.15/AC.2/2019/14.</w:t>
      </w:r>
    </w:p>
  </w:footnote>
  <w:footnote w:id="3">
    <w:p w:rsidR="008D1E48" w:rsidRPr="008A4E12" w:rsidRDefault="008D1E48">
      <w:pPr>
        <w:pStyle w:val="FootnoteText"/>
      </w:pPr>
      <w:r w:rsidRPr="007537A1">
        <w:rPr>
          <w:rStyle w:val="FootnoteReference"/>
          <w:spacing w:val="-1"/>
        </w:rPr>
        <w:tab/>
      </w:r>
      <w:r w:rsidRPr="007537A1">
        <w:rPr>
          <w:rStyle w:val="FootnoteReference"/>
          <w:spacing w:val="-1"/>
          <w:sz w:val="20"/>
          <w:vertAlign w:val="baseline"/>
        </w:rPr>
        <w:t>**</w:t>
      </w:r>
      <w:r w:rsidRPr="007537A1">
        <w:rPr>
          <w:rStyle w:val="FootnoteReference"/>
          <w:spacing w:val="-1"/>
          <w:sz w:val="20"/>
          <w:vertAlign w:val="baseline"/>
        </w:rPr>
        <w:tab/>
      </w:r>
      <w:r w:rsidR="007537A1" w:rsidRPr="007537A1">
        <w:rPr>
          <w:spacing w:val="-1"/>
          <w:lang w:val="fr-FR"/>
        </w:rPr>
        <w:t>Conformément au programme de travail du Comité des transports intérieurs pour la période 2018-2019</w:t>
      </w:r>
      <w:r w:rsidR="007537A1">
        <w:rPr>
          <w:lang w:val="fr-FR"/>
        </w:rPr>
        <w:t xml:space="preserve"> (ECE/TRANS/2018/21/Add.1 (9.3)).</w:t>
      </w:r>
    </w:p>
  </w:footnote>
  <w:footnote w:id="4">
    <w:p w:rsidR="008D1E48" w:rsidRPr="00B44F3F" w:rsidRDefault="008D1E48" w:rsidP="0047162E">
      <w:pPr>
        <w:pStyle w:val="FootnoteText"/>
      </w:pPr>
      <w:r>
        <w:tab/>
      </w:r>
      <w:r w:rsidRPr="00056DA6">
        <w:rPr>
          <w:rStyle w:val="FootnoteReference"/>
        </w:rPr>
        <w:footnoteRef/>
      </w:r>
      <w:r>
        <w:tab/>
        <w:t>https://www.shell.com/energy-and-innovation/natural-gas/liquefied-natural-gas-lng/lng-outlook/_jcr_content/par/textimage_864093748.stream/1519731114519/890e687a18cdc644e5b80609a8280bc474b0b8806046b6f3ee89bf231f00fa8f/shell-lng-outlook-2018-infographic-download-final.pdf et https://cdn.exxonmobil.com/~/media/global/files/outlook-for-energy/2017/2017-outlook-for-energy.pdf.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48" w:rsidRPr="00A74682" w:rsidRDefault="005223C9">
    <w:pPr>
      <w:pStyle w:val="Header"/>
    </w:pPr>
    <w:r>
      <w:fldChar w:fldCharType="begin"/>
    </w:r>
    <w:r>
      <w:instrText xml:space="preserve"> TITLE  \* MERGEFORMAT </w:instrText>
    </w:r>
    <w:r>
      <w:fldChar w:fldCharType="separate"/>
    </w:r>
    <w:r>
      <w:t>ECE/TRANS/WP.15/AC.2/2019/14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48" w:rsidRPr="00A74682" w:rsidRDefault="005223C9" w:rsidP="00A74682">
    <w:pPr>
      <w:pStyle w:val="Header"/>
      <w:jc w:val="right"/>
    </w:pPr>
    <w:r>
      <w:fldChar w:fldCharType="begin"/>
    </w:r>
    <w:r>
      <w:instrText xml:space="preserve"> TITLE  \* MERGEFORMAT </w:instrText>
    </w:r>
    <w:r>
      <w:fldChar w:fldCharType="separate"/>
    </w:r>
    <w:r>
      <w:t>ECE/TRANS/WP.15/AC.2/2019/14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12B"/>
    <w:rsid w:val="00003382"/>
    <w:rsid w:val="00010FB7"/>
    <w:rsid w:val="00017F94"/>
    <w:rsid w:val="00023842"/>
    <w:rsid w:val="000334F9"/>
    <w:rsid w:val="0004012B"/>
    <w:rsid w:val="00041AC9"/>
    <w:rsid w:val="00045FEB"/>
    <w:rsid w:val="0007796D"/>
    <w:rsid w:val="000B6237"/>
    <w:rsid w:val="000B7790"/>
    <w:rsid w:val="000C1CF7"/>
    <w:rsid w:val="000F49A3"/>
    <w:rsid w:val="0010344B"/>
    <w:rsid w:val="00111F2F"/>
    <w:rsid w:val="00130F51"/>
    <w:rsid w:val="0014314A"/>
    <w:rsid w:val="0014365E"/>
    <w:rsid w:val="00143C66"/>
    <w:rsid w:val="00176178"/>
    <w:rsid w:val="00185195"/>
    <w:rsid w:val="001B3C38"/>
    <w:rsid w:val="001F525A"/>
    <w:rsid w:val="00223272"/>
    <w:rsid w:val="0024779E"/>
    <w:rsid w:val="00257168"/>
    <w:rsid w:val="002744B8"/>
    <w:rsid w:val="002832AC"/>
    <w:rsid w:val="002A0B57"/>
    <w:rsid w:val="002D7C93"/>
    <w:rsid w:val="00305801"/>
    <w:rsid w:val="003151D3"/>
    <w:rsid w:val="00346853"/>
    <w:rsid w:val="00350710"/>
    <w:rsid w:val="003916DE"/>
    <w:rsid w:val="00396E88"/>
    <w:rsid w:val="00397097"/>
    <w:rsid w:val="00402FD9"/>
    <w:rsid w:val="00421996"/>
    <w:rsid w:val="00441C3B"/>
    <w:rsid w:val="00446FE5"/>
    <w:rsid w:val="00452396"/>
    <w:rsid w:val="00460C7C"/>
    <w:rsid w:val="0047162E"/>
    <w:rsid w:val="004837D8"/>
    <w:rsid w:val="004E2EED"/>
    <w:rsid w:val="004E468C"/>
    <w:rsid w:val="005223C9"/>
    <w:rsid w:val="005505B7"/>
    <w:rsid w:val="00561855"/>
    <w:rsid w:val="00573BE5"/>
    <w:rsid w:val="005861A5"/>
    <w:rsid w:val="00586ED3"/>
    <w:rsid w:val="00596AA9"/>
    <w:rsid w:val="006A3B12"/>
    <w:rsid w:val="0071601D"/>
    <w:rsid w:val="00743C99"/>
    <w:rsid w:val="007537A1"/>
    <w:rsid w:val="007A62E6"/>
    <w:rsid w:val="007E6D98"/>
    <w:rsid w:val="007F20FA"/>
    <w:rsid w:val="007F45BE"/>
    <w:rsid w:val="0080684C"/>
    <w:rsid w:val="00817EB4"/>
    <w:rsid w:val="00867E37"/>
    <w:rsid w:val="00871C75"/>
    <w:rsid w:val="008776DC"/>
    <w:rsid w:val="008A4E12"/>
    <w:rsid w:val="008D1E48"/>
    <w:rsid w:val="00917324"/>
    <w:rsid w:val="009446C0"/>
    <w:rsid w:val="009463C2"/>
    <w:rsid w:val="009705C8"/>
    <w:rsid w:val="0098255D"/>
    <w:rsid w:val="009C1CF4"/>
    <w:rsid w:val="009F6B74"/>
    <w:rsid w:val="00A04B26"/>
    <w:rsid w:val="00A3029F"/>
    <w:rsid w:val="00A30353"/>
    <w:rsid w:val="00A70CD7"/>
    <w:rsid w:val="00A74682"/>
    <w:rsid w:val="00AC3823"/>
    <w:rsid w:val="00AE323C"/>
    <w:rsid w:val="00AF0CB5"/>
    <w:rsid w:val="00AF7603"/>
    <w:rsid w:val="00B00181"/>
    <w:rsid w:val="00B00B0D"/>
    <w:rsid w:val="00B26D76"/>
    <w:rsid w:val="00B45F2E"/>
    <w:rsid w:val="00B765F7"/>
    <w:rsid w:val="00BA0CA9"/>
    <w:rsid w:val="00BB5053"/>
    <w:rsid w:val="00BB6B7B"/>
    <w:rsid w:val="00BF4299"/>
    <w:rsid w:val="00C02897"/>
    <w:rsid w:val="00C94764"/>
    <w:rsid w:val="00C97039"/>
    <w:rsid w:val="00CB73A7"/>
    <w:rsid w:val="00CF0DEE"/>
    <w:rsid w:val="00D11920"/>
    <w:rsid w:val="00D3439C"/>
    <w:rsid w:val="00D366A2"/>
    <w:rsid w:val="00DA0F9C"/>
    <w:rsid w:val="00DB1831"/>
    <w:rsid w:val="00DD3BFD"/>
    <w:rsid w:val="00DD4AC6"/>
    <w:rsid w:val="00DF6678"/>
    <w:rsid w:val="00E0299A"/>
    <w:rsid w:val="00E162A1"/>
    <w:rsid w:val="00E66562"/>
    <w:rsid w:val="00E74783"/>
    <w:rsid w:val="00E83419"/>
    <w:rsid w:val="00E85C74"/>
    <w:rsid w:val="00EA6547"/>
    <w:rsid w:val="00EE419B"/>
    <w:rsid w:val="00EF2E22"/>
    <w:rsid w:val="00F35BAF"/>
    <w:rsid w:val="00F46E00"/>
    <w:rsid w:val="00F660DF"/>
    <w:rsid w:val="00F924D2"/>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274EF8-4832-4E1F-B76D-CDD1CDDF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uiPriority w:val="99"/>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en"/>
    <w:basedOn w:val="FootnoteText"/>
    <w:link w:val="EndnoteTextChar"/>
    <w:uiPriority w:val="99"/>
    <w:qFormat/>
    <w:rsid w:val="00E0299A"/>
  </w:style>
  <w:style w:type="character" w:customStyle="1" w:styleId="EndnoteTextChar">
    <w:name w:val="Endnote Text Char"/>
    <w:aliases w:val="2_G Char,en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366A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2446</Words>
  <Characters>13944</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ECE/TRANS/WP.15/AC.2/2019/14</vt:lpstr>
      <vt:lpstr>ECE/TRANS/WP.15/AC.2/2019/14</vt:lpstr>
    </vt:vector>
  </TitlesOfParts>
  <Company>DCM</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ECE/TRANS/WP.15/AC.2/2019/14</dc:title>
  <dc:subject/>
  <dc:creator>xx</dc:creator>
  <cp:keywords/>
  <cp:lastModifiedBy>Marie-Claude Collet</cp:lastModifiedBy>
  <cp:revision>3</cp:revision>
  <cp:lastPrinted>2018-12-04T08:07:00Z</cp:lastPrinted>
  <dcterms:created xsi:type="dcterms:W3CDTF">2018-12-04T08:07:00Z</dcterms:created>
  <dcterms:modified xsi:type="dcterms:W3CDTF">2018-12-04T08:07:00Z</dcterms:modified>
</cp:coreProperties>
</file>