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8268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82683" w:rsidP="00E82683">
            <w:pPr>
              <w:jc w:val="right"/>
            </w:pPr>
            <w:r w:rsidRPr="00E82683">
              <w:rPr>
                <w:sz w:val="40"/>
              </w:rPr>
              <w:t>ECE</w:t>
            </w:r>
            <w:r>
              <w:t>/TRANS/WP.15/AC.1/2019/31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82683" w:rsidP="00C97039">
            <w:pPr>
              <w:spacing w:before="240"/>
            </w:pPr>
            <w:r>
              <w:t>Distr. générale</w:t>
            </w:r>
          </w:p>
          <w:p w:rsidR="00E82683" w:rsidRDefault="00E82683" w:rsidP="00E82683">
            <w:pPr>
              <w:spacing w:line="240" w:lineRule="exact"/>
            </w:pPr>
            <w:r>
              <w:t>19 juin 2019</w:t>
            </w:r>
          </w:p>
          <w:p w:rsidR="00E82683" w:rsidRDefault="00E82683" w:rsidP="00E82683">
            <w:pPr>
              <w:spacing w:line="240" w:lineRule="exact"/>
            </w:pPr>
            <w:r>
              <w:t>Français</w:t>
            </w:r>
          </w:p>
          <w:p w:rsidR="00E82683" w:rsidRPr="00DB58B5" w:rsidRDefault="00E82683" w:rsidP="00E8268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8268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82683" w:rsidRPr="009E01B8" w:rsidRDefault="00E8268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E82683" w:rsidRPr="00926E87" w:rsidRDefault="00E82683" w:rsidP="00E82683">
      <w:pPr>
        <w:spacing w:before="120" w:after="120"/>
        <w:rPr>
          <w:b/>
        </w:rPr>
      </w:pPr>
      <w:r w:rsidRPr="00926E87">
        <w:rPr>
          <w:b/>
        </w:rPr>
        <w:t>Réunion commune de la Commission d</w:t>
      </w:r>
      <w:r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E82683" w:rsidRPr="00E82683" w:rsidRDefault="00E82683" w:rsidP="00E82683">
      <w:pPr>
        <w:rPr>
          <w:lang w:val="fr-FR"/>
        </w:rPr>
      </w:pPr>
      <w:r w:rsidRPr="00E82683">
        <w:rPr>
          <w:lang w:val="fr-FR"/>
        </w:rPr>
        <w:t>Point</w:t>
      </w:r>
      <w:r>
        <w:rPr>
          <w:lang w:val="fr-FR"/>
        </w:rPr>
        <w:t> </w:t>
      </w:r>
      <w:r w:rsidRPr="00E82683">
        <w:rPr>
          <w:lang w:val="fr-FR"/>
        </w:rPr>
        <w:t>4 de l</w:t>
      </w:r>
      <w:r>
        <w:rPr>
          <w:lang w:val="fr-FR"/>
        </w:rPr>
        <w:t>’</w:t>
      </w:r>
      <w:r w:rsidRPr="00E82683">
        <w:rPr>
          <w:lang w:val="fr-FR"/>
        </w:rPr>
        <w:t>ordre du jour provisoire</w:t>
      </w:r>
    </w:p>
    <w:p w:rsidR="00E82683" w:rsidRPr="00E82683" w:rsidRDefault="00E82683" w:rsidP="00E82683">
      <w:pPr>
        <w:rPr>
          <w:b/>
        </w:rPr>
      </w:pPr>
      <w:r w:rsidRPr="00E82683">
        <w:rPr>
          <w:b/>
          <w:lang w:val="fr-FR"/>
        </w:rPr>
        <w:t xml:space="preserve">Harmonisation avec les Recommandations relatives au transport </w:t>
      </w:r>
      <w:r w:rsidRPr="00E82683">
        <w:rPr>
          <w:b/>
          <w:lang w:val="fr-FR"/>
        </w:rPr>
        <w:br/>
        <w:t>des marchandises dangereuses de l</w:t>
      </w:r>
      <w:r>
        <w:rPr>
          <w:b/>
          <w:lang w:val="fr-FR"/>
        </w:rPr>
        <w:t>’</w:t>
      </w:r>
      <w:r w:rsidRPr="00E82683">
        <w:rPr>
          <w:b/>
          <w:lang w:val="fr-FR"/>
        </w:rPr>
        <w:t>ONU</w:t>
      </w:r>
    </w:p>
    <w:p w:rsidR="00E82683" w:rsidRPr="00E82683" w:rsidRDefault="00E82683" w:rsidP="00E8268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2683">
        <w:rPr>
          <w:lang w:val="fr-FR"/>
        </w:rPr>
        <w:t>Utilisation du terme «</w:t>
      </w:r>
      <w:r>
        <w:rPr>
          <w:lang w:val="fr-FR"/>
        </w:rPr>
        <w:t> </w:t>
      </w:r>
      <w:r w:rsidRPr="00E82683">
        <w:rPr>
          <w:lang w:val="fr-FR"/>
        </w:rPr>
        <w:t>moyen de transport</w:t>
      </w:r>
      <w:r>
        <w:rPr>
          <w:lang w:val="fr-FR"/>
        </w:rPr>
        <w:t> </w:t>
      </w:r>
      <w:r w:rsidRPr="00E82683">
        <w:rPr>
          <w:lang w:val="fr-FR"/>
        </w:rPr>
        <w:t>»</w:t>
      </w:r>
    </w:p>
    <w:p w:rsidR="00E82683" w:rsidRPr="00E82683" w:rsidRDefault="00E82683" w:rsidP="00E82683">
      <w:pPr>
        <w:pStyle w:val="H1G"/>
        <w:rPr>
          <w:vertAlign w:val="superscript"/>
          <w:lang w:val="fr-FR"/>
        </w:rPr>
      </w:pPr>
      <w:r w:rsidRPr="00E82683">
        <w:rPr>
          <w:lang w:val="fr-FR"/>
        </w:rPr>
        <w:tab/>
      </w:r>
      <w:r w:rsidRPr="00E82683">
        <w:rPr>
          <w:lang w:val="fr-FR"/>
        </w:rPr>
        <w:tab/>
        <w:t>Transmis par le Secrétariat de l</w:t>
      </w:r>
      <w:r>
        <w:rPr>
          <w:lang w:val="fr-FR"/>
        </w:rPr>
        <w:t>’</w:t>
      </w:r>
      <w:r w:rsidRPr="00E82683">
        <w:rPr>
          <w:lang w:val="fr-FR"/>
        </w:rPr>
        <w:t>OTIF</w:t>
      </w:r>
      <w:r w:rsidRPr="00E82683">
        <w:rPr>
          <w:b w:val="0"/>
          <w:sz w:val="20"/>
        </w:rPr>
        <w:footnoteReference w:customMarkFollows="1" w:id="2"/>
        <w:t>*</w:t>
      </w:r>
      <w:r w:rsidRPr="00E82683">
        <w:rPr>
          <w:b w:val="0"/>
          <w:position w:val="6"/>
          <w:sz w:val="20"/>
          <w:lang w:val="fr-FR"/>
        </w:rPr>
        <w:t>,</w:t>
      </w:r>
      <w:r w:rsidRPr="00E82683">
        <w:rPr>
          <w:b w:val="0"/>
          <w:sz w:val="20"/>
          <w:lang w:val="fr-FR"/>
        </w:rPr>
        <w:t xml:space="preserve"> </w:t>
      </w:r>
      <w:r w:rsidRPr="00E82683">
        <w:rPr>
          <w:b w:val="0"/>
          <w:sz w:val="20"/>
        </w:rPr>
        <w:footnoteReference w:customMarkFollows="1" w:id="3"/>
        <w:t>**</w:t>
      </w:r>
    </w:p>
    <w:p w:rsidR="00E82683" w:rsidRPr="00E82683" w:rsidRDefault="00E82683" w:rsidP="00E82683">
      <w:pPr>
        <w:pStyle w:val="HChG"/>
        <w:rPr>
          <w:lang w:val="fr-FR"/>
        </w:rPr>
      </w:pPr>
      <w:r w:rsidRPr="00E82683">
        <w:rPr>
          <w:lang w:val="fr-FR"/>
        </w:rPr>
        <w:tab/>
      </w:r>
      <w:r w:rsidRPr="00E82683">
        <w:rPr>
          <w:lang w:val="fr-FR"/>
        </w:rPr>
        <w:tab/>
        <w:t>Introduction</w:t>
      </w:r>
    </w:p>
    <w:p w:rsidR="00E82683" w:rsidRPr="00E82683" w:rsidRDefault="00E82683" w:rsidP="00E82683">
      <w:pPr>
        <w:pStyle w:val="SingleTxtG"/>
        <w:rPr>
          <w:spacing w:val="-3"/>
          <w:lang w:val="fr-FR"/>
        </w:rPr>
      </w:pPr>
      <w:r w:rsidRPr="00E82683">
        <w:rPr>
          <w:lang w:val="fr-FR"/>
        </w:rPr>
        <w:t>1.</w:t>
      </w:r>
      <w:r w:rsidRPr="00E82683">
        <w:rPr>
          <w:lang w:val="fr-FR"/>
        </w:rPr>
        <w:tab/>
        <w:t>Lors de la modification du libellé du 5.1.5.3.2, le groupe de travail spécial sur l</w:t>
      </w:r>
      <w:r>
        <w:rPr>
          <w:lang w:val="fr-FR"/>
        </w:rPr>
        <w:t>’</w:t>
      </w:r>
      <w:r w:rsidRPr="00E82683">
        <w:rPr>
          <w:lang w:val="fr-FR"/>
        </w:rPr>
        <w:t>harmonisation du RID de l</w:t>
      </w:r>
      <w:r>
        <w:rPr>
          <w:lang w:val="fr-FR"/>
        </w:rPr>
        <w:t>’</w:t>
      </w:r>
      <w:r w:rsidRPr="00E82683">
        <w:rPr>
          <w:lang w:val="fr-FR"/>
        </w:rPr>
        <w:t>ADR et de l</w:t>
      </w:r>
      <w:r>
        <w:rPr>
          <w:lang w:val="fr-FR"/>
        </w:rPr>
        <w:t>’</w:t>
      </w:r>
      <w:r w:rsidRPr="00E82683">
        <w:rPr>
          <w:lang w:val="fr-FR"/>
        </w:rPr>
        <w:t>ADN avec les Recommandations de l</w:t>
      </w:r>
      <w:r>
        <w:rPr>
          <w:lang w:val="fr-FR"/>
        </w:rPr>
        <w:t>’</w:t>
      </w:r>
      <w:r w:rsidRPr="00E82683">
        <w:rPr>
          <w:lang w:val="fr-FR"/>
        </w:rPr>
        <w:t xml:space="preserve">ONU relatives au transport des marchandises dangereuses a décidé de remplacer les termes « wagon/véhicule », proposés initialement par le secrétariat, par le terme « moyen </w:t>
      </w:r>
      <w:r w:rsidRPr="00E82683">
        <w:rPr>
          <w:spacing w:val="-3"/>
          <w:lang w:val="fr-FR"/>
        </w:rPr>
        <w:t>de transport », tel que défini dans le Règlement type de l’ONU et le règlement de l’AIEA (voir documents OTIF/RID/RC/2019/22-ECE/TRANS/WP.15/AC.1/2019/22</w:t>
      </w:r>
      <w:r>
        <w:rPr>
          <w:spacing w:val="-3"/>
          <w:lang w:val="fr-FR"/>
        </w:rPr>
        <w:t>,</w:t>
      </w:r>
      <w:r w:rsidRPr="00E82683">
        <w:rPr>
          <w:spacing w:val="-3"/>
          <w:lang w:val="fr-FR"/>
        </w:rPr>
        <w:t xml:space="preserve"> paragraphe 56</w:t>
      </w:r>
      <w:r>
        <w:rPr>
          <w:spacing w:val="-3"/>
          <w:lang w:val="fr-FR"/>
        </w:rPr>
        <w:t>,</w:t>
      </w:r>
      <w:r w:rsidRPr="00E82683">
        <w:rPr>
          <w:spacing w:val="-3"/>
          <w:lang w:val="fr-FR"/>
        </w:rPr>
        <w:t xml:space="preserve"> et OTIF/RID/RC/2019/22/Add.1</w:t>
      </w:r>
      <w:r>
        <w:rPr>
          <w:spacing w:val="-3"/>
          <w:lang w:val="fr-FR"/>
        </w:rPr>
        <w:t>-</w:t>
      </w:r>
      <w:r w:rsidRPr="00E82683">
        <w:rPr>
          <w:spacing w:val="-3"/>
          <w:lang w:val="fr-FR"/>
        </w:rPr>
        <w:t>ECE/TRANS/WP.15/AC.1/2019/22/Add.1).</w:t>
      </w:r>
    </w:p>
    <w:p w:rsidR="00E82683" w:rsidRPr="00E82683" w:rsidRDefault="00E82683" w:rsidP="00E82683">
      <w:pPr>
        <w:pStyle w:val="SingleTxtG"/>
        <w:rPr>
          <w:lang w:val="fr-FR"/>
        </w:rPr>
      </w:pPr>
      <w:r w:rsidRPr="00E82683">
        <w:rPr>
          <w:lang w:val="fr-FR"/>
        </w:rPr>
        <w:t>2.</w:t>
      </w:r>
      <w:r w:rsidRPr="00E82683">
        <w:rPr>
          <w:lang w:val="fr-FR"/>
        </w:rPr>
        <w:tab/>
        <w:t>À la section 1.2.1 du RID et de l</w:t>
      </w:r>
      <w:r>
        <w:rPr>
          <w:lang w:val="fr-FR"/>
        </w:rPr>
        <w:t>’</w:t>
      </w:r>
      <w:r w:rsidRPr="00E82683">
        <w:rPr>
          <w:lang w:val="fr-FR"/>
        </w:rPr>
        <w:t>ADR, le terme « moyen de transport » est défini comme suit</w:t>
      </w:r>
      <w:r>
        <w:rPr>
          <w:lang w:val="fr-FR"/>
        </w:rPr>
        <w:t> :</w:t>
      </w:r>
    </w:p>
    <w:p w:rsidR="00E82683" w:rsidRPr="00E82683" w:rsidRDefault="00E82683" w:rsidP="00E82683">
      <w:pPr>
        <w:pStyle w:val="SingleTxtG"/>
        <w:ind w:left="1701"/>
        <w:rPr>
          <w:lang w:val="fr-FR"/>
        </w:rPr>
      </w:pPr>
      <w:r w:rsidRPr="00E82683">
        <w:rPr>
          <w:lang w:val="fr-FR"/>
        </w:rPr>
        <w:t>«</w:t>
      </w:r>
      <w:r>
        <w:rPr>
          <w:lang w:val="fr-FR"/>
        </w:rPr>
        <w:t> </w:t>
      </w:r>
      <w:r w:rsidRPr="00E82683">
        <w:rPr>
          <w:lang w:val="fr-FR"/>
        </w:rPr>
        <w:t xml:space="preserve">pour le transport routier ou ferroviaire, un </w:t>
      </w:r>
      <w:r w:rsidRPr="00AD04DF">
        <w:rPr>
          <w:i/>
          <w:lang w:val="fr-FR"/>
        </w:rPr>
        <w:t>véhicule</w:t>
      </w:r>
      <w:r w:rsidRPr="00E82683">
        <w:rPr>
          <w:lang w:val="fr-FR"/>
        </w:rPr>
        <w:t xml:space="preserve"> ou un </w:t>
      </w:r>
      <w:r w:rsidRPr="00AD04DF">
        <w:rPr>
          <w:i/>
          <w:lang w:val="fr-FR"/>
        </w:rPr>
        <w:t>wagon</w:t>
      </w:r>
      <w:r w:rsidRPr="00E82683">
        <w:rPr>
          <w:lang w:val="fr-FR"/>
        </w:rPr>
        <w:t>.</w:t>
      </w:r>
      <w:r>
        <w:rPr>
          <w:lang w:val="fr-FR"/>
        </w:rPr>
        <w:t> </w:t>
      </w:r>
      <w:r w:rsidRPr="00E82683">
        <w:rPr>
          <w:lang w:val="fr-FR"/>
        </w:rPr>
        <w:t>»</w:t>
      </w:r>
    </w:p>
    <w:p w:rsidR="00E82683" w:rsidRPr="00E82683" w:rsidRDefault="00E82683" w:rsidP="00E82683">
      <w:pPr>
        <w:pStyle w:val="SingleTxtG"/>
        <w:ind w:left="1701"/>
        <w:rPr>
          <w:lang w:val="fr-FR"/>
        </w:rPr>
      </w:pPr>
      <w:r w:rsidRPr="00E82683">
        <w:rPr>
          <w:lang w:val="fr-FR"/>
        </w:rPr>
        <w:t>À la section 1.2.1 de l</w:t>
      </w:r>
      <w:r>
        <w:rPr>
          <w:lang w:val="fr-FR"/>
        </w:rPr>
        <w:t>’</w:t>
      </w:r>
      <w:r w:rsidRPr="00E82683">
        <w:rPr>
          <w:lang w:val="fr-FR"/>
        </w:rPr>
        <w:t>ADN, le terme « moyen de transport » est défini comme suit</w:t>
      </w:r>
      <w:r>
        <w:rPr>
          <w:lang w:val="fr-FR"/>
        </w:rPr>
        <w:t> :</w:t>
      </w:r>
    </w:p>
    <w:p w:rsidR="00E82683" w:rsidRPr="00E82683" w:rsidRDefault="00E82683" w:rsidP="00E82683">
      <w:pPr>
        <w:pStyle w:val="SingleTxtG"/>
        <w:ind w:left="1701"/>
        <w:rPr>
          <w:lang w:val="fr-FR"/>
        </w:rPr>
      </w:pPr>
      <w:r w:rsidRPr="00E82683">
        <w:rPr>
          <w:lang w:val="fr-FR"/>
        </w:rPr>
        <w:t>« pour le transport par voie navigable, un moyen de transport désigne un bateau, une cale ou une zone réservée du pont d</w:t>
      </w:r>
      <w:r>
        <w:rPr>
          <w:lang w:val="fr-FR"/>
        </w:rPr>
        <w:t>’</w:t>
      </w:r>
      <w:r w:rsidRPr="00E82683">
        <w:rPr>
          <w:lang w:val="fr-FR"/>
        </w:rPr>
        <w:t>un bateau</w:t>
      </w:r>
      <w:r>
        <w:rPr>
          <w:lang w:val="fr-FR"/>
        </w:rPr>
        <w:t> </w:t>
      </w:r>
      <w:r w:rsidRPr="00E82683">
        <w:rPr>
          <w:lang w:val="fr-FR"/>
        </w:rPr>
        <w:t>; pour le transport routier ou ferroviaire, ce terme désigne un véhicule ou un wagon.</w:t>
      </w:r>
      <w:r>
        <w:rPr>
          <w:lang w:val="fr-FR"/>
        </w:rPr>
        <w:t> »</w:t>
      </w:r>
    </w:p>
    <w:p w:rsidR="00E82683" w:rsidRPr="00E82683" w:rsidRDefault="00E82683" w:rsidP="00E82683">
      <w:pPr>
        <w:pStyle w:val="SingleTxtG"/>
        <w:rPr>
          <w:lang w:val="fr-FR"/>
        </w:rPr>
      </w:pPr>
      <w:r w:rsidRPr="00E82683">
        <w:rPr>
          <w:lang w:val="fr-FR"/>
        </w:rPr>
        <w:t>3.</w:t>
      </w:r>
      <w:r w:rsidRPr="00E82683">
        <w:rPr>
          <w:lang w:val="fr-FR"/>
        </w:rPr>
        <w:tab/>
        <w:t>Il a été constaté que, dans les textes actuels du RID et de l</w:t>
      </w:r>
      <w:r>
        <w:rPr>
          <w:lang w:val="fr-FR"/>
        </w:rPr>
        <w:t>’</w:t>
      </w:r>
      <w:r w:rsidRPr="00E82683">
        <w:rPr>
          <w:lang w:val="fr-FR"/>
        </w:rPr>
        <w:t>ADR qui reprenaient les dispositions de l</w:t>
      </w:r>
      <w:r>
        <w:rPr>
          <w:lang w:val="fr-FR"/>
        </w:rPr>
        <w:t>’</w:t>
      </w:r>
      <w:r w:rsidRPr="00E82683">
        <w:rPr>
          <w:lang w:val="fr-FR"/>
        </w:rPr>
        <w:t>AIEA, les termes « wagon » ou « véhicule » étaient utilisés au lieu du terme « moyen de transport » tel que défini au</w:t>
      </w:r>
      <w:r>
        <w:rPr>
          <w:lang w:val="fr-FR"/>
        </w:rPr>
        <w:t> </w:t>
      </w:r>
      <w:r w:rsidRPr="00E82683">
        <w:rPr>
          <w:lang w:val="fr-FR"/>
        </w:rPr>
        <w:t>1.2.1.</w:t>
      </w:r>
    </w:p>
    <w:p w:rsidR="00E82683" w:rsidRPr="00E82683" w:rsidRDefault="00E82683" w:rsidP="00E82683">
      <w:pPr>
        <w:pStyle w:val="SingleTxtG"/>
        <w:keepNext/>
        <w:keepLines/>
        <w:rPr>
          <w:lang w:val="fr-FR"/>
        </w:rPr>
      </w:pPr>
      <w:r w:rsidRPr="00E82683">
        <w:rPr>
          <w:lang w:val="fr-FR"/>
        </w:rPr>
        <w:lastRenderedPageBreak/>
        <w:t>4.</w:t>
      </w:r>
      <w:r w:rsidRPr="00E82683">
        <w:rPr>
          <w:lang w:val="fr-FR"/>
        </w:rPr>
        <w:tab/>
        <w:t>Cela concerne les sections et sous-sections suivantes du RID et de l</w:t>
      </w:r>
      <w:r>
        <w:rPr>
          <w:lang w:val="fr-FR"/>
        </w:rPr>
        <w:t>’</w:t>
      </w:r>
      <w:r w:rsidRPr="00E82683">
        <w:rPr>
          <w:lang w:val="fr-FR"/>
        </w:rPr>
        <w:t>ADR</w:t>
      </w:r>
      <w:r>
        <w:rPr>
          <w:lang w:val="fr-FR"/>
        </w:rPr>
        <w:t> :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1.2.1, définition de « utilisation exclusive »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1.6.6.3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1.7.1.2, deuxième paragraphe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4.1.9.1.4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4.1.9.2.4 a), b) et c)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5.1.5.1.2 c)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5.1.5.3.2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5.1.5.3.3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5.4.1.2.5.1 h) (quatre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5.4.1.2.5.2 b)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6.4.2.1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6.4.23.2 b)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6.4.23.4 g)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6.4.23.15 e)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6.4.23.16 e)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(2), première phrase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(2), Tableau C (deux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(3.3), a) (deux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(3.3), b) (deux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(3.3), c)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(3.3), Tableau D (trois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33, Tableau E (trois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(4.2) (deux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(4.3) e)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(5.1) (deux fois)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(5.3)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la disposition spéciale CW/CV 33 (5.4)</w:t>
      </w:r>
      <w:r>
        <w:rPr>
          <w:lang w:val="fr-FR"/>
        </w:rPr>
        <w:t> ;</w:t>
      </w:r>
    </w:p>
    <w:p w:rsidR="00E82683" w:rsidRPr="00E82683" w:rsidRDefault="00E82683" w:rsidP="00E82683">
      <w:pPr>
        <w:pStyle w:val="Bullet1G"/>
        <w:rPr>
          <w:lang w:val="fr-FR"/>
        </w:rPr>
      </w:pPr>
      <w:r w:rsidRPr="00E82683">
        <w:rPr>
          <w:lang w:val="fr-FR"/>
        </w:rPr>
        <w:t>7.5.11 disposition spéciale CW/CV 33 (5.5).</w:t>
      </w:r>
    </w:p>
    <w:p w:rsidR="00E82683" w:rsidRPr="00E82683" w:rsidRDefault="00E82683" w:rsidP="00E82683">
      <w:pPr>
        <w:pStyle w:val="SingleTxtG"/>
        <w:rPr>
          <w:lang w:val="fr-FR"/>
        </w:rPr>
      </w:pPr>
      <w:r w:rsidRPr="00E82683">
        <w:rPr>
          <w:lang w:val="fr-FR"/>
        </w:rPr>
        <w:t>5.</w:t>
      </w:r>
      <w:r w:rsidRPr="00E82683">
        <w:rPr>
          <w:lang w:val="fr-FR"/>
        </w:rPr>
        <w:tab/>
        <w:t>Aux endroits susmentionnés, différents termes sont utilisés dans l</w:t>
      </w:r>
      <w:r>
        <w:rPr>
          <w:lang w:val="fr-FR"/>
        </w:rPr>
        <w:t>’</w:t>
      </w:r>
      <w:r w:rsidRPr="00E82683">
        <w:rPr>
          <w:lang w:val="fr-FR"/>
        </w:rPr>
        <w:t>ADN</w:t>
      </w:r>
      <w:r>
        <w:rPr>
          <w:lang w:val="fr-FR"/>
        </w:rPr>
        <w:t> </w:t>
      </w:r>
      <w:r w:rsidRPr="00E82683">
        <w:rPr>
          <w:lang w:val="fr-FR"/>
        </w:rPr>
        <w:t>: « moyen de transport », « bateau », « bateau, véhicule, wagon », « bateau ou engin de transport », « véhicule ou wagon », « compartiment d</w:t>
      </w:r>
      <w:r>
        <w:rPr>
          <w:lang w:val="fr-FR"/>
        </w:rPr>
        <w:t>’</w:t>
      </w:r>
      <w:r w:rsidRPr="00E82683">
        <w:rPr>
          <w:lang w:val="fr-FR"/>
        </w:rPr>
        <w:t>un bateau, ou dans un autre moyen de transport », « moyen de transport, cale ou compartiment d</w:t>
      </w:r>
      <w:r>
        <w:rPr>
          <w:lang w:val="fr-FR"/>
        </w:rPr>
        <w:t>’</w:t>
      </w:r>
      <w:r w:rsidRPr="00E82683">
        <w:rPr>
          <w:lang w:val="fr-FR"/>
        </w:rPr>
        <w:t>un bateau ».</w:t>
      </w:r>
    </w:p>
    <w:p w:rsidR="00E82683" w:rsidRPr="00E82683" w:rsidRDefault="00E82683" w:rsidP="00E82683">
      <w:pPr>
        <w:pStyle w:val="HChG"/>
        <w:rPr>
          <w:lang w:val="fr-FR"/>
        </w:rPr>
      </w:pPr>
      <w:r w:rsidRPr="00E82683">
        <w:rPr>
          <w:lang w:val="fr-FR"/>
        </w:rPr>
        <w:tab/>
      </w:r>
      <w:r w:rsidRPr="00E82683">
        <w:rPr>
          <w:lang w:val="fr-FR"/>
        </w:rPr>
        <w:tab/>
        <w:t>Proposition</w:t>
      </w:r>
    </w:p>
    <w:p w:rsidR="00E82683" w:rsidRPr="00E82683" w:rsidRDefault="00E82683" w:rsidP="00E82683">
      <w:pPr>
        <w:pStyle w:val="SingleTxtG"/>
        <w:rPr>
          <w:lang w:val="fr-FR"/>
        </w:rPr>
      </w:pPr>
      <w:r w:rsidRPr="00E82683">
        <w:rPr>
          <w:lang w:val="fr-FR"/>
        </w:rPr>
        <w:t>6.</w:t>
      </w:r>
      <w:r w:rsidRPr="00E82683">
        <w:rPr>
          <w:lang w:val="fr-FR"/>
        </w:rPr>
        <w:tab/>
        <w:t>Afin d</w:t>
      </w:r>
      <w:r>
        <w:rPr>
          <w:lang w:val="fr-FR"/>
        </w:rPr>
        <w:t>’</w:t>
      </w:r>
      <w:r w:rsidRPr="00E82683">
        <w:rPr>
          <w:lang w:val="fr-FR"/>
        </w:rPr>
        <w:t>assurer la cohérence entre les textes, il est proposé d</w:t>
      </w:r>
      <w:r>
        <w:rPr>
          <w:lang w:val="fr-FR"/>
        </w:rPr>
        <w:t>’</w:t>
      </w:r>
      <w:r w:rsidRPr="00E82683">
        <w:rPr>
          <w:lang w:val="fr-FR"/>
        </w:rPr>
        <w:t>annuler la décision concernant le 5.1.5.3.2 prise par le groupe de travail spécial sur l</w:t>
      </w:r>
      <w:r>
        <w:rPr>
          <w:lang w:val="fr-FR"/>
        </w:rPr>
        <w:t>’</w:t>
      </w:r>
      <w:r w:rsidRPr="00E82683">
        <w:rPr>
          <w:lang w:val="fr-FR"/>
        </w:rPr>
        <w:t>harmonisation du RID, de l</w:t>
      </w:r>
      <w:r>
        <w:rPr>
          <w:lang w:val="fr-FR"/>
        </w:rPr>
        <w:t>’</w:t>
      </w:r>
      <w:r w:rsidRPr="00E82683">
        <w:rPr>
          <w:lang w:val="fr-FR"/>
        </w:rPr>
        <w:t>ADR et de l</w:t>
      </w:r>
      <w:r>
        <w:rPr>
          <w:lang w:val="fr-FR"/>
        </w:rPr>
        <w:t>’</w:t>
      </w:r>
      <w:r w:rsidRPr="00E82683">
        <w:rPr>
          <w:lang w:val="fr-FR"/>
        </w:rPr>
        <w:t>ADN avec les Recommandations de l</w:t>
      </w:r>
      <w:r>
        <w:rPr>
          <w:lang w:val="fr-FR"/>
        </w:rPr>
        <w:t>’</w:t>
      </w:r>
      <w:r w:rsidRPr="00E82683">
        <w:rPr>
          <w:lang w:val="fr-FR"/>
        </w:rPr>
        <w:t>ONU relatives au transport des marchandises dangereuses, ainsi que de remplacer « chaque moyen de transport » par « chaque wagon/chaque véhicule », dans le RID et l</w:t>
      </w:r>
      <w:r>
        <w:rPr>
          <w:lang w:val="fr-FR"/>
        </w:rPr>
        <w:t>’</w:t>
      </w:r>
      <w:r w:rsidRPr="00E82683">
        <w:rPr>
          <w:lang w:val="fr-FR"/>
        </w:rPr>
        <w:t>ADR.</w:t>
      </w:r>
    </w:p>
    <w:p w:rsidR="00E82683" w:rsidRPr="00E82683" w:rsidRDefault="00E82683" w:rsidP="00E82683">
      <w:pPr>
        <w:pStyle w:val="SingleTxtG"/>
        <w:keepNext/>
        <w:keepLines/>
        <w:rPr>
          <w:lang w:val="fr-FR"/>
        </w:rPr>
      </w:pPr>
      <w:r w:rsidRPr="00E82683">
        <w:rPr>
          <w:lang w:val="fr-FR"/>
        </w:rPr>
        <w:lastRenderedPageBreak/>
        <w:t>7.</w:t>
      </w:r>
      <w:r w:rsidRPr="00E82683">
        <w:rPr>
          <w:lang w:val="fr-FR"/>
        </w:rPr>
        <w:tab/>
        <w:t>Le choix du terme à utiliser dans l</w:t>
      </w:r>
      <w:r>
        <w:rPr>
          <w:lang w:val="fr-FR"/>
        </w:rPr>
        <w:t>’</w:t>
      </w:r>
      <w:r w:rsidRPr="00E82683">
        <w:rPr>
          <w:lang w:val="fr-FR"/>
        </w:rPr>
        <w:t>ADN relève de la compétence du Comité de sécurité de l</w:t>
      </w:r>
      <w:r>
        <w:rPr>
          <w:lang w:val="fr-FR"/>
        </w:rPr>
        <w:t>’</w:t>
      </w:r>
      <w:r w:rsidRPr="00E82683">
        <w:rPr>
          <w:lang w:val="fr-FR"/>
        </w:rPr>
        <w:t>ADN.</w:t>
      </w:r>
    </w:p>
    <w:p w:rsidR="00F9573C" w:rsidRPr="00E82683" w:rsidRDefault="00E82683" w:rsidP="00E826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E82683" w:rsidSect="00E826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79" w:rsidRDefault="00F82E79" w:rsidP="00F95C08">
      <w:pPr>
        <w:spacing w:line="240" w:lineRule="auto"/>
      </w:pPr>
    </w:p>
  </w:endnote>
  <w:endnote w:type="continuationSeparator" w:id="0">
    <w:p w:rsidR="00F82E79" w:rsidRPr="00AC3823" w:rsidRDefault="00F82E79" w:rsidP="00AC3823">
      <w:pPr>
        <w:pStyle w:val="Footer"/>
      </w:pPr>
    </w:p>
  </w:endnote>
  <w:endnote w:type="continuationNotice" w:id="1">
    <w:p w:rsidR="00F82E79" w:rsidRDefault="00F82E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83" w:rsidRPr="00E82683" w:rsidRDefault="00E82683" w:rsidP="00E82683">
    <w:pPr>
      <w:pStyle w:val="Footer"/>
      <w:tabs>
        <w:tab w:val="right" w:pos="9638"/>
      </w:tabs>
    </w:pPr>
    <w:r w:rsidRPr="00E82683">
      <w:rPr>
        <w:b/>
        <w:sz w:val="18"/>
      </w:rPr>
      <w:fldChar w:fldCharType="begin"/>
    </w:r>
    <w:r w:rsidRPr="00E82683">
      <w:rPr>
        <w:b/>
        <w:sz w:val="18"/>
      </w:rPr>
      <w:instrText xml:space="preserve"> PAGE  \* MERGEFORMAT </w:instrText>
    </w:r>
    <w:r w:rsidRPr="00E82683">
      <w:rPr>
        <w:b/>
        <w:sz w:val="18"/>
      </w:rPr>
      <w:fldChar w:fldCharType="separate"/>
    </w:r>
    <w:r w:rsidRPr="00E82683">
      <w:rPr>
        <w:b/>
        <w:noProof/>
        <w:sz w:val="18"/>
      </w:rPr>
      <w:t>2</w:t>
    </w:r>
    <w:r w:rsidRPr="00E82683">
      <w:rPr>
        <w:b/>
        <w:sz w:val="18"/>
      </w:rPr>
      <w:fldChar w:fldCharType="end"/>
    </w:r>
    <w:r>
      <w:rPr>
        <w:b/>
        <w:sz w:val="18"/>
      </w:rPr>
      <w:tab/>
    </w:r>
    <w:r>
      <w:t>GE.19-10102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83" w:rsidRPr="00E82683" w:rsidRDefault="00E82683" w:rsidP="00E82683">
    <w:pPr>
      <w:pStyle w:val="Footer"/>
      <w:tabs>
        <w:tab w:val="right" w:pos="9638"/>
      </w:tabs>
      <w:rPr>
        <w:b/>
        <w:sz w:val="18"/>
      </w:rPr>
    </w:pPr>
    <w:r>
      <w:t>GE.19-10102</w:t>
    </w:r>
    <w:r>
      <w:tab/>
    </w:r>
    <w:r w:rsidRPr="00E82683">
      <w:rPr>
        <w:b/>
        <w:sz w:val="18"/>
      </w:rPr>
      <w:fldChar w:fldCharType="begin"/>
    </w:r>
    <w:r w:rsidRPr="00E82683">
      <w:rPr>
        <w:b/>
        <w:sz w:val="18"/>
      </w:rPr>
      <w:instrText xml:space="preserve"> PAGE  \* MERGEFORMAT </w:instrText>
    </w:r>
    <w:r w:rsidRPr="00E82683">
      <w:rPr>
        <w:b/>
        <w:sz w:val="18"/>
      </w:rPr>
      <w:fldChar w:fldCharType="separate"/>
    </w:r>
    <w:r w:rsidRPr="00E82683">
      <w:rPr>
        <w:b/>
        <w:noProof/>
        <w:sz w:val="18"/>
      </w:rPr>
      <w:t>3</w:t>
    </w:r>
    <w:r w:rsidRPr="00E82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82683" w:rsidRDefault="00E82683" w:rsidP="00E8268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19-10102  (F)    230719    230719</w:t>
    </w:r>
    <w:r>
      <w:rPr>
        <w:sz w:val="20"/>
      </w:rPr>
      <w:br/>
    </w:r>
    <w:r w:rsidRPr="00E82683">
      <w:rPr>
        <w:rFonts w:ascii="C39T30Lfz" w:hAnsi="C39T30Lfz"/>
        <w:sz w:val="56"/>
      </w:rPr>
      <w:t></w:t>
    </w:r>
    <w:r w:rsidRPr="00E82683">
      <w:rPr>
        <w:rFonts w:ascii="C39T30Lfz" w:hAnsi="C39T30Lfz"/>
        <w:sz w:val="56"/>
      </w:rPr>
      <w:t></w:t>
    </w:r>
    <w:r w:rsidRPr="00E82683">
      <w:rPr>
        <w:rFonts w:ascii="C39T30Lfz" w:hAnsi="C39T30Lfz"/>
        <w:sz w:val="56"/>
      </w:rPr>
      <w:t></w:t>
    </w:r>
    <w:r w:rsidRPr="00E82683">
      <w:rPr>
        <w:rFonts w:ascii="C39T30Lfz" w:hAnsi="C39T30Lfz"/>
        <w:sz w:val="56"/>
      </w:rPr>
      <w:t></w:t>
    </w:r>
    <w:r w:rsidRPr="00E82683">
      <w:rPr>
        <w:rFonts w:ascii="C39T30Lfz" w:hAnsi="C39T30Lfz"/>
        <w:sz w:val="56"/>
      </w:rPr>
      <w:t></w:t>
    </w:r>
    <w:r w:rsidRPr="00E82683">
      <w:rPr>
        <w:rFonts w:ascii="C39T30Lfz" w:hAnsi="C39T30Lfz"/>
        <w:sz w:val="56"/>
      </w:rPr>
      <w:t></w:t>
    </w:r>
    <w:r w:rsidRPr="00E82683">
      <w:rPr>
        <w:rFonts w:ascii="C39T30Lfz" w:hAnsi="C39T30Lfz"/>
        <w:sz w:val="56"/>
      </w:rPr>
      <w:t></w:t>
    </w:r>
    <w:r w:rsidRPr="00E82683">
      <w:rPr>
        <w:rFonts w:ascii="C39T30Lfz" w:hAnsi="C39T30Lfz"/>
        <w:sz w:val="56"/>
      </w:rPr>
      <w:t></w:t>
    </w:r>
    <w:r w:rsidRPr="00E8268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3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79" w:rsidRPr="00AC3823" w:rsidRDefault="00F82E7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2E79" w:rsidRPr="00AC3823" w:rsidRDefault="00F82E7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2E79" w:rsidRPr="00AC3823" w:rsidRDefault="00F82E79">
      <w:pPr>
        <w:spacing w:line="240" w:lineRule="auto"/>
        <w:rPr>
          <w:sz w:val="2"/>
          <w:szCs w:val="2"/>
        </w:rPr>
      </w:pPr>
    </w:p>
  </w:footnote>
  <w:footnote w:id="2">
    <w:p w:rsidR="00E82683" w:rsidRDefault="00E82683" w:rsidP="00E82683">
      <w:pPr>
        <w:pStyle w:val="FootnoteText"/>
      </w:pPr>
      <w:r>
        <w:tab/>
      </w:r>
      <w:r w:rsidRPr="00E82683">
        <w:t xml:space="preserve">* </w:t>
      </w:r>
      <w:r>
        <w:tab/>
        <w:t>Conformément au programme de travail du Comité des transports intérieurs pour la période 2018</w:t>
      </w:r>
      <w:r>
        <w:noBreakHyphen/>
        <w:t>2019 (ECE/TRANS/WP.15/237, annexe V (9.2)).</w:t>
      </w:r>
    </w:p>
  </w:footnote>
  <w:footnote w:id="3">
    <w:p w:rsidR="00E82683" w:rsidRDefault="00E82683" w:rsidP="00E82683">
      <w:pPr>
        <w:pStyle w:val="FootnoteText"/>
      </w:pPr>
      <w:r>
        <w:tab/>
      </w:r>
      <w:r w:rsidRPr="00E82683">
        <w:t>* *</w:t>
      </w:r>
      <w:r>
        <w:tab/>
        <w:t>Diffusée par l’Organisation intergouvernementale pour les transports internationaux ferroviaires (OTIF) sous la cote OTIF/RID/RC/2019/31.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83" w:rsidRPr="00E82683" w:rsidRDefault="009837D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017F8">
      <w:t>ECE/TRANS/WP.15/AC.1/2019/31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83" w:rsidRPr="00E82683" w:rsidRDefault="009837D8" w:rsidP="00E8268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017F8">
      <w:t>ECE/TRANS/WP.15/AC.1/2019/31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7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17F8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837D8"/>
    <w:rsid w:val="009C1CF4"/>
    <w:rsid w:val="009F6B74"/>
    <w:rsid w:val="00A3029F"/>
    <w:rsid w:val="00A30353"/>
    <w:rsid w:val="00AC3823"/>
    <w:rsid w:val="00AD04DF"/>
    <w:rsid w:val="00AE323C"/>
    <w:rsid w:val="00AF0CB5"/>
    <w:rsid w:val="00B00181"/>
    <w:rsid w:val="00B00B0D"/>
    <w:rsid w:val="00B45F2E"/>
    <w:rsid w:val="00B765F7"/>
    <w:rsid w:val="00BA0CA9"/>
    <w:rsid w:val="00C02897"/>
    <w:rsid w:val="00C76CEA"/>
    <w:rsid w:val="00C97039"/>
    <w:rsid w:val="00D3439C"/>
    <w:rsid w:val="00DB1831"/>
    <w:rsid w:val="00DD3BFD"/>
    <w:rsid w:val="00DF6678"/>
    <w:rsid w:val="00E0299A"/>
    <w:rsid w:val="00E82683"/>
    <w:rsid w:val="00E85C74"/>
    <w:rsid w:val="00EA6547"/>
    <w:rsid w:val="00EF2E22"/>
    <w:rsid w:val="00F35BAF"/>
    <w:rsid w:val="00F660DF"/>
    <w:rsid w:val="00F82E7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3225B9-C84F-46E2-9E77-B2BDB0A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ECE/TRANS/WP.15/AC.1/2019/31</vt:lpstr>
      <vt:lpstr>ECE/TRANS/WP.15/AC.1/2019/31</vt:lpstr>
    </vt:vector>
  </TitlesOfParts>
  <Company>DCM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ECE/TRANS/WP.15/AC.1/2019/31</dc:title>
  <dc:subject/>
  <dc:creator>Edith BOURION</dc:creator>
  <cp:keywords/>
  <cp:lastModifiedBy>Christine Barrio-Champeau</cp:lastModifiedBy>
  <cp:revision>2</cp:revision>
  <cp:lastPrinted>2019-07-23T08:36:00Z</cp:lastPrinted>
  <dcterms:created xsi:type="dcterms:W3CDTF">2019-07-23T09:57:00Z</dcterms:created>
  <dcterms:modified xsi:type="dcterms:W3CDTF">2019-07-23T09:57:00Z</dcterms:modified>
</cp:coreProperties>
</file>