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5B50D24" w14:textId="77777777" w:rsidTr="00387CD4">
        <w:trPr>
          <w:trHeight w:hRule="exact" w:val="851"/>
        </w:trPr>
        <w:tc>
          <w:tcPr>
            <w:tcW w:w="142" w:type="dxa"/>
            <w:tcBorders>
              <w:bottom w:val="single" w:sz="4" w:space="0" w:color="auto"/>
            </w:tcBorders>
          </w:tcPr>
          <w:p w14:paraId="5E025F94" w14:textId="77777777" w:rsidR="002D5AAC" w:rsidRDefault="002D5AAC" w:rsidP="0098212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C19ABCD"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FE094B1" w14:textId="77777777" w:rsidR="002D5AAC" w:rsidRDefault="0098212E" w:rsidP="0098212E">
            <w:pPr>
              <w:jc w:val="right"/>
            </w:pPr>
            <w:r w:rsidRPr="0098212E">
              <w:rPr>
                <w:sz w:val="40"/>
              </w:rPr>
              <w:t>ECE</w:t>
            </w:r>
            <w:r>
              <w:t>/TRANS/WP.15/AC.1/2019/22</w:t>
            </w:r>
          </w:p>
        </w:tc>
      </w:tr>
      <w:tr w:rsidR="002D5AAC" w:rsidRPr="0098212E" w14:paraId="7BB99B0E" w14:textId="77777777" w:rsidTr="00387CD4">
        <w:trPr>
          <w:trHeight w:hRule="exact" w:val="2835"/>
        </w:trPr>
        <w:tc>
          <w:tcPr>
            <w:tcW w:w="1280" w:type="dxa"/>
            <w:gridSpan w:val="2"/>
            <w:tcBorders>
              <w:top w:val="single" w:sz="4" w:space="0" w:color="auto"/>
              <w:bottom w:val="single" w:sz="12" w:space="0" w:color="auto"/>
            </w:tcBorders>
          </w:tcPr>
          <w:p w14:paraId="0DC5D275" w14:textId="77777777" w:rsidR="002D5AAC" w:rsidRDefault="002E5067" w:rsidP="00387CD4">
            <w:pPr>
              <w:spacing w:before="120"/>
              <w:jc w:val="center"/>
            </w:pPr>
            <w:r>
              <w:rPr>
                <w:noProof/>
                <w:lang w:val="fr-CH" w:eastAsia="fr-CH"/>
              </w:rPr>
              <w:drawing>
                <wp:inline distT="0" distB="0" distL="0" distR="0" wp14:anchorId="7541C1BC" wp14:editId="76B230C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92784B4"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C1AE20D" w14:textId="77777777" w:rsidR="002D5AAC" w:rsidRDefault="0098212E" w:rsidP="00387CD4">
            <w:pPr>
              <w:spacing w:before="240"/>
              <w:rPr>
                <w:lang w:val="en-US"/>
              </w:rPr>
            </w:pPr>
            <w:r>
              <w:rPr>
                <w:lang w:val="en-US"/>
              </w:rPr>
              <w:t>Distr.: General</w:t>
            </w:r>
          </w:p>
          <w:p w14:paraId="2E5F05E2" w14:textId="77777777" w:rsidR="0098212E" w:rsidRDefault="0098212E" w:rsidP="0098212E">
            <w:pPr>
              <w:spacing w:line="240" w:lineRule="exact"/>
              <w:rPr>
                <w:lang w:val="en-US"/>
              </w:rPr>
            </w:pPr>
            <w:r>
              <w:rPr>
                <w:lang w:val="en-US"/>
              </w:rPr>
              <w:t>18 June 2019</w:t>
            </w:r>
          </w:p>
          <w:p w14:paraId="0E717E01" w14:textId="77777777" w:rsidR="0098212E" w:rsidRDefault="0098212E" w:rsidP="0098212E">
            <w:pPr>
              <w:spacing w:line="240" w:lineRule="exact"/>
              <w:rPr>
                <w:lang w:val="en-US"/>
              </w:rPr>
            </w:pPr>
            <w:r>
              <w:rPr>
                <w:lang w:val="en-US"/>
              </w:rPr>
              <w:t>Russian</w:t>
            </w:r>
          </w:p>
          <w:p w14:paraId="32FBAA1B" w14:textId="77777777" w:rsidR="0098212E" w:rsidRPr="008D53B6" w:rsidRDefault="0098212E" w:rsidP="0098212E">
            <w:pPr>
              <w:spacing w:line="240" w:lineRule="exact"/>
              <w:rPr>
                <w:lang w:val="en-US"/>
              </w:rPr>
            </w:pPr>
            <w:r>
              <w:rPr>
                <w:lang w:val="en-US"/>
              </w:rPr>
              <w:t>Original: English</w:t>
            </w:r>
          </w:p>
        </w:tc>
      </w:tr>
    </w:tbl>
    <w:p w14:paraId="1A7E72B5" w14:textId="77777777" w:rsidR="0098212E" w:rsidRDefault="008A37C8" w:rsidP="00255343">
      <w:pPr>
        <w:spacing w:before="120"/>
        <w:rPr>
          <w:b/>
          <w:sz w:val="28"/>
          <w:szCs w:val="28"/>
        </w:rPr>
      </w:pPr>
      <w:r w:rsidRPr="00245892">
        <w:rPr>
          <w:b/>
          <w:sz w:val="28"/>
          <w:szCs w:val="28"/>
        </w:rPr>
        <w:t>Европейская экономическая комиссия</w:t>
      </w:r>
    </w:p>
    <w:p w14:paraId="00033EBC" w14:textId="77777777" w:rsidR="0098212E" w:rsidRPr="0098212E" w:rsidRDefault="0098212E" w:rsidP="0098212E">
      <w:pPr>
        <w:spacing w:before="120" w:after="120"/>
        <w:rPr>
          <w:sz w:val="28"/>
          <w:szCs w:val="28"/>
        </w:rPr>
      </w:pPr>
      <w:r w:rsidRPr="0098212E">
        <w:rPr>
          <w:sz w:val="28"/>
          <w:szCs w:val="28"/>
        </w:rPr>
        <w:t>Комитет по внутреннему транспорту</w:t>
      </w:r>
    </w:p>
    <w:p w14:paraId="178A4F86" w14:textId="77777777" w:rsidR="0098212E" w:rsidRPr="0098212E" w:rsidRDefault="0098212E" w:rsidP="0098212E">
      <w:pPr>
        <w:spacing w:before="120" w:after="120"/>
        <w:rPr>
          <w:b/>
          <w:sz w:val="24"/>
          <w:szCs w:val="24"/>
        </w:rPr>
      </w:pPr>
      <w:r w:rsidRPr="0098212E">
        <w:rPr>
          <w:b/>
          <w:bCs/>
          <w:sz w:val="24"/>
          <w:szCs w:val="24"/>
        </w:rPr>
        <w:t>Рабочая группа по перевозкам опасных грузов</w:t>
      </w:r>
    </w:p>
    <w:p w14:paraId="30197504" w14:textId="77777777" w:rsidR="0098212E" w:rsidRPr="0098212E" w:rsidRDefault="0098212E" w:rsidP="0098212E">
      <w:pPr>
        <w:rPr>
          <w:b/>
        </w:rPr>
      </w:pPr>
      <w:r w:rsidRPr="0098212E">
        <w:rPr>
          <w:b/>
          <w:bCs/>
        </w:rPr>
        <w:t xml:space="preserve">Совместное совещание Комиссии экспертов МПОГ </w:t>
      </w:r>
      <w:r>
        <w:rPr>
          <w:b/>
          <w:bCs/>
        </w:rPr>
        <w:br/>
      </w:r>
      <w:r w:rsidRPr="0098212E">
        <w:rPr>
          <w:b/>
          <w:bCs/>
        </w:rPr>
        <w:t>и Рабочей группы по перевозкам опасных грузов</w:t>
      </w:r>
    </w:p>
    <w:p w14:paraId="5BAAD7A1" w14:textId="77777777" w:rsidR="0098212E" w:rsidRPr="0098212E" w:rsidRDefault="0098212E" w:rsidP="0098212E">
      <w:r w:rsidRPr="0098212E">
        <w:t>Женева, 17−27 сентября 2019 года</w:t>
      </w:r>
    </w:p>
    <w:p w14:paraId="441F3463" w14:textId="77777777" w:rsidR="0098212E" w:rsidRPr="0098212E" w:rsidRDefault="0098212E" w:rsidP="0098212E">
      <w:r w:rsidRPr="0098212E">
        <w:t>Пункт 4 предварительной повестки дня</w:t>
      </w:r>
    </w:p>
    <w:p w14:paraId="7C29838B" w14:textId="77777777" w:rsidR="0098212E" w:rsidRPr="0098212E" w:rsidRDefault="0098212E" w:rsidP="0098212E">
      <w:r w:rsidRPr="0098212E">
        <w:rPr>
          <w:b/>
          <w:bCs/>
        </w:rPr>
        <w:t xml:space="preserve">Согласование с Рекомендациями Организации </w:t>
      </w:r>
      <w:r>
        <w:rPr>
          <w:b/>
          <w:bCs/>
        </w:rPr>
        <w:br/>
      </w:r>
      <w:r w:rsidRPr="0098212E">
        <w:rPr>
          <w:b/>
          <w:bCs/>
        </w:rPr>
        <w:t>Объединенных Наций по перевозке опасных грузов</w:t>
      </w:r>
    </w:p>
    <w:p w14:paraId="5FA85392" w14:textId="77777777" w:rsidR="0098212E" w:rsidRPr="0098212E" w:rsidRDefault="0098212E" w:rsidP="0098212E">
      <w:pPr>
        <w:pStyle w:val="HChG"/>
      </w:pPr>
      <w:r w:rsidRPr="0098212E">
        <w:tab/>
      </w:r>
      <w:r w:rsidRPr="0098212E">
        <w:tab/>
        <w:t>Доклад Специальной рабочей группы по согласованию МПОГ/ДОПОГ/ВОПОГ с Рекомендациями Организации Объединенных Наций по перевозке опасных грузов</w:t>
      </w:r>
    </w:p>
    <w:p w14:paraId="579AED6A" w14:textId="77777777" w:rsidR="0098212E" w:rsidRPr="0098212E" w:rsidRDefault="0098212E" w:rsidP="0098212E">
      <w:pPr>
        <w:pStyle w:val="H1G"/>
        <w:rPr>
          <w:vertAlign w:val="superscript"/>
        </w:rPr>
      </w:pPr>
      <w:r w:rsidRPr="0098212E">
        <w:tab/>
      </w:r>
      <w:r w:rsidRPr="0098212E">
        <w:tab/>
        <w:t>Записка секретариата</w:t>
      </w:r>
      <w:r w:rsidRPr="0098212E">
        <w:rPr>
          <w:rStyle w:val="FootnoteReference"/>
          <w:b w:val="0"/>
          <w:sz w:val="20"/>
          <w:vertAlign w:val="baseline"/>
          <w:lang w:val="en-US"/>
        </w:rPr>
        <w:footnoteReference w:customMarkFollows="1" w:id="1"/>
        <w:t>*</w:t>
      </w:r>
      <w:r w:rsidRPr="0098212E">
        <w:rPr>
          <w:vertAlign w:val="superscript"/>
        </w:rPr>
        <w:t xml:space="preserve"> </w:t>
      </w:r>
      <w:r w:rsidRPr="0098212E">
        <w:rPr>
          <w:rStyle w:val="FootnoteReference"/>
          <w:b w:val="0"/>
          <w:sz w:val="20"/>
          <w:vertAlign w:val="baseline"/>
        </w:rPr>
        <w:footnoteReference w:customMarkFollows="1" w:id="2"/>
        <w:t>**</w:t>
      </w:r>
    </w:p>
    <w:p w14:paraId="6D92F27E" w14:textId="77777777" w:rsidR="0098212E" w:rsidRPr="0098212E" w:rsidRDefault="0098212E" w:rsidP="0098212E">
      <w:pPr>
        <w:pStyle w:val="HChG"/>
      </w:pPr>
      <w:r w:rsidRPr="0098212E">
        <w:tab/>
        <w:t>I.</w:t>
      </w:r>
      <w:r w:rsidRPr="0098212E">
        <w:tab/>
        <w:t>Общая информация</w:t>
      </w:r>
    </w:p>
    <w:p w14:paraId="396DB6B2" w14:textId="77777777" w:rsidR="0098212E" w:rsidRPr="0098212E" w:rsidRDefault="0098212E" w:rsidP="0098212E">
      <w:pPr>
        <w:pStyle w:val="SingleTxtG"/>
      </w:pPr>
      <w:r w:rsidRPr="0098212E">
        <w:t>1.</w:t>
      </w:r>
      <w:r w:rsidRPr="0098212E">
        <w:tab/>
        <w:t xml:space="preserve">Сессия Специальной рабочей группы по согласованию МПОГ/ДОПОГ/ВОПОГ с Рекомендациями Организации Объединенных Наций по перевозке опасных грузов состоялась в Женеве 24 и 25 апреля 2019 года под председательством </w:t>
      </w:r>
      <w:r>
        <w:br/>
      </w:r>
      <w:r w:rsidRPr="0098212E">
        <w:t xml:space="preserve">г-на К. </w:t>
      </w:r>
      <w:proofErr w:type="spellStart"/>
      <w:r w:rsidRPr="0098212E">
        <w:t>Пфоваделя</w:t>
      </w:r>
      <w:proofErr w:type="spellEnd"/>
      <w:r w:rsidRPr="0098212E">
        <w:t xml:space="preserve"> (Франция).</w:t>
      </w:r>
    </w:p>
    <w:p w14:paraId="4106AC4C" w14:textId="77777777" w:rsidR="0098212E" w:rsidRPr="0098212E" w:rsidRDefault="0098212E" w:rsidP="0098212E">
      <w:pPr>
        <w:pStyle w:val="SingleTxtG"/>
      </w:pPr>
      <w:r w:rsidRPr="0098212E">
        <w:t>2.</w:t>
      </w:r>
      <w:r w:rsidRPr="0098212E">
        <w:tab/>
        <w:t>В работе сессии приняли участие представители Бельгии, Германии, Испании, Люксембурга, Нидерландов, Соединенного Королевства, Франции, Швейцарии, Швеции, Международного союза автомобильного транспорта (МСАТ), Межправительственной организации по международным железнодорожным перевозкам (ОТИФ) и Центральной комиссии судоходства по Рейну (ЦКСР).</w:t>
      </w:r>
    </w:p>
    <w:p w14:paraId="380CAD16" w14:textId="77777777" w:rsidR="0098212E" w:rsidRPr="0098212E" w:rsidRDefault="0098212E" w:rsidP="0098212E">
      <w:pPr>
        <w:pStyle w:val="SingleTxtG"/>
      </w:pPr>
      <w:r w:rsidRPr="0098212E">
        <w:t>3.</w:t>
      </w:r>
      <w:r w:rsidRPr="0098212E">
        <w:tab/>
        <w:t>Сессия проводилась на английском языке без устного перевода. Подготовленная секретариатом нижеследующая документация, включая повестку дня, была опубликована в качестве неофициальных документов, размещенных на веб-сайте Отдела устойчивого транспорта ЕЭК ООН:</w:t>
      </w:r>
    </w:p>
    <w:p w14:paraId="5958F7C9" w14:textId="77777777" w:rsidR="0098212E" w:rsidRPr="0098212E" w:rsidRDefault="0098212E" w:rsidP="0098212E">
      <w:pPr>
        <w:pStyle w:val="SingleTxtG"/>
        <w:ind w:left="4536" w:hanging="3402"/>
        <w:jc w:val="left"/>
      </w:pPr>
      <w:r w:rsidRPr="0098212E">
        <w:t>ECE/TRANS/WP.15/AC.1/HAR/9</w:t>
      </w:r>
      <w:r w:rsidRPr="0098212E">
        <w:tab/>
        <w:t>Предварительная повестка дня девятой сессии (секретариат)</w:t>
      </w:r>
    </w:p>
    <w:p w14:paraId="4526CF35" w14:textId="77777777" w:rsidR="0098212E" w:rsidRPr="0098212E" w:rsidRDefault="0098212E" w:rsidP="0098212E">
      <w:pPr>
        <w:pStyle w:val="SingleTxtG"/>
        <w:ind w:left="4536" w:hanging="3402"/>
        <w:jc w:val="left"/>
      </w:pPr>
      <w:r w:rsidRPr="0098212E">
        <w:lastRenderedPageBreak/>
        <w:t>ECE/TRANS/WP.15/AC.1/HAR/2019/1</w:t>
      </w:r>
      <w:r w:rsidRPr="0098212E">
        <w:tab/>
      </w:r>
      <w:r w:rsidRPr="0098212E">
        <w:rPr>
          <w:lang w:val="nb-NO"/>
        </w:rPr>
        <w:t xml:space="preserve">Harmonization with the United Nations Model Regulations on the Transport of Dangerous Goods </w:t>
      </w:r>
      <w:r w:rsidRPr="0098212E">
        <w:t>(Согласование с Типовыми правилами перевозки опасных грузов Организации Объединенных Наций) (секретариат)</w:t>
      </w:r>
    </w:p>
    <w:p w14:paraId="7CE80163" w14:textId="77777777" w:rsidR="0098212E" w:rsidRPr="0098212E" w:rsidRDefault="0098212E" w:rsidP="0098212E">
      <w:pPr>
        <w:pStyle w:val="SingleTxtG"/>
      </w:pPr>
      <w:r w:rsidRPr="0098212E">
        <w:t>4.</w:t>
      </w:r>
      <w:r w:rsidRPr="0098212E">
        <w:tab/>
        <w:t>Базовыми документами были доклад Комитета экспертов по перевозке опасных грузов и Согласованной на глобальном уровне системе классификации опасности и маркировки химической продукции Экономического и Социального Совета Организации Объединенных Наций и приложения к нему, распространенные секретариатом в качестве документов ST/SG/AC.10/46 и Add.1–3.</w:t>
      </w:r>
    </w:p>
    <w:p w14:paraId="6B8A2AB3" w14:textId="77777777" w:rsidR="0098212E" w:rsidRPr="0098212E" w:rsidRDefault="0098212E" w:rsidP="0098212E">
      <w:pPr>
        <w:pStyle w:val="SingleTxtG"/>
      </w:pPr>
      <w:r w:rsidRPr="0098212E">
        <w:t>5.</w:t>
      </w:r>
      <w:r w:rsidRPr="0098212E">
        <w:tab/>
        <w:t>Специальная рабочая группа утвердила подготовленную секретариатом предварительную повестку дня.</w:t>
      </w:r>
    </w:p>
    <w:p w14:paraId="2E94F90F" w14:textId="77777777" w:rsidR="0098212E" w:rsidRPr="0098212E" w:rsidRDefault="0098212E" w:rsidP="0098212E">
      <w:pPr>
        <w:pStyle w:val="HChG"/>
      </w:pPr>
      <w:r w:rsidRPr="0098212E">
        <w:tab/>
        <w:t>II.</w:t>
      </w:r>
      <w:r w:rsidRPr="0098212E">
        <w:tab/>
        <w:t>Согласование МПОГ/ДОПОГ/ВОПОГ с Рекомендациями Организации Объединенных Наций по перевозке опасных грузов, Типовые правила</w:t>
      </w:r>
    </w:p>
    <w:p w14:paraId="24237ACF" w14:textId="77777777" w:rsidR="0098212E" w:rsidRPr="0098212E" w:rsidRDefault="0098212E" w:rsidP="0098212E">
      <w:pPr>
        <w:pStyle w:val="SingleTxtG"/>
      </w:pPr>
      <w:r w:rsidRPr="0098212E">
        <w:t>6.</w:t>
      </w:r>
      <w:r w:rsidRPr="0098212E">
        <w:tab/>
        <w:t xml:space="preserve">Специальная рабочая группа (далее именуется «Рабочая группа») рассмотрела проекты поправок, содержащиеся в документе ECE/TRANS/WP.15/AC.1/HAR/2019/1. Поправки, предлагаемые Специальной рабочей группой, содержатся в добавлении к настоящему докладу (ECE/TRANS/WP.15/AC.1/2019/22/Add.1). Некоторые тексты были заключены в квадратные скобки в ожидании решения по ним Совместного совещания или реакции на них со стороны других межправительственных органов. </w:t>
      </w:r>
    </w:p>
    <w:p w14:paraId="002B202F" w14:textId="77777777" w:rsidR="0098212E" w:rsidRPr="0098212E" w:rsidRDefault="0098212E" w:rsidP="0098212E">
      <w:pPr>
        <w:pStyle w:val="SingleTxtG"/>
      </w:pPr>
      <w:r w:rsidRPr="0098212E">
        <w:t>7.</w:t>
      </w:r>
      <w:r w:rsidRPr="0098212E">
        <w:tab/>
        <w:t xml:space="preserve">Рабочая группа решила, что изложенные ниже замечания с обоснованием некоторых из рекомендаций, вынесенных Рабочей группой, должны быть доведены до сведения Совместного совещания, Рабочей группы по перевозкам опасных грузов, Комитета по вопросам безопасности ВОПОГ или Подкомитета экспертов по перевозке опасных грузов (Подкомитета по ПОГ) в зависимости от конкретного случая. </w:t>
      </w:r>
    </w:p>
    <w:p w14:paraId="117E5B68" w14:textId="77777777" w:rsidR="0098212E" w:rsidRPr="0098212E" w:rsidRDefault="0098212E" w:rsidP="0098212E">
      <w:pPr>
        <w:pStyle w:val="H1G"/>
      </w:pPr>
      <w:r w:rsidRPr="0098212E">
        <w:tab/>
        <w:t>A.</w:t>
      </w:r>
      <w:r w:rsidRPr="0098212E">
        <w:tab/>
        <w:t>Изъятия, связанные с перевозкой систем аккумулирования и производства электроэнергии (поправки к подразделу 1.1.3.7)</w:t>
      </w:r>
    </w:p>
    <w:p w14:paraId="37855E54" w14:textId="77777777" w:rsidR="0098212E" w:rsidRPr="0098212E" w:rsidRDefault="0098212E" w:rsidP="0098212E">
      <w:pPr>
        <w:pStyle w:val="SingleTxtG"/>
      </w:pPr>
      <w:r w:rsidRPr="0098212E">
        <w:t>8.</w:t>
      </w:r>
      <w:r w:rsidRPr="0098212E">
        <w:tab/>
        <w:t xml:space="preserve">Рабочая группа рассмотрела два предложенных альтернативных варианта и, отмечая, что предусмотренное для подраздела 1.1.3.7 изъятие, предлагаемое в варианте 1 в документе ECE/TRANS/WP.15/AC.1/HAR/2019/1, является исключением из общего правила, сформулированного в настоящее время в МПОГ/ДОПОГ/ВОПОГ в пункте b) указанного подраздела, пришла к выводу, что пункт b) следует изменить соответствующим образом, а не добавлять новый пункт с). </w:t>
      </w:r>
    </w:p>
    <w:p w14:paraId="1280918B" w14:textId="77777777" w:rsidR="0098212E" w:rsidRPr="0098212E" w:rsidRDefault="0098212E" w:rsidP="0098212E">
      <w:pPr>
        <w:pStyle w:val="SingleTxtG"/>
      </w:pPr>
      <w:r w:rsidRPr="0098212E">
        <w:t>9.</w:t>
      </w:r>
      <w:r w:rsidRPr="0098212E">
        <w:tab/>
        <w:t>Было также предложено внести сопутствующую поправку в заголовок нового раздела 5.5.4 (см. пункт 59).</w:t>
      </w:r>
    </w:p>
    <w:p w14:paraId="695C430E" w14:textId="77777777" w:rsidR="0098212E" w:rsidRPr="0098212E" w:rsidRDefault="0098212E" w:rsidP="0098212E">
      <w:pPr>
        <w:pStyle w:val="H1G"/>
      </w:pPr>
      <w:r w:rsidRPr="0098212E">
        <w:tab/>
        <w:t>B.</w:t>
      </w:r>
      <w:r w:rsidRPr="0098212E">
        <w:tab/>
        <w:t>Поправки к определениям, содержащимся в главе 1.2</w:t>
      </w:r>
    </w:p>
    <w:p w14:paraId="13856DD2" w14:textId="77777777" w:rsidR="0098212E" w:rsidRPr="0098212E" w:rsidRDefault="0098212E" w:rsidP="0098212E">
      <w:pPr>
        <w:pStyle w:val="H23G"/>
      </w:pPr>
      <w:r w:rsidRPr="0098212E">
        <w:tab/>
        <w:t>1.</w:t>
      </w:r>
      <w:r w:rsidRPr="0098212E">
        <w:tab/>
        <w:t>Определение термина «Мощность дозы»: сопутствующие поправки</w:t>
      </w:r>
    </w:p>
    <w:p w14:paraId="00D2BCD4" w14:textId="77777777" w:rsidR="0098212E" w:rsidRPr="0098212E" w:rsidRDefault="0098212E" w:rsidP="0098212E">
      <w:pPr>
        <w:pStyle w:val="SingleTxtG"/>
      </w:pPr>
      <w:r w:rsidRPr="0098212E">
        <w:t>10.</w:t>
      </w:r>
      <w:r w:rsidRPr="0098212E">
        <w:tab/>
        <w:t>Один из сотрудников секретариата проинформировал Рабочую группу о том, что в ходе подготовки двадцать первого издания Типовых правил были определены дополнительные сопутствующие поправки, связанные с заменой термина «уровень излучения» термином «мощность дозы». Рабочая группа решила, что эти сопутствующие поправки также применимы к МПОГ/ДОПОГ/ВОПОГ.</w:t>
      </w:r>
    </w:p>
    <w:p w14:paraId="2FA2B296" w14:textId="77777777" w:rsidR="0098212E" w:rsidRPr="0098212E" w:rsidRDefault="0098212E" w:rsidP="0098212E">
      <w:pPr>
        <w:pStyle w:val="H23G"/>
      </w:pPr>
      <w:r w:rsidRPr="0098212E">
        <w:tab/>
        <w:t>2.</w:t>
      </w:r>
      <w:r w:rsidRPr="0098212E">
        <w:tab/>
        <w:t xml:space="preserve">Определение термина «Температура </w:t>
      </w:r>
      <w:proofErr w:type="spellStart"/>
      <w:r w:rsidRPr="0098212E">
        <w:t>самоускоряющегося</w:t>
      </w:r>
      <w:proofErr w:type="spellEnd"/>
      <w:r w:rsidRPr="0098212E">
        <w:t xml:space="preserve"> разложения» </w:t>
      </w:r>
    </w:p>
    <w:p w14:paraId="0FA9E65C" w14:textId="77777777" w:rsidR="0098212E" w:rsidRPr="0098212E" w:rsidRDefault="0098212E" w:rsidP="0098212E">
      <w:pPr>
        <w:pStyle w:val="SingleTxtG"/>
      </w:pPr>
      <w:r w:rsidRPr="0098212E">
        <w:t>11.</w:t>
      </w:r>
      <w:r w:rsidRPr="0098212E">
        <w:tab/>
        <w:t xml:space="preserve">Рабочая группа приняла к сведению замечание секретариата, содержащееся в документе ECE/TRANS/WP.15/AC.1/HAR/2019/1, но пришла к выводу, что, поскольку </w:t>
      </w:r>
      <w:bookmarkStart w:id="0" w:name="_GoBack"/>
      <w:bookmarkEnd w:id="0"/>
      <w:r w:rsidRPr="0098212E">
        <w:lastRenderedPageBreak/>
        <w:t xml:space="preserve">раздел 28 Руководства по испытаниям и критериям в основном содержит положения, касающиеся определения температуры </w:t>
      </w:r>
      <w:proofErr w:type="spellStart"/>
      <w:r w:rsidRPr="0098212E">
        <w:t>самоускоряющегося</w:t>
      </w:r>
      <w:proofErr w:type="spellEnd"/>
      <w:r w:rsidRPr="0098212E">
        <w:t xml:space="preserve"> разложения, в</w:t>
      </w:r>
      <w:r w:rsidR="00DE178B">
        <w:t> </w:t>
      </w:r>
      <w:r w:rsidRPr="0098212E">
        <w:t>информации относительно эффектов нагревания в замкнутом пространстве нет необходимости.</w:t>
      </w:r>
    </w:p>
    <w:p w14:paraId="03F70971" w14:textId="77777777" w:rsidR="0098212E" w:rsidRPr="0098212E" w:rsidRDefault="0098212E" w:rsidP="0098212E">
      <w:pPr>
        <w:pStyle w:val="H23G"/>
      </w:pPr>
      <w:r w:rsidRPr="0098212E">
        <w:tab/>
        <w:t>3.</w:t>
      </w:r>
      <w:r w:rsidRPr="0098212E">
        <w:tab/>
        <w:t xml:space="preserve">Определение термина «Транспортная единица» </w:t>
      </w:r>
    </w:p>
    <w:p w14:paraId="3731DDC0" w14:textId="77777777" w:rsidR="0098212E" w:rsidRPr="0098212E" w:rsidRDefault="0098212E" w:rsidP="0098212E">
      <w:pPr>
        <w:pStyle w:val="SingleTxtG"/>
      </w:pPr>
      <w:r w:rsidRPr="0098212E">
        <w:t>12.</w:t>
      </w:r>
      <w:r w:rsidRPr="0098212E">
        <w:tab/>
        <w:t>Представитель ЦКСР выразил мнение, что определение термина «транспортная единица» в ДОПОГ можно было бы согласовать в большей степени, и предложил Совместному совещанию рассмотреть его.</w:t>
      </w:r>
    </w:p>
    <w:p w14:paraId="0F14D898" w14:textId="77777777" w:rsidR="0098212E" w:rsidRPr="0098212E" w:rsidRDefault="0098212E" w:rsidP="0098212E">
      <w:pPr>
        <w:pStyle w:val="H1G"/>
      </w:pPr>
      <w:r w:rsidRPr="0098212E">
        <w:tab/>
        <w:t>C.</w:t>
      </w:r>
      <w:r w:rsidRPr="0098212E">
        <w:tab/>
        <w:t>Глава 1.6</w:t>
      </w:r>
    </w:p>
    <w:p w14:paraId="2DC6061A" w14:textId="77777777" w:rsidR="0098212E" w:rsidRPr="0098212E" w:rsidRDefault="0098212E" w:rsidP="0098212E">
      <w:pPr>
        <w:pStyle w:val="SingleTxtG"/>
      </w:pPr>
      <w:r w:rsidRPr="0098212E">
        <w:t>13.</w:t>
      </w:r>
      <w:r w:rsidRPr="0098212E">
        <w:tab/>
        <w:t xml:space="preserve">Рабочая группа решила, что предлагаемый новый пункт 1.6.6.3 следует включить в МПОГ/ДОПОГ/ВОПОГ в качестве нового пункта 1.6.6.2.3. </w:t>
      </w:r>
    </w:p>
    <w:p w14:paraId="20E4E6D8" w14:textId="77777777" w:rsidR="0098212E" w:rsidRPr="0098212E" w:rsidRDefault="0098212E" w:rsidP="0098212E">
      <w:pPr>
        <w:pStyle w:val="H1G"/>
      </w:pPr>
      <w:r w:rsidRPr="0098212E">
        <w:tab/>
        <w:t>D.</w:t>
      </w:r>
      <w:r w:rsidRPr="0098212E">
        <w:tab/>
        <w:t xml:space="preserve">Указание «кроме материала животного происхождения» </w:t>
      </w:r>
      <w:r>
        <w:br/>
      </w:r>
      <w:r w:rsidRPr="0098212E">
        <w:t xml:space="preserve">в таблице 1.10.3.1.2 </w:t>
      </w:r>
    </w:p>
    <w:p w14:paraId="0878A651" w14:textId="77777777" w:rsidR="0098212E" w:rsidRPr="0098212E" w:rsidRDefault="0098212E" w:rsidP="0098212E">
      <w:pPr>
        <w:pStyle w:val="SingleTxtG"/>
      </w:pPr>
      <w:r w:rsidRPr="0098212E">
        <w:t>14.</w:t>
      </w:r>
      <w:r w:rsidRPr="0098212E">
        <w:tab/>
        <w:t xml:space="preserve">Представитель Германии указала, что, хотя раньше «материал животного происхождения» использовался для перевозки в культурах и поэтому по умолчанию относился к инфекционным веществам категории А, теперь дело обстоит иначе. Она отметила, что в настоящее время большинство «материалов животного происхождения» отвечают критериям отнесения к категории В. </w:t>
      </w:r>
    </w:p>
    <w:p w14:paraId="17912D99" w14:textId="77777777" w:rsidR="0098212E" w:rsidRPr="0098212E" w:rsidRDefault="0098212E" w:rsidP="0098212E">
      <w:pPr>
        <w:pStyle w:val="SingleTxtG"/>
      </w:pPr>
      <w:r w:rsidRPr="0098212E">
        <w:t>15.</w:t>
      </w:r>
      <w:r w:rsidRPr="0098212E">
        <w:tab/>
        <w:t>Было также отмечено, что материал животного происхождения категории А в настоящее время не освобождается от действия правил, являясь грузом повышенной опасности, упоминаемым в таблице 1.4.1 главы 1.4 Типовых правил. Рабочая группа сочла, что данное несоответствие между Типовыми правилами и МПОГ/ДОПОГ/ВОПОГ следует довести до сведения Подкомитета по ПОГ, и предложила Подкомитету по ПОГ рассмотреть пути устранения этого несоответствия (например, либо путем включения материала животного происхождения категории А в перечень грузов повышенной опасности для всех видов транспорта, либо путем его исключения).</w:t>
      </w:r>
    </w:p>
    <w:p w14:paraId="378EF497" w14:textId="77777777" w:rsidR="0098212E" w:rsidRPr="0098212E" w:rsidRDefault="0098212E" w:rsidP="0098212E">
      <w:pPr>
        <w:pStyle w:val="SingleTxtG"/>
      </w:pPr>
      <w:r w:rsidRPr="0098212E">
        <w:t>16.</w:t>
      </w:r>
      <w:r w:rsidRPr="0098212E">
        <w:tab/>
        <w:t>Рабочая группа решила сохранить данный текст в квадратных скобках в ожидании реакции Подкомитета по ПОГ по этому вопросу.</w:t>
      </w:r>
    </w:p>
    <w:p w14:paraId="024A0C91" w14:textId="77777777" w:rsidR="0098212E" w:rsidRPr="0098212E" w:rsidRDefault="0098212E" w:rsidP="0098212E">
      <w:pPr>
        <w:pStyle w:val="H1G"/>
      </w:pPr>
      <w:r w:rsidRPr="0098212E">
        <w:tab/>
        <w:t>E.</w:t>
      </w:r>
      <w:r w:rsidRPr="0098212E">
        <w:tab/>
        <w:t xml:space="preserve">Отнесение фейерверочных изделий к </w:t>
      </w:r>
      <w:r>
        <w:t>№ </w:t>
      </w:r>
      <w:r w:rsidRPr="0098212E">
        <w:t>ООН 0431</w:t>
      </w:r>
    </w:p>
    <w:p w14:paraId="6DD0C3A1" w14:textId="77777777" w:rsidR="0098212E" w:rsidRPr="0098212E" w:rsidRDefault="0098212E" w:rsidP="0098212E">
      <w:pPr>
        <w:pStyle w:val="SingleTxtG"/>
      </w:pPr>
      <w:r w:rsidRPr="0098212E">
        <w:t>17.</w:t>
      </w:r>
      <w:r w:rsidRPr="0098212E">
        <w:tab/>
        <w:t>Рабочая группа сочла, что текст можно было бы дополнительно уточнить, и</w:t>
      </w:r>
      <w:r w:rsidR="00C0127F">
        <w:t> </w:t>
      </w:r>
      <w:r w:rsidRPr="0098212E">
        <w:t>предложила внести некоторые редакционные поправки, которые были заключены в квадратные скобки, при том понимании, что они будут переданы на рассмотрение Подкомитета по ПОГ.</w:t>
      </w:r>
    </w:p>
    <w:p w14:paraId="7CEDF717" w14:textId="77777777" w:rsidR="0098212E" w:rsidRPr="0098212E" w:rsidRDefault="0098212E" w:rsidP="0098212E">
      <w:pPr>
        <w:pStyle w:val="H1G"/>
      </w:pPr>
      <w:r w:rsidRPr="0098212E">
        <w:tab/>
        <w:t>F.</w:t>
      </w:r>
      <w:r w:rsidRPr="0098212E">
        <w:tab/>
        <w:t xml:space="preserve">Концентрация и метод упаковки для позиции </w:t>
      </w:r>
      <w:r>
        <w:br/>
      </w:r>
      <w:r w:rsidRPr="0098212E">
        <w:t>«ДИ-(4-трет-БУТИЛЦИКЛОГЕКСИЛ)-ПЕРОКСИДИКАРБОНАТ» в подразделе 2.2.52.4</w:t>
      </w:r>
    </w:p>
    <w:p w14:paraId="502D2B02" w14:textId="77777777" w:rsidR="0098212E" w:rsidRPr="0098212E" w:rsidRDefault="0098212E" w:rsidP="0098212E">
      <w:pPr>
        <w:pStyle w:val="SingleTxtG"/>
      </w:pPr>
      <w:r w:rsidRPr="0098212E">
        <w:t>18.</w:t>
      </w:r>
      <w:r w:rsidRPr="0098212E">
        <w:tab/>
        <w:t>Рабочая группа подтвердила, что, поскольку железнодорожная перевозка веществ, требующих регулирования температуры, не разрешается, замена «OP7» на «OP8» не имеет отношения к МПОГ.</w:t>
      </w:r>
    </w:p>
    <w:p w14:paraId="6FD7DD17" w14:textId="77777777" w:rsidR="0098212E" w:rsidRPr="0098212E" w:rsidRDefault="0098212E" w:rsidP="0098212E">
      <w:pPr>
        <w:pStyle w:val="H1G"/>
      </w:pPr>
      <w:r w:rsidRPr="0098212E">
        <w:tab/>
        <w:t>G.</w:t>
      </w:r>
      <w:r w:rsidRPr="0098212E">
        <w:tab/>
        <w:t>Медицинские или клинические отходы (пункт 2.2.62.1.11.1)</w:t>
      </w:r>
    </w:p>
    <w:p w14:paraId="4749B4BD" w14:textId="77777777" w:rsidR="0098212E" w:rsidRPr="0098212E" w:rsidRDefault="0098212E" w:rsidP="0098212E">
      <w:pPr>
        <w:pStyle w:val="SingleTxtG"/>
      </w:pPr>
      <w:r w:rsidRPr="0098212E">
        <w:t>19.</w:t>
      </w:r>
      <w:r w:rsidRPr="0098212E">
        <w:tab/>
        <w:t xml:space="preserve">Отмечая, что текст, напечатанный строчными буквами, не является частью надлежащего отгрузочного наименования, Рабочая группа решила, что в начале </w:t>
      </w:r>
      <w:r w:rsidRPr="0098212E">
        <w:lastRenderedPageBreak/>
        <w:t>нового примечания 1 к пункту 2.2.62.1.11.1 слова «Надлежащим отгрузочным наименованием» следует заменить словом «Наименованием». Было отмечено, что та же поправка касается примечания 1 к пункту 2.2.62.1.4.1 и примечания к пункту</w:t>
      </w:r>
      <w:r>
        <w:rPr>
          <w:lang w:val="en-US"/>
        </w:rPr>
        <w:t> </w:t>
      </w:r>
      <w:r w:rsidRPr="0098212E">
        <w:t>2.2.62.1.4.2.</w:t>
      </w:r>
    </w:p>
    <w:p w14:paraId="71A79A63" w14:textId="77777777" w:rsidR="0098212E" w:rsidRPr="0098212E" w:rsidRDefault="0098212E" w:rsidP="0098212E">
      <w:pPr>
        <w:pStyle w:val="SingleTxtG"/>
      </w:pPr>
      <w:r w:rsidRPr="0098212E">
        <w:t>20.</w:t>
      </w:r>
      <w:r w:rsidRPr="0098212E">
        <w:tab/>
        <w:t>Поскольку эти изменения также имеют отношение к Типовым правилам, было решено довести их до сведения Подкомитета по ПОГ.</w:t>
      </w:r>
    </w:p>
    <w:p w14:paraId="45DABF1A" w14:textId="77777777" w:rsidR="0098212E" w:rsidRPr="0098212E" w:rsidRDefault="0098212E" w:rsidP="0098212E">
      <w:pPr>
        <w:pStyle w:val="H1G"/>
      </w:pPr>
      <w:r w:rsidRPr="0098212E">
        <w:tab/>
        <w:t>H.</w:t>
      </w:r>
      <w:r w:rsidRPr="0098212E">
        <w:tab/>
        <w:t xml:space="preserve">Наименование и описание </w:t>
      </w:r>
      <w:r>
        <w:t>№ </w:t>
      </w:r>
      <w:r w:rsidRPr="0098212E">
        <w:t>ООН 3359 в подразделе 2.2.9.3</w:t>
      </w:r>
    </w:p>
    <w:p w14:paraId="73E21B17" w14:textId="77777777" w:rsidR="0098212E" w:rsidRPr="0098212E" w:rsidRDefault="0098212E" w:rsidP="0098212E">
      <w:pPr>
        <w:pStyle w:val="SingleTxtG"/>
      </w:pPr>
      <w:r w:rsidRPr="0098212E">
        <w:t>21.</w:t>
      </w:r>
      <w:r w:rsidRPr="0098212E">
        <w:tab/>
        <w:t xml:space="preserve">Рабочая группа отметила, что наименование </w:t>
      </w:r>
      <w:r>
        <w:t>№ </w:t>
      </w:r>
      <w:r w:rsidRPr="0098212E">
        <w:t>ООН 3359 в перечне позиций М11, содержащемся в подразделе 2.2.9.3, не совпадает с наименованием в таблице А. Соответствующее исправление будет включено в документ «Исправление» к изданию ДОПОГ.</w:t>
      </w:r>
    </w:p>
    <w:p w14:paraId="4436289B" w14:textId="77777777" w:rsidR="0098212E" w:rsidRPr="0098212E" w:rsidRDefault="0098212E" w:rsidP="0098212E">
      <w:pPr>
        <w:pStyle w:val="H1G"/>
      </w:pPr>
      <w:r w:rsidRPr="0098212E">
        <w:tab/>
        <w:t>I.</w:t>
      </w:r>
      <w:r w:rsidRPr="0098212E">
        <w:tab/>
        <w:t>Новые позиции в таблице А</w:t>
      </w:r>
    </w:p>
    <w:p w14:paraId="6CC0A7D6" w14:textId="77777777" w:rsidR="0098212E" w:rsidRPr="0098212E" w:rsidRDefault="0098212E" w:rsidP="0098212E">
      <w:pPr>
        <w:pStyle w:val="SingleTxtG"/>
      </w:pPr>
      <w:r w:rsidRPr="0098212E">
        <w:t>22.</w:t>
      </w:r>
      <w:r w:rsidRPr="0098212E">
        <w:tab/>
        <w:t>Рабочая группа согласовала следующие изменения и толкования:</w:t>
      </w:r>
    </w:p>
    <w:p w14:paraId="35F39B4D" w14:textId="77777777" w:rsidR="0098212E" w:rsidRPr="0098212E" w:rsidRDefault="0098212E" w:rsidP="0098212E">
      <w:pPr>
        <w:pStyle w:val="H23G"/>
      </w:pPr>
      <w:r w:rsidRPr="0098212E">
        <w:tab/>
        <w:t>1.</w:t>
      </w:r>
      <w:r w:rsidRPr="0098212E">
        <w:tab/>
        <w:t>Поправки к таблице А ВОПОГ</w:t>
      </w:r>
    </w:p>
    <w:p w14:paraId="5D99BBCD" w14:textId="77777777" w:rsidR="0098212E" w:rsidRPr="0098212E" w:rsidRDefault="0098212E" w:rsidP="0098212E">
      <w:pPr>
        <w:pStyle w:val="SingleTxtG"/>
      </w:pPr>
      <w:r w:rsidRPr="0098212E">
        <w:t>23.</w:t>
      </w:r>
      <w:r w:rsidRPr="0098212E">
        <w:tab/>
        <w:t>Предлагаемые поправки к таблице А ВОПОГ будут представлены на рассмотрение Комитета по вопросам безопасности ВОПОГ, который, возможно, пожелает поручить их обсуждение неофициальной рабочей группе по веществам.</w:t>
      </w:r>
    </w:p>
    <w:p w14:paraId="6DC697B6" w14:textId="77777777" w:rsidR="0098212E" w:rsidRPr="0098212E" w:rsidRDefault="0098212E" w:rsidP="0098212E">
      <w:pPr>
        <w:pStyle w:val="H23G"/>
      </w:pPr>
      <w:r w:rsidRPr="0098212E">
        <w:tab/>
        <w:t>2.</w:t>
      </w:r>
      <w:r w:rsidRPr="0098212E">
        <w:tab/>
      </w:r>
      <w:r>
        <w:t>№ </w:t>
      </w:r>
      <w:r w:rsidRPr="0098212E">
        <w:t>ООН 0511</w:t>
      </w:r>
    </w:p>
    <w:p w14:paraId="76B72510" w14:textId="77777777" w:rsidR="0098212E" w:rsidRPr="0098212E" w:rsidRDefault="0098212E" w:rsidP="0098212E">
      <w:pPr>
        <w:pStyle w:val="SingleTxtG"/>
      </w:pPr>
      <w:r w:rsidRPr="0098212E">
        <w:t>24.</w:t>
      </w:r>
      <w:r w:rsidRPr="0098212E">
        <w:tab/>
        <w:t>Рабочая группа решила, что в колонку 5 следует добавить «(+13)» только для железнодорожных перевозок.</w:t>
      </w:r>
    </w:p>
    <w:p w14:paraId="6B15D211" w14:textId="77777777" w:rsidR="0098212E" w:rsidRPr="0098212E" w:rsidRDefault="0098212E" w:rsidP="0098212E">
      <w:pPr>
        <w:pStyle w:val="H23G"/>
      </w:pPr>
      <w:r w:rsidRPr="0098212E">
        <w:tab/>
        <w:t>3.</w:t>
      </w:r>
      <w:r w:rsidRPr="0098212E">
        <w:tab/>
      </w:r>
      <w:r>
        <w:t>№ </w:t>
      </w:r>
      <w:r w:rsidRPr="0098212E">
        <w:t>ООН 0513</w:t>
      </w:r>
    </w:p>
    <w:p w14:paraId="3F28CEBC" w14:textId="77777777" w:rsidR="0098212E" w:rsidRPr="0098212E" w:rsidRDefault="0098212E" w:rsidP="0098212E">
      <w:pPr>
        <w:pStyle w:val="SingleTxtG"/>
      </w:pPr>
      <w:r w:rsidRPr="0098212E">
        <w:t>25.</w:t>
      </w:r>
      <w:r w:rsidRPr="0098212E">
        <w:tab/>
        <w:t>Рабочая группа подтвердила, что код W2 необходим в колонке 16 только для железнодорожного транспорта, поскольку эта запись относится только к взрывчатым веществам 1.4S.</w:t>
      </w:r>
    </w:p>
    <w:p w14:paraId="1B8FE62E" w14:textId="77777777" w:rsidR="0098212E" w:rsidRPr="0098212E" w:rsidRDefault="0098212E" w:rsidP="0098212E">
      <w:pPr>
        <w:pStyle w:val="H23G"/>
      </w:pPr>
      <w:r w:rsidRPr="0098212E">
        <w:tab/>
        <w:t>4.</w:t>
      </w:r>
      <w:r w:rsidRPr="0098212E">
        <w:tab/>
      </w:r>
      <w:r>
        <w:t>№ </w:t>
      </w:r>
      <w:r w:rsidRPr="0098212E">
        <w:t>ООН 3549 (ОТХОДЫ МЕДИЦИНСКИЕ, КАТЕГОРИЯ A, ОПАСНЫЕ ДЛЯ</w:t>
      </w:r>
      <w:r>
        <w:rPr>
          <w:lang w:val="en-US"/>
        </w:rPr>
        <w:t> </w:t>
      </w:r>
      <w:r w:rsidRPr="0098212E">
        <w:t>ЛЮДЕЙ, твердые или ОТХОДЫ МЕДИЦИНСКИЕ, КАТЕГОРИЯ A, ОПАСНЫЕ только ДЛЯ ЖИВОТНЫХ, твердые)</w:t>
      </w:r>
    </w:p>
    <w:p w14:paraId="7A7E2B0E" w14:textId="77777777" w:rsidR="0098212E" w:rsidRPr="0098212E" w:rsidRDefault="0098212E" w:rsidP="0098212E">
      <w:pPr>
        <w:pStyle w:val="SingleTxtG"/>
      </w:pPr>
      <w:r w:rsidRPr="0098212E">
        <w:t>26.</w:t>
      </w:r>
      <w:r w:rsidRPr="0098212E">
        <w:tab/>
        <w:t xml:space="preserve">Рабочая группа подтвердила правильность кодов, указанных в колонках 16 и 19, и решила снять квадратные скобки вокруг них. </w:t>
      </w:r>
    </w:p>
    <w:p w14:paraId="5546A8B4" w14:textId="77777777" w:rsidR="0098212E" w:rsidRPr="0098212E" w:rsidRDefault="0098212E" w:rsidP="0098212E">
      <w:pPr>
        <w:pStyle w:val="SingleTxtG"/>
      </w:pPr>
      <w:r w:rsidRPr="0098212E">
        <w:t>27.</w:t>
      </w:r>
      <w:r w:rsidRPr="0098212E">
        <w:tab/>
        <w:t xml:space="preserve">Рабочая группа сочла, что в колонку 15 для </w:t>
      </w:r>
      <w:r>
        <w:t>№ </w:t>
      </w:r>
      <w:r w:rsidRPr="0098212E">
        <w:t>ООН 3549 следует добавить транспортную категорию и код туннеля, которые в настоящее время назначены инфекционным веществам категории А, т.е. «0</w:t>
      </w:r>
      <w:r w:rsidR="00C0127F">
        <w:t> </w:t>
      </w:r>
      <w:r w:rsidRPr="0098212E">
        <w:t>(</w:t>
      </w:r>
      <w:r w:rsidR="00C0127F">
        <w:t>−</w:t>
      </w:r>
      <w:r w:rsidRPr="0098212E">
        <w:t>)». Этот код был заключен в квадратные скобки в ожидании подтверждения Рабочей группой по перевозкам опасных грузов (WP.15).</w:t>
      </w:r>
    </w:p>
    <w:p w14:paraId="12C2DB88" w14:textId="77777777" w:rsidR="0098212E" w:rsidRPr="0098212E" w:rsidRDefault="0098212E" w:rsidP="0098212E">
      <w:pPr>
        <w:pStyle w:val="SingleTxtG"/>
      </w:pPr>
      <w:r w:rsidRPr="0098212E">
        <w:t>28.</w:t>
      </w:r>
      <w:r w:rsidRPr="0098212E">
        <w:tab/>
        <w:t xml:space="preserve">В отношении кода CV26/CW26 было отмечено, что запрет на использование транспортных средств/вагонов или контейнеров с грузовыми отделениями, изготовленными из материалов, которые трудно поддаются очистке (например, древесины), или содержащими такие материалы, часто регулируется национальным законодательством. В некоторых случаях использование таких материалов разрешается в том случае, когда они защищены пластмассовыми или другими материалами, легко поддающимися очистке. Было высказано мнение, что следует разработать специальное положение, содержащее более подробные требования, чем те, которые в настоящее время предусмотрены в CV26/CW26. Тем временем Рабочая группа решила оставить CV26/CW26 в колонке 18 для отходов, перевозимых под </w:t>
      </w:r>
      <w:r>
        <w:t>№ </w:t>
      </w:r>
      <w:r w:rsidRPr="0098212E">
        <w:t>ООН 3549.</w:t>
      </w:r>
    </w:p>
    <w:p w14:paraId="586CB796" w14:textId="77777777" w:rsidR="0098212E" w:rsidRPr="0098212E" w:rsidRDefault="0098212E" w:rsidP="0098212E">
      <w:pPr>
        <w:pStyle w:val="SingleTxtG"/>
      </w:pPr>
      <w:r w:rsidRPr="0098212E">
        <w:lastRenderedPageBreak/>
        <w:t>29.</w:t>
      </w:r>
      <w:r w:rsidRPr="0098212E">
        <w:tab/>
        <w:t>В отношении применимых положений, указанных в колонках 6 и 9b, см.</w:t>
      </w:r>
      <w:r w:rsidR="00C0127F">
        <w:t> </w:t>
      </w:r>
      <w:r w:rsidRPr="0098212E">
        <w:t>пункты</w:t>
      </w:r>
      <w:r w:rsidR="00C0127F">
        <w:t> </w:t>
      </w:r>
      <w:r w:rsidRPr="0098212E">
        <w:t>30–33 ниже.</w:t>
      </w:r>
    </w:p>
    <w:p w14:paraId="5DCBE4C2" w14:textId="77777777" w:rsidR="0098212E" w:rsidRPr="0098212E" w:rsidRDefault="0098212E" w:rsidP="0098212E">
      <w:pPr>
        <w:pStyle w:val="H23G"/>
      </w:pPr>
      <w:r w:rsidRPr="0098212E">
        <w:tab/>
        <w:t>5.</w:t>
      </w:r>
      <w:r w:rsidRPr="0098212E">
        <w:tab/>
      </w:r>
      <w:r>
        <w:t>№ </w:t>
      </w:r>
      <w:r w:rsidRPr="0098212E">
        <w:t>ООН 3549 в охлажденном жидком азоте</w:t>
      </w:r>
    </w:p>
    <w:p w14:paraId="7213DC90" w14:textId="77777777" w:rsidR="0098212E" w:rsidRPr="0098212E" w:rsidRDefault="0098212E" w:rsidP="0098212E">
      <w:pPr>
        <w:pStyle w:val="SingleTxtG"/>
      </w:pPr>
      <w:r w:rsidRPr="0098212E">
        <w:t>30.</w:t>
      </w:r>
      <w:r w:rsidRPr="0098212E">
        <w:tab/>
        <w:t xml:space="preserve">Мнения разделились по поводу необходимости специальной позиции для отходов под </w:t>
      </w:r>
      <w:r>
        <w:t>№ </w:t>
      </w:r>
      <w:r w:rsidRPr="0098212E">
        <w:t>ООН 3549 в охлажденном жидком азоте, подобной той, которая применяется для других инфекционных веществ (</w:t>
      </w:r>
      <w:r>
        <w:t>№ </w:t>
      </w:r>
      <w:r w:rsidRPr="0098212E">
        <w:t xml:space="preserve">ООН 2814, 2900 и 3291). </w:t>
      </w:r>
    </w:p>
    <w:p w14:paraId="7F016457" w14:textId="77777777" w:rsidR="0098212E" w:rsidRPr="0098212E" w:rsidRDefault="0098212E" w:rsidP="0098212E">
      <w:pPr>
        <w:pStyle w:val="SingleTxtG"/>
      </w:pPr>
      <w:r w:rsidRPr="0098212E">
        <w:t>31.</w:t>
      </w:r>
      <w:r w:rsidRPr="0098212E">
        <w:tab/>
        <w:t xml:space="preserve">Некоторые делегации высказали мнение, что в случае жидких отходов охлаждение является целесообразным, так как позволяет избежать разлива или предотвратить распространение бактерий, однако они не убеждены в том, что это необходимо в случае твердых отходов. Другие участники отметили, что МР6 уже допускает использование хладагента, и поэтому сочли, что для этого нет необходимости вводить дополнительную позицию. Вместе с тем было отмечено, что даже несмотря на то, что позициям под </w:t>
      </w:r>
      <w:r>
        <w:t>№ </w:t>
      </w:r>
      <w:r w:rsidRPr="0098212E">
        <w:t xml:space="preserve">ООН 2814, 2900 и 3291 назначено MP6, имеется дополнительная позиция, касающаяся перевозки в охлажденном жидком азоте. Некоторые другие делегации выразили мнение, что если цель назначения MP6 для первой позиции состоит в том, чтобы разрешить использование хладагентов или кондиционирующих реагентов, иных чем охлажденный жидкий азот, то запрещение использования последнего должно быть четко указано, и предложили рассмотреть этот вопрос в рамках специального положения. </w:t>
      </w:r>
    </w:p>
    <w:p w14:paraId="73734A53" w14:textId="77777777" w:rsidR="0098212E" w:rsidRPr="0098212E" w:rsidRDefault="0098212E" w:rsidP="0098212E">
      <w:pPr>
        <w:pStyle w:val="SingleTxtG"/>
      </w:pPr>
      <w:r w:rsidRPr="0098212E">
        <w:t>32.</w:t>
      </w:r>
      <w:r w:rsidRPr="0098212E">
        <w:tab/>
        <w:t>После обмена мнениями Рабочая группа согласовала следующие два варианта:</w:t>
      </w:r>
    </w:p>
    <w:p w14:paraId="28F74193" w14:textId="77777777" w:rsidR="0098212E" w:rsidRPr="0098212E" w:rsidRDefault="0098212E" w:rsidP="0098212E">
      <w:pPr>
        <w:pStyle w:val="SingleTxtG"/>
        <w:ind w:left="1701"/>
        <w:rPr>
          <w:i/>
        </w:rPr>
      </w:pPr>
      <w:r w:rsidRPr="0098212E">
        <w:rPr>
          <w:i/>
        </w:rPr>
        <w:tab/>
      </w:r>
      <w:r w:rsidRPr="0098212E">
        <w:rPr>
          <w:i/>
          <w:iCs/>
        </w:rPr>
        <w:t>Вариант 1:</w:t>
      </w:r>
      <w:r w:rsidRPr="0098212E">
        <w:rPr>
          <w:i/>
        </w:rPr>
        <w:t xml:space="preserve"> </w:t>
      </w:r>
    </w:p>
    <w:p w14:paraId="309B5BC7" w14:textId="77777777" w:rsidR="0098212E" w:rsidRPr="0098212E" w:rsidRDefault="0098212E" w:rsidP="0098212E">
      <w:pPr>
        <w:pStyle w:val="SingleTxtG"/>
        <w:ind w:left="1701"/>
      </w:pPr>
      <w:r w:rsidRPr="0098212E">
        <w:t>Сохранить только одну позицию с указанием MP6 в колонке 9b и нового специального положения 6XX («Охлажденный жидкий азот не должен использоваться в качестве хладагента для веществ, отнесенных к этой позиции.»).</w:t>
      </w:r>
    </w:p>
    <w:p w14:paraId="531C9DAF" w14:textId="77777777" w:rsidR="0098212E" w:rsidRPr="0098212E" w:rsidRDefault="0098212E" w:rsidP="0098212E">
      <w:pPr>
        <w:pStyle w:val="SingleTxtG"/>
        <w:ind w:left="1701"/>
        <w:rPr>
          <w:i/>
        </w:rPr>
      </w:pPr>
      <w:r w:rsidRPr="0098212E">
        <w:rPr>
          <w:i/>
        </w:rPr>
        <w:tab/>
      </w:r>
      <w:r w:rsidRPr="0098212E">
        <w:rPr>
          <w:i/>
          <w:iCs/>
        </w:rPr>
        <w:t>Вариант 2:</w:t>
      </w:r>
    </w:p>
    <w:p w14:paraId="0BDA2BDA" w14:textId="77777777" w:rsidR="0098212E" w:rsidRPr="0098212E" w:rsidRDefault="0098212E" w:rsidP="0098212E">
      <w:pPr>
        <w:pStyle w:val="SingleTxtG"/>
        <w:ind w:left="1701"/>
      </w:pPr>
      <w:r w:rsidRPr="0098212E">
        <w:t xml:space="preserve">Сохранить две позиции, как для </w:t>
      </w:r>
      <w:r>
        <w:t>№ </w:t>
      </w:r>
      <w:r w:rsidRPr="0098212E">
        <w:t xml:space="preserve">ООН 2814, 2900 и 3291, с указанием МР6 и нового специального положения 6XX, назначенных для первой позиции, и с указанием МР2 только для позиции, касающейся перевозки в охлажденном жидком азоте. </w:t>
      </w:r>
    </w:p>
    <w:p w14:paraId="4BD1058A" w14:textId="77777777" w:rsidR="0098212E" w:rsidRPr="0098212E" w:rsidRDefault="0098212E" w:rsidP="0098212E">
      <w:pPr>
        <w:pStyle w:val="SingleTxtG"/>
      </w:pPr>
      <w:r w:rsidRPr="0098212E">
        <w:t>33.</w:t>
      </w:r>
      <w:r w:rsidRPr="0098212E">
        <w:tab/>
        <w:t xml:space="preserve">Рабочая группа предлагает Совместному совещанию принять решение о наиболее подходящем варианте и рассмотреть вопрос о том, следует ли применить аналогичный подход в отношении </w:t>
      </w:r>
      <w:r>
        <w:t>№ </w:t>
      </w:r>
      <w:r w:rsidRPr="0098212E">
        <w:t>ООН 2814, 2900 и 3291.</w:t>
      </w:r>
    </w:p>
    <w:p w14:paraId="2CCE5394" w14:textId="77777777" w:rsidR="0098212E" w:rsidRPr="0098212E" w:rsidRDefault="0098212E" w:rsidP="0098212E">
      <w:pPr>
        <w:pStyle w:val="H23G"/>
      </w:pPr>
      <w:r w:rsidRPr="0098212E">
        <w:tab/>
        <w:t>6.</w:t>
      </w:r>
      <w:r w:rsidRPr="0098212E">
        <w:tab/>
      </w:r>
      <w:r>
        <w:t>№ </w:t>
      </w:r>
      <w:r w:rsidRPr="0098212E">
        <w:t xml:space="preserve">ООН 3529 </w:t>
      </w:r>
    </w:p>
    <w:p w14:paraId="02692372" w14:textId="77777777" w:rsidR="0098212E" w:rsidRPr="0098212E" w:rsidRDefault="0098212E" w:rsidP="0098212E">
      <w:pPr>
        <w:pStyle w:val="SingleTxtG"/>
      </w:pPr>
      <w:r w:rsidRPr="0098212E">
        <w:t>34.</w:t>
      </w:r>
      <w:r w:rsidRPr="0098212E">
        <w:tab/>
        <w:t xml:space="preserve">Отмечая, что наземная перевозка двигателей и машин, отнесенных к </w:t>
      </w:r>
      <w:r>
        <w:t>№ </w:t>
      </w:r>
      <w:r w:rsidRPr="0098212E">
        <w:t>ООН</w:t>
      </w:r>
      <w:r w:rsidR="0016294B">
        <w:t> </w:t>
      </w:r>
      <w:r w:rsidRPr="0098212E">
        <w:t>3529, уже подпадает под действие того или иного специального режима, Рабочая группа пришла к выводу, что в назначении специального положения 356 нет необходимости.</w:t>
      </w:r>
    </w:p>
    <w:p w14:paraId="16817541" w14:textId="77777777" w:rsidR="0098212E" w:rsidRPr="0098212E" w:rsidRDefault="0098212E" w:rsidP="0098212E">
      <w:pPr>
        <w:pStyle w:val="H1G"/>
      </w:pPr>
      <w:r w:rsidRPr="0098212E">
        <w:tab/>
        <w:t>J.</w:t>
      </w:r>
      <w:r w:rsidRPr="0098212E">
        <w:tab/>
        <w:t xml:space="preserve">Техническое наименование для </w:t>
      </w:r>
      <w:r>
        <w:t>№ </w:t>
      </w:r>
      <w:r w:rsidRPr="0098212E">
        <w:t xml:space="preserve">ООН 3077 и 3082 </w:t>
      </w:r>
      <w:r>
        <w:br/>
      </w:r>
      <w:r w:rsidRPr="0098212E">
        <w:t>в пункте 3.1.2.8.1.4</w:t>
      </w:r>
    </w:p>
    <w:p w14:paraId="7F7BF1DD" w14:textId="77777777" w:rsidR="0098212E" w:rsidRPr="0098212E" w:rsidRDefault="0098212E" w:rsidP="0098212E">
      <w:pPr>
        <w:pStyle w:val="SingleTxtG"/>
      </w:pPr>
      <w:r w:rsidRPr="0098212E">
        <w:t>35.</w:t>
      </w:r>
      <w:r w:rsidRPr="0098212E">
        <w:tab/>
        <w:t>Рабочая группа сочла, что формулировку пункта 3.1.2.8.1.4 можно было бы дополнительно улучшить, и предложила некоторые редакционные изменения, которые необходимо будет представить на рассмотрение Подкомитета по ПОГ. Тем</w:t>
      </w:r>
      <w:r w:rsidR="0016294B">
        <w:t> </w:t>
      </w:r>
      <w:r w:rsidRPr="0098212E">
        <w:t xml:space="preserve">временем предлагаемые поправки были заключены в квадратные скобки. </w:t>
      </w:r>
    </w:p>
    <w:p w14:paraId="50FAA56B" w14:textId="77777777" w:rsidR="0098212E" w:rsidRPr="0098212E" w:rsidRDefault="0098212E" w:rsidP="0098212E">
      <w:pPr>
        <w:pStyle w:val="H1G"/>
      </w:pPr>
      <w:r w:rsidRPr="0098212E">
        <w:lastRenderedPageBreak/>
        <w:tab/>
        <w:t>K.</w:t>
      </w:r>
      <w:r w:rsidRPr="0098212E">
        <w:tab/>
        <w:t>Глава 3.3</w:t>
      </w:r>
    </w:p>
    <w:p w14:paraId="3AA8D6B5" w14:textId="77777777" w:rsidR="0098212E" w:rsidRPr="0098212E" w:rsidRDefault="0098212E" w:rsidP="0098212E">
      <w:pPr>
        <w:pStyle w:val="H23G"/>
      </w:pPr>
      <w:r w:rsidRPr="0098212E">
        <w:tab/>
        <w:t>1.</w:t>
      </w:r>
      <w:r w:rsidRPr="0098212E">
        <w:tab/>
        <w:t>Специальные положения 360 и 388</w:t>
      </w:r>
    </w:p>
    <w:p w14:paraId="7A41B99D" w14:textId="77777777" w:rsidR="0098212E" w:rsidRPr="0098212E" w:rsidRDefault="0098212E" w:rsidP="0098212E">
      <w:pPr>
        <w:pStyle w:val="SingleTxtG"/>
      </w:pPr>
      <w:r w:rsidRPr="0098212E">
        <w:t>36.</w:t>
      </w:r>
      <w:r w:rsidRPr="0098212E">
        <w:tab/>
        <w:t xml:space="preserve">Рабочая группа решила заключить надлежащее отгрузочное наименование </w:t>
      </w:r>
      <w:r>
        <w:t>№ </w:t>
      </w:r>
      <w:r w:rsidRPr="0098212E">
        <w:t xml:space="preserve">ООН 3536 в специальных положениях 360 и 388 в квадратные скобки в ожидании решения Подкомитета по ПОГ по документу ST/SG/AC.10/C.3/2019/8. </w:t>
      </w:r>
    </w:p>
    <w:p w14:paraId="467AB066" w14:textId="77777777" w:rsidR="0098212E" w:rsidRPr="0098212E" w:rsidRDefault="0098212E" w:rsidP="0098212E">
      <w:pPr>
        <w:pStyle w:val="H23G"/>
      </w:pPr>
      <w:r w:rsidRPr="0098212E">
        <w:tab/>
        <w:t>2.</w:t>
      </w:r>
      <w:r w:rsidRPr="0098212E">
        <w:tab/>
        <w:t>Специальное положение 390 a)</w:t>
      </w:r>
    </w:p>
    <w:p w14:paraId="6BCE1657" w14:textId="77777777" w:rsidR="0098212E" w:rsidRPr="0098212E" w:rsidRDefault="0098212E" w:rsidP="0098212E">
      <w:pPr>
        <w:pStyle w:val="SingleTxtG"/>
      </w:pPr>
      <w:r w:rsidRPr="0098212E">
        <w:t>37.</w:t>
      </w:r>
      <w:r w:rsidRPr="0098212E">
        <w:tab/>
        <w:t>Поскольку МПОГ/ДОПОГ/ВОПОГ не требуют нанесения на упаковки маркировки с указанием надлежащего отгрузочного наименования, слова «Батареи литий-металлические, упакованные с оборудованием» и «Батареи литий-ионные, упакованные с оборудованием» были исключены.</w:t>
      </w:r>
    </w:p>
    <w:p w14:paraId="5C3BE6EA" w14:textId="77777777" w:rsidR="0098212E" w:rsidRPr="0098212E" w:rsidRDefault="0098212E" w:rsidP="0098212E">
      <w:pPr>
        <w:pStyle w:val="H23G"/>
      </w:pPr>
      <w:r w:rsidRPr="0098212E">
        <w:tab/>
        <w:t>3.</w:t>
      </w:r>
      <w:r w:rsidRPr="0098212E">
        <w:tab/>
        <w:t>Специальные положения 393 и 394</w:t>
      </w:r>
    </w:p>
    <w:p w14:paraId="01167AA6" w14:textId="77777777" w:rsidR="0098212E" w:rsidRPr="0098212E" w:rsidRDefault="0098212E" w:rsidP="0098212E">
      <w:pPr>
        <w:pStyle w:val="SingleTxtG"/>
      </w:pPr>
      <w:r w:rsidRPr="0098212E">
        <w:t>38.</w:t>
      </w:r>
      <w:r w:rsidRPr="0098212E">
        <w:tab/>
        <w:t>Рабочая группа согласилась с тем, что вопрос о принятии этих специальных положений нуждается в дальнейшем рассмотрении.</w:t>
      </w:r>
    </w:p>
    <w:p w14:paraId="566BEB66" w14:textId="77777777" w:rsidR="0098212E" w:rsidRPr="0098212E" w:rsidRDefault="0098212E" w:rsidP="0098212E">
      <w:pPr>
        <w:pStyle w:val="SingleTxtG"/>
      </w:pPr>
      <w:r w:rsidRPr="0098212E">
        <w:t>39.</w:t>
      </w:r>
      <w:r w:rsidRPr="0098212E">
        <w:tab/>
        <w:t>Было отмечено, что Подкомитетом по ПОГ были разработаны и приняты новые положения об испытании нитроцеллюлозных смесей на устойчивость для включения в седьмое пересмотренное издание Руководства по испытаниям и критериям. Рабочая группа сочла, что в качестве сопутствующей поправки следует исключить нынешний пункт 2.3.2.9, поскольку предусмотренное в нем испытание было заменено испытанием по методу Бергмана-Юнка и тестом с использованием метил фиолетовой индикаторной бумаги, включенными в настоящее время в Руководство по испытаниям и критериям. В этой связи было также указано на то, что необходимо пересмотреть весь текст раздела 2.3.2 (например, исключить ссылки на пункт 2.3.2.9; упростить или даже исключить текст существующих пунктов 2.3.2.3 и 2.3.2.4; и дополнительно разъяснить, что до проведения испытаний на устойчивость, указанных в специальных положениях 393 и 394, всегда должно проводиться испытание на температуру воспламенения). Было также отмечено, что было бы целесообразно проверить применимость раздела 2.3.2 к другим позициям в дополнение к тем, которым назначены специальные положения 393 и 394.</w:t>
      </w:r>
    </w:p>
    <w:p w14:paraId="053291A2" w14:textId="77777777" w:rsidR="0098212E" w:rsidRPr="0098212E" w:rsidRDefault="0098212E" w:rsidP="0098212E">
      <w:pPr>
        <w:pStyle w:val="SingleTxtG"/>
      </w:pPr>
      <w:r w:rsidRPr="0098212E">
        <w:t>40.</w:t>
      </w:r>
      <w:r w:rsidRPr="0098212E">
        <w:tab/>
        <w:t>Представитель Германия изъявил готовность представить соответствующее предложение для осенней сессии Совместного совещания. Тем временем предлагаемый текст специальных положений 393 и 394 был заключен в квадратные скобки.</w:t>
      </w:r>
    </w:p>
    <w:p w14:paraId="0009B02C" w14:textId="77777777" w:rsidR="0098212E" w:rsidRPr="0098212E" w:rsidRDefault="0098212E" w:rsidP="0098212E">
      <w:pPr>
        <w:pStyle w:val="H1G"/>
      </w:pPr>
      <w:r w:rsidRPr="0098212E">
        <w:tab/>
        <w:t>L.</w:t>
      </w:r>
      <w:r w:rsidRPr="0098212E">
        <w:tab/>
        <w:t>Глава 4.1</w:t>
      </w:r>
    </w:p>
    <w:p w14:paraId="0EB843EE" w14:textId="77777777" w:rsidR="0098212E" w:rsidRPr="0098212E" w:rsidRDefault="0098212E" w:rsidP="0098212E">
      <w:pPr>
        <w:pStyle w:val="H23G"/>
      </w:pPr>
      <w:r w:rsidRPr="0098212E">
        <w:tab/>
        <w:t>1.</w:t>
      </w:r>
      <w:r w:rsidRPr="0098212E">
        <w:tab/>
        <w:t>Примечание под заголовком главы 4.1</w:t>
      </w:r>
    </w:p>
    <w:p w14:paraId="4E12C0ED" w14:textId="77777777" w:rsidR="0098212E" w:rsidRPr="0098212E" w:rsidRDefault="0098212E" w:rsidP="0098212E">
      <w:pPr>
        <w:pStyle w:val="SingleTxtG"/>
      </w:pPr>
      <w:r w:rsidRPr="0098212E">
        <w:t>41.</w:t>
      </w:r>
      <w:r w:rsidRPr="0098212E">
        <w:tab/>
        <w:t>Рабочая группа отметила несоответствие в существующем тексте данного примечания на французском языке. Упомянутые в нем пункты являются неверными. Как представляется, при переписывании текста, принятого Совместным совещанием на его сессии в марте 2016 года (ECE/TRANS/WP.15/142/Add.2, приложение IV), была допущена ошибка и текст на французском языке следует привести в соответствие с текстом на английском языке. Секретариату было поручено устранить данную ошибку в исправлении.</w:t>
      </w:r>
    </w:p>
    <w:p w14:paraId="408025D3" w14:textId="77777777" w:rsidR="0098212E" w:rsidRPr="0098212E" w:rsidRDefault="0098212E" w:rsidP="0098212E">
      <w:pPr>
        <w:pStyle w:val="H23G"/>
      </w:pPr>
      <w:r w:rsidRPr="0098212E">
        <w:tab/>
        <w:t>2.</w:t>
      </w:r>
      <w:r w:rsidRPr="0098212E">
        <w:tab/>
        <w:t>Инструкция по упаковке Р200 (11)</w:t>
      </w:r>
    </w:p>
    <w:p w14:paraId="0F37DC3B" w14:textId="77777777" w:rsidR="0098212E" w:rsidRPr="0098212E" w:rsidRDefault="0098212E" w:rsidP="0098212E">
      <w:pPr>
        <w:pStyle w:val="SingleTxtG"/>
      </w:pPr>
      <w:r w:rsidRPr="0098212E">
        <w:t>42.</w:t>
      </w:r>
      <w:r w:rsidRPr="0098212E">
        <w:tab/>
        <w:t>Рабочая группа отметила, что поправки к пункту (4) инструкции по упаковке Р200 Типовых правил применяются к пункту (11) инструкции по упаковке Р200 МПОГ/ДОПОГ и что уже сделана ссылка на издание 2016 года стандарта EN</w:t>
      </w:r>
      <w:r>
        <w:t> </w:t>
      </w:r>
      <w:r w:rsidRPr="0098212E">
        <w:t>ISO</w:t>
      </w:r>
      <w:r>
        <w:t> </w:t>
      </w:r>
      <w:r w:rsidRPr="0098212E">
        <w:t>24431. Рабочая группа предложила заменить EN</w:t>
      </w:r>
      <w:r>
        <w:t> </w:t>
      </w:r>
      <w:r w:rsidRPr="0098212E">
        <w:t>ISO</w:t>
      </w:r>
      <w:r>
        <w:t> </w:t>
      </w:r>
      <w:r w:rsidRPr="0098212E">
        <w:t>24431:2016 на ISO</w:t>
      </w:r>
      <w:r>
        <w:t> </w:t>
      </w:r>
      <w:r w:rsidRPr="0098212E">
        <w:t>24431:2016 в пункте (11) инструкции по упаковке Р200, а также добавить пояснительное примечание относительно возможности использования варианта EN вместо варианта ISO этого стандарта.</w:t>
      </w:r>
    </w:p>
    <w:p w14:paraId="6D088F55" w14:textId="77777777" w:rsidR="0098212E" w:rsidRPr="0098212E" w:rsidRDefault="0098212E" w:rsidP="0098212E">
      <w:pPr>
        <w:pStyle w:val="H23G"/>
      </w:pPr>
      <w:r w:rsidRPr="0098212E">
        <w:lastRenderedPageBreak/>
        <w:tab/>
        <w:t>3.</w:t>
      </w:r>
      <w:r w:rsidRPr="0098212E">
        <w:tab/>
        <w:t xml:space="preserve">Инструкция по упаковке P622 </w:t>
      </w:r>
    </w:p>
    <w:p w14:paraId="7C6FB027" w14:textId="77777777" w:rsidR="0098212E" w:rsidRPr="0098212E" w:rsidRDefault="0098212E" w:rsidP="0098212E">
      <w:pPr>
        <w:pStyle w:val="SingleTxtG"/>
      </w:pPr>
      <w:r w:rsidRPr="0098212E">
        <w:t>43.</w:t>
      </w:r>
      <w:r w:rsidRPr="0098212E">
        <w:tab/>
        <w:t>Рабочая группа предложила редакционное исправление к дополнительному требованию 1 и решила, что его следует довести до сведения Подкомитета по ПОГ.</w:t>
      </w:r>
    </w:p>
    <w:p w14:paraId="63C5C72B" w14:textId="77777777" w:rsidR="0098212E" w:rsidRPr="0098212E" w:rsidRDefault="0098212E" w:rsidP="0098212E">
      <w:pPr>
        <w:pStyle w:val="H23G"/>
      </w:pPr>
      <w:r w:rsidRPr="0098212E">
        <w:tab/>
        <w:t>4.</w:t>
      </w:r>
      <w:r w:rsidRPr="0098212E">
        <w:tab/>
        <w:t xml:space="preserve">Инструкция по упаковке P801 </w:t>
      </w:r>
    </w:p>
    <w:p w14:paraId="3576B854" w14:textId="77777777" w:rsidR="0098212E" w:rsidRPr="0098212E" w:rsidRDefault="0098212E" w:rsidP="0098212E">
      <w:pPr>
        <w:pStyle w:val="SingleTxtG"/>
      </w:pPr>
      <w:r w:rsidRPr="0098212E">
        <w:t>44.</w:t>
      </w:r>
      <w:r w:rsidRPr="0098212E">
        <w:tab/>
        <w:t xml:space="preserve">Отмечая, что инструкция по упаковке P801a применяется к отработанным батареям под </w:t>
      </w:r>
      <w:r>
        <w:t>№ </w:t>
      </w:r>
      <w:r w:rsidRPr="0098212E">
        <w:t xml:space="preserve">ООН 2800, Рабочая группа сочла, что было бы предпочтительным объединить положения по упаковке для всех отработанных батарей в единую инструкцию по упаковке. Исходя из этого, она решила исключить нынешнюю инструкцию по упаковке P801a в подразделе 4.1.4.1 и приняла предлагаемую инструкцию по упаковке P801 с некоторыми дополнительными поправками (например: добавление ссылки на отработанные батареи под </w:t>
      </w:r>
      <w:r>
        <w:t>№ </w:t>
      </w:r>
      <w:r w:rsidRPr="0098212E">
        <w:t xml:space="preserve">ООН 2800 в первую строку под заголовком и нового подпункта g) в пункт (2) с тем же текстом, что и в пункте (5) существующей инструкции P801a). Рабочая группа также приняла сопутствующие поправки к колонке 8 таблицы А для </w:t>
      </w:r>
      <w:r>
        <w:t>№ </w:t>
      </w:r>
      <w:r w:rsidRPr="0098212E">
        <w:t>ООН 2794, 2795, 2800 и 3028 и к специальному положению по упаковке PP16 в инструкции P003.</w:t>
      </w:r>
    </w:p>
    <w:p w14:paraId="268A4416" w14:textId="77777777" w:rsidR="0098212E" w:rsidRPr="0098212E" w:rsidRDefault="0098212E" w:rsidP="0098212E">
      <w:pPr>
        <w:pStyle w:val="SingleTxtG"/>
      </w:pPr>
      <w:r w:rsidRPr="0098212E">
        <w:t>45.</w:t>
      </w:r>
      <w:r w:rsidRPr="0098212E">
        <w:tab/>
        <w:t>Кроме того, Рабочая группа приняла некоторые редакционные исправления к подпунктам (2) a) и c), которые были заключены в квадратные скобки, при том понимании, что они будут доведены до сведения Подкомитета по ПОГ.</w:t>
      </w:r>
    </w:p>
    <w:p w14:paraId="2162C41B" w14:textId="77777777" w:rsidR="0098212E" w:rsidRPr="0098212E" w:rsidRDefault="0098212E" w:rsidP="0098212E">
      <w:pPr>
        <w:pStyle w:val="H23G"/>
      </w:pPr>
      <w:r w:rsidRPr="0098212E">
        <w:tab/>
        <w:t>5.</w:t>
      </w:r>
      <w:r w:rsidRPr="0098212E">
        <w:tab/>
        <w:t>Инструкции по упаковке Р903, пункт (5)</w:t>
      </w:r>
    </w:p>
    <w:p w14:paraId="6509F78E" w14:textId="77777777" w:rsidR="0098212E" w:rsidRPr="0098212E" w:rsidRDefault="0098212E" w:rsidP="0098212E">
      <w:pPr>
        <w:pStyle w:val="SingleTxtG"/>
      </w:pPr>
      <w:r w:rsidRPr="0098212E">
        <w:t>46.</w:t>
      </w:r>
      <w:r w:rsidRPr="0098212E">
        <w:tab/>
        <w:t xml:space="preserve">Рабочая группа отметила, что требование к активированным устройствам, указанным в пункте (5), о том, чтобы их функционирование не создавало помех в работе систем воздушных судов, необходимо только в том случае, если после наземной перевозки осуществляется воздушная перевозка. На этом основании она решила поместить данное предложение в примечание. Отмечая, что это же предложение содержится также в пункте (4) Типовых правил ООН, Рабочая группа решила включить такое же примечание в указанный пункт в МПОГ/ДОПОГ. </w:t>
      </w:r>
    </w:p>
    <w:p w14:paraId="4A6AE1D2" w14:textId="77777777" w:rsidR="0098212E" w:rsidRPr="0098212E" w:rsidRDefault="0098212E" w:rsidP="0098212E">
      <w:pPr>
        <w:pStyle w:val="H23G"/>
      </w:pPr>
      <w:r w:rsidRPr="0098212E">
        <w:tab/>
        <w:t>6.</w:t>
      </w:r>
      <w:r w:rsidRPr="0098212E">
        <w:tab/>
        <w:t>Инструкция по упаковке LP622, касающаяся использования крупногабаритной тары</w:t>
      </w:r>
    </w:p>
    <w:p w14:paraId="016609F6" w14:textId="77777777" w:rsidR="0098212E" w:rsidRPr="0098212E" w:rsidRDefault="0098212E" w:rsidP="0098212E">
      <w:pPr>
        <w:pStyle w:val="SingleTxtG"/>
      </w:pPr>
      <w:r w:rsidRPr="0098212E">
        <w:t>47.</w:t>
      </w:r>
      <w:r w:rsidRPr="0098212E">
        <w:tab/>
        <w:t xml:space="preserve">Некоторые делегации указали, что отходы под </w:t>
      </w:r>
      <w:r>
        <w:t>№ </w:t>
      </w:r>
      <w:r w:rsidRPr="0098212E">
        <w:t xml:space="preserve">ООН 3549 часто сжигаются, и выразили обеспокоенность по поводу наличия установок для сжигания крупногабаритной тары. Представитель Соединенного Королевства подтвердил, что инструкция LP622 была включена в Типовые положения для решения проблемы перевозки отходов на утилизацию в целом, а не для сжигания. </w:t>
      </w:r>
    </w:p>
    <w:p w14:paraId="4298DF95" w14:textId="77777777" w:rsidR="0098212E" w:rsidRPr="0098212E" w:rsidRDefault="0098212E" w:rsidP="0098212E">
      <w:pPr>
        <w:pStyle w:val="SingleTxtG"/>
      </w:pPr>
      <w:r w:rsidRPr="0098212E">
        <w:t>48.</w:t>
      </w:r>
      <w:r w:rsidRPr="0098212E">
        <w:tab/>
        <w:t xml:space="preserve">Было также отмечено, что в некоторых случаях национальное транспортное законодательство прямо запрещает извлекать внутреннюю тару из промежуточной и наружной тары при перевозке для сжигания. Ссылаясь на определение перевозки, Председатель выразил мнение, что этот запрет трудно понять в рамках правил перевозки, поскольку сжигание всегда происходит после перевозки и поэтому не может рассматриваться в качестве части транспортной операции. </w:t>
      </w:r>
    </w:p>
    <w:p w14:paraId="7DC64053" w14:textId="77777777" w:rsidR="0098212E" w:rsidRPr="0098212E" w:rsidRDefault="0098212E" w:rsidP="0098212E">
      <w:pPr>
        <w:pStyle w:val="SingleTxtG"/>
      </w:pPr>
      <w:r w:rsidRPr="0098212E">
        <w:t>49.</w:t>
      </w:r>
      <w:r w:rsidRPr="0098212E">
        <w:tab/>
        <w:t xml:space="preserve">Был также поднят вопрос о том, можно ли повторно использовать наружную тару крупногабаритной тары, используемой для перевозки этих отходов, а также о необходимости включения требований в отношении обеззараживания перед повторным использованием. </w:t>
      </w:r>
    </w:p>
    <w:p w14:paraId="399EBCB8" w14:textId="77777777" w:rsidR="0098212E" w:rsidRPr="0098212E" w:rsidRDefault="0098212E" w:rsidP="0098212E">
      <w:pPr>
        <w:pStyle w:val="SingleTxtG"/>
      </w:pPr>
      <w:r w:rsidRPr="0098212E">
        <w:t>50.</w:t>
      </w:r>
      <w:r w:rsidRPr="0098212E">
        <w:tab/>
        <w:t>Представитель Германии заявила, что она, возможно, рассмотрит вопрос о представлении документа, содержащего информацию о существующей на национальном уровне практике в области обращения с такими отходами (например, обязательное сжигание, положения об обеззараживании наружной тары и т.д.).</w:t>
      </w:r>
    </w:p>
    <w:p w14:paraId="19BAAF65" w14:textId="77777777" w:rsidR="0098212E" w:rsidRPr="0098212E" w:rsidRDefault="0098212E" w:rsidP="0098212E">
      <w:pPr>
        <w:pStyle w:val="SingleTxtG"/>
      </w:pPr>
      <w:r w:rsidRPr="0098212E">
        <w:t>51.</w:t>
      </w:r>
      <w:r w:rsidRPr="0098212E">
        <w:tab/>
        <w:t xml:space="preserve">Тем временем Рабочая группа решила принять инструкцию LP622 в предложенном виде. </w:t>
      </w:r>
    </w:p>
    <w:p w14:paraId="29E77349" w14:textId="77777777" w:rsidR="0098212E" w:rsidRPr="0098212E" w:rsidRDefault="0098212E" w:rsidP="0098212E">
      <w:pPr>
        <w:pStyle w:val="H23G"/>
      </w:pPr>
      <w:r w:rsidRPr="0098212E">
        <w:lastRenderedPageBreak/>
        <w:tab/>
        <w:t>7.</w:t>
      </w:r>
      <w:r w:rsidRPr="0098212E">
        <w:tab/>
        <w:t>Ссылка на стандарты ИСО в подразделе 4.1.6.15</w:t>
      </w:r>
    </w:p>
    <w:p w14:paraId="2F3E76D6" w14:textId="77777777" w:rsidR="0098212E" w:rsidRPr="0098212E" w:rsidRDefault="0098212E" w:rsidP="0098212E">
      <w:pPr>
        <w:pStyle w:val="SingleTxtG"/>
      </w:pPr>
      <w:r w:rsidRPr="0098212E">
        <w:t>52.</w:t>
      </w:r>
      <w:r w:rsidRPr="0098212E">
        <w:tab/>
        <w:t>Рабочая группа сочла, что предлагаемая поправка, предусматривающая замену ссылки на стандарт EN</w:t>
      </w:r>
      <w:r>
        <w:t> </w:t>
      </w:r>
      <w:r w:rsidRPr="0098212E">
        <w:t>17879:2017 ссылкой на приложение А к стандарту ISO</w:t>
      </w:r>
      <w:r>
        <w:t> </w:t>
      </w:r>
      <w:r w:rsidRPr="0098212E">
        <w:t>17879:2017, должна быть подтверждена Рабочей группой по стандартам Совместного совещания на его осенней сессии 2019 года. Рабочей группе по стандартам следует также проверить, целесообразно ли будет ссылаться на различные варианты стандарта ISO 10297 вместо варианта EN этого стандарта.</w:t>
      </w:r>
    </w:p>
    <w:p w14:paraId="0A61B5E1" w14:textId="77777777" w:rsidR="0098212E" w:rsidRPr="0098212E" w:rsidRDefault="0098212E" w:rsidP="0098212E">
      <w:pPr>
        <w:pStyle w:val="SingleTxtG"/>
      </w:pPr>
      <w:r w:rsidRPr="0098212E">
        <w:t>53.</w:t>
      </w:r>
      <w:r w:rsidRPr="0098212E">
        <w:tab/>
        <w:t>Данные поправки были заключены в квадратные скобки в ожидании подтверждения Рабочей группой по стандартам Совместного совещания.</w:t>
      </w:r>
    </w:p>
    <w:p w14:paraId="618B2CD0" w14:textId="77777777" w:rsidR="0098212E" w:rsidRPr="0098212E" w:rsidRDefault="0098212E" w:rsidP="0098212E">
      <w:pPr>
        <w:pStyle w:val="H23G"/>
      </w:pPr>
      <w:r w:rsidRPr="0098212E">
        <w:tab/>
        <w:t>8.</w:t>
      </w:r>
      <w:r w:rsidRPr="0098212E">
        <w:tab/>
        <w:t>Ссылка на «перевозку» радиоактивного материала в пункте 4.1.9.2.4 e)</w:t>
      </w:r>
    </w:p>
    <w:p w14:paraId="33430A9E" w14:textId="77777777" w:rsidR="0098212E" w:rsidRPr="0098212E" w:rsidRDefault="0098212E" w:rsidP="0098212E">
      <w:pPr>
        <w:pStyle w:val="SingleTxtG"/>
      </w:pPr>
      <w:r w:rsidRPr="0098212E">
        <w:t>54.</w:t>
      </w:r>
      <w:r w:rsidRPr="0098212E">
        <w:tab/>
        <w:t>Один из сотрудников секретариата отметил, что английский термин «</w:t>
      </w:r>
      <w:proofErr w:type="spellStart"/>
      <w:r w:rsidRPr="0098212E">
        <w:t>shipment</w:t>
      </w:r>
      <w:proofErr w:type="spellEnd"/>
      <w:r w:rsidRPr="0098212E">
        <w:t>» (перевозка) (на французском языке «</w:t>
      </w:r>
      <w:proofErr w:type="spellStart"/>
      <w:r w:rsidRPr="0098212E">
        <w:t>expédition</w:t>
      </w:r>
      <w:proofErr w:type="spellEnd"/>
      <w:r w:rsidRPr="0098212E">
        <w:t>») имеет конкретное определение в Правилах МАГАТЭ (и в Типовых правилах) для тех случаев, когда он используется в контексте перевозки радиоактивного материала, и предложил включить такое же определение в МПОГ/ДОПОГ/ВОПОГ. Некоторые делегации высказали мнение, что определение, содержащееся в Правилах МАГАТЭ, уже охватывается общим термином «груз», используемым в МПОГ/ДОПОГ/ВОПОГ. Другие делегации выразили обеспокоенность в отношении термина, который следует использовать в текстах на других языках (например, немецком), где термины «</w:t>
      </w:r>
      <w:proofErr w:type="spellStart"/>
      <w:r w:rsidRPr="0098212E">
        <w:t>shipment</w:t>
      </w:r>
      <w:proofErr w:type="spellEnd"/>
      <w:r w:rsidRPr="0098212E">
        <w:t>» (перевозка) и «</w:t>
      </w:r>
      <w:proofErr w:type="spellStart"/>
      <w:r w:rsidRPr="0098212E">
        <w:t>carriage</w:t>
      </w:r>
      <w:proofErr w:type="spellEnd"/>
      <w:r w:rsidRPr="0098212E">
        <w:t>» (перевозка) в настоящее время используются как взаимозаменяемые. Было также отмечено, что этот вопрос уже рассматривался на весенней сессии 2013 года Совместного совещания</w:t>
      </w:r>
      <w:r w:rsidRPr="0098212E">
        <w:rPr>
          <w:vertAlign w:val="superscript"/>
        </w:rPr>
        <w:footnoteReference w:id="3"/>
      </w:r>
      <w:r w:rsidRPr="0098212E">
        <w:t xml:space="preserve">. </w:t>
      </w:r>
    </w:p>
    <w:p w14:paraId="2DFB2E2F" w14:textId="77777777" w:rsidR="0098212E" w:rsidRPr="0098212E" w:rsidRDefault="0098212E" w:rsidP="0098212E">
      <w:pPr>
        <w:pStyle w:val="SingleTxtG"/>
      </w:pPr>
      <w:r w:rsidRPr="0098212E">
        <w:t>55.</w:t>
      </w:r>
      <w:r w:rsidRPr="0098212E">
        <w:tab/>
        <w:t>Рабочая группа предложила Совместному совещанию рассмотреть вопрос о введении определения термина «</w:t>
      </w:r>
      <w:proofErr w:type="spellStart"/>
      <w:r w:rsidRPr="0098212E">
        <w:t>shipment</w:t>
      </w:r>
      <w:proofErr w:type="spellEnd"/>
      <w:r w:rsidRPr="0098212E">
        <w:t>» (перевозка) для перевозки радиоактивного материала.</w:t>
      </w:r>
    </w:p>
    <w:p w14:paraId="1827924D" w14:textId="77777777" w:rsidR="0098212E" w:rsidRPr="0098212E" w:rsidRDefault="0098212E" w:rsidP="00DF2CB9">
      <w:pPr>
        <w:pStyle w:val="H1G"/>
      </w:pPr>
      <w:r w:rsidRPr="0098212E">
        <w:tab/>
        <w:t>M.</w:t>
      </w:r>
      <w:r w:rsidRPr="0098212E">
        <w:tab/>
        <w:t>Главы 5.1, 5.3, 5.4 и 5.5</w:t>
      </w:r>
    </w:p>
    <w:p w14:paraId="4124438D" w14:textId="77777777" w:rsidR="0098212E" w:rsidRPr="0098212E" w:rsidRDefault="0098212E" w:rsidP="00DF2CB9">
      <w:pPr>
        <w:pStyle w:val="H23G"/>
      </w:pPr>
      <w:r w:rsidRPr="0098212E">
        <w:tab/>
        <w:t>1.</w:t>
      </w:r>
      <w:r w:rsidRPr="0098212E">
        <w:tab/>
        <w:t>Упоминание «перевозочного средства» в пункте 5.1.5.3.2</w:t>
      </w:r>
    </w:p>
    <w:p w14:paraId="27405F2D" w14:textId="77777777" w:rsidR="0098212E" w:rsidRPr="0098212E" w:rsidRDefault="0098212E" w:rsidP="0098212E">
      <w:pPr>
        <w:pStyle w:val="SingleTxtG"/>
      </w:pPr>
      <w:r w:rsidRPr="0098212E">
        <w:t>56.</w:t>
      </w:r>
      <w:r w:rsidRPr="0098212E">
        <w:tab/>
        <w:t xml:space="preserve">Отмечая, что термин «перевозочное средство» применим ко всем видам транспорта, Рабочая группа сочла, что его следует сохранить и что, следовательно, предлагаемый текст будет применим ко всем видам наземного транспорта. Таким образом, предлагаемая поправка, касающаяся перевозки по внутренним водным путям, была исключена. </w:t>
      </w:r>
    </w:p>
    <w:p w14:paraId="6B900ADA" w14:textId="77777777" w:rsidR="0098212E" w:rsidRPr="0098212E" w:rsidRDefault="0098212E" w:rsidP="00DF2CB9">
      <w:pPr>
        <w:pStyle w:val="H23G"/>
      </w:pPr>
      <w:r w:rsidRPr="0098212E">
        <w:tab/>
        <w:t>2.</w:t>
      </w:r>
      <w:r w:rsidRPr="0098212E">
        <w:tab/>
        <w:t xml:space="preserve">Общее количество опасных грузов (пункт 5.4.1.1.1 f)) </w:t>
      </w:r>
    </w:p>
    <w:p w14:paraId="0FFD2E4E" w14:textId="77777777" w:rsidR="0098212E" w:rsidRPr="0098212E" w:rsidRDefault="0098212E" w:rsidP="0098212E">
      <w:pPr>
        <w:pStyle w:val="SingleTxtG"/>
      </w:pPr>
      <w:r w:rsidRPr="0098212E">
        <w:t>57.</w:t>
      </w:r>
      <w:r w:rsidRPr="0098212E">
        <w:tab/>
        <w:t>Рабочая группа предложила редакционную поправку к тексту на французском языке и решила, что ее следует довести до сведения Подкомитета по ПОГ.</w:t>
      </w:r>
    </w:p>
    <w:p w14:paraId="7EE62965" w14:textId="77777777" w:rsidR="0098212E" w:rsidRPr="0098212E" w:rsidRDefault="0098212E" w:rsidP="00DF2CB9">
      <w:pPr>
        <w:pStyle w:val="H23G"/>
      </w:pPr>
      <w:r w:rsidRPr="0098212E">
        <w:tab/>
        <w:t>3.</w:t>
      </w:r>
      <w:r w:rsidRPr="0098212E">
        <w:tab/>
        <w:t>Дополнительные положения для класса 2 (пункт 5.4.1.2.2 d))</w:t>
      </w:r>
    </w:p>
    <w:p w14:paraId="5ECEF755" w14:textId="77777777" w:rsidR="0098212E" w:rsidRPr="0098212E" w:rsidRDefault="0098212E" w:rsidP="0098212E">
      <w:pPr>
        <w:pStyle w:val="SingleTxtG"/>
      </w:pPr>
      <w:r w:rsidRPr="0098212E">
        <w:t>58.</w:t>
      </w:r>
      <w:r w:rsidRPr="0098212E">
        <w:tab/>
        <w:t>Рабочая группа сочла, что предлагаемая поправка подходит только для ДОПОГ, и предложила аналогичные поправки для МПОГ и ВОПОГ. Было решено, что поправка, касающаяся ВОПОГ, должна быть представлена на рассмотрение Комитета по вопросам безопасности ВОПОГ.</w:t>
      </w:r>
    </w:p>
    <w:p w14:paraId="44F36A98" w14:textId="77777777" w:rsidR="0098212E" w:rsidRPr="0098212E" w:rsidRDefault="0098212E" w:rsidP="00DF2CB9">
      <w:pPr>
        <w:pStyle w:val="H23G"/>
      </w:pPr>
      <w:r w:rsidRPr="0098212E">
        <w:tab/>
        <w:t>4.</w:t>
      </w:r>
      <w:r w:rsidRPr="0098212E">
        <w:tab/>
        <w:t>Опасные грузы в оборудовании, используемом или предназначенном для</w:t>
      </w:r>
      <w:r w:rsidR="00DF2CB9">
        <w:t> </w:t>
      </w:r>
      <w:r w:rsidRPr="0098212E">
        <w:t>использования во время перевозки (раздел 5.5.4)</w:t>
      </w:r>
    </w:p>
    <w:p w14:paraId="494D2694" w14:textId="77777777" w:rsidR="0098212E" w:rsidRPr="0098212E" w:rsidRDefault="0098212E" w:rsidP="0098212E">
      <w:pPr>
        <w:pStyle w:val="SingleTxtG"/>
      </w:pPr>
      <w:r w:rsidRPr="0098212E">
        <w:t>59.</w:t>
      </w:r>
      <w:r w:rsidRPr="0098212E">
        <w:tab/>
        <w:t>Рабочая группа решила, что заголовок нового раздела 5.5.4 следует привести в полное соответствие с описанием опасных грузов, содержащихся в оборудовании, в</w:t>
      </w:r>
      <w:r w:rsidR="009B2419">
        <w:t> </w:t>
      </w:r>
      <w:r w:rsidRPr="0098212E">
        <w:t xml:space="preserve">пункте 1.1.3.7 b) с внесенными в него поправками. </w:t>
      </w:r>
    </w:p>
    <w:p w14:paraId="2FCDE20B" w14:textId="77777777" w:rsidR="0098212E" w:rsidRPr="0098212E" w:rsidRDefault="0098212E" w:rsidP="00DF2CB9">
      <w:pPr>
        <w:pStyle w:val="H23G"/>
      </w:pPr>
      <w:r w:rsidRPr="0098212E">
        <w:lastRenderedPageBreak/>
        <w:tab/>
        <w:t>5.</w:t>
      </w:r>
      <w:r w:rsidRPr="0098212E">
        <w:tab/>
        <w:t>Положения, касающиеся маркировки в виде табличек оранжевого цвета в</w:t>
      </w:r>
      <w:r w:rsidR="00DF2CB9">
        <w:t> </w:t>
      </w:r>
      <w:r w:rsidRPr="0098212E">
        <w:t>случае радиоактивного материала, перевозимого в условиях исключительного использования (пункт 5.3.2.1.4 ДОПОГ)</w:t>
      </w:r>
    </w:p>
    <w:p w14:paraId="08659784" w14:textId="77777777" w:rsidR="0098212E" w:rsidRPr="0098212E" w:rsidRDefault="0098212E" w:rsidP="0098212E">
      <w:pPr>
        <w:pStyle w:val="SingleTxtG"/>
      </w:pPr>
      <w:r w:rsidRPr="0098212E">
        <w:t>60.</w:t>
      </w:r>
      <w:r w:rsidRPr="0098212E">
        <w:tab/>
        <w:t>Рабочая группа поставила вопрос о том, соответствует ли текст пункта 5.3.2.1.4 ДОПОГ пункту 7.2.3.1.1 Типовых правил, и пожелала получить мнение Совместного совещания по этому вопросу. Поправка, направленная на приведение пункта 5.3.2.1.4 ДОПОГ в соответствие с пунктом 7.2.3.1.1 Типовых правил, была заключена в квадратные скобки.</w:t>
      </w:r>
    </w:p>
    <w:p w14:paraId="3C725C6C" w14:textId="77777777" w:rsidR="0098212E" w:rsidRPr="0098212E" w:rsidRDefault="0098212E" w:rsidP="00DF2CB9">
      <w:pPr>
        <w:pStyle w:val="H1G"/>
      </w:pPr>
      <w:r w:rsidRPr="0098212E">
        <w:tab/>
        <w:t>N.</w:t>
      </w:r>
      <w:r w:rsidRPr="0098212E">
        <w:tab/>
        <w:t>Главы 6.1, 6.2, 6.5 и 6.6</w:t>
      </w:r>
    </w:p>
    <w:p w14:paraId="0A50814A" w14:textId="77777777" w:rsidR="0098212E" w:rsidRPr="0098212E" w:rsidRDefault="0098212E" w:rsidP="00DF2CB9">
      <w:pPr>
        <w:pStyle w:val="H23G"/>
      </w:pPr>
      <w:r w:rsidRPr="0098212E">
        <w:tab/>
        <w:t>1.</w:t>
      </w:r>
      <w:r w:rsidRPr="0098212E">
        <w:tab/>
        <w:t>Ссылка на «маркировочный знак типа конструкции "UN"» в пункте 6.1.3.1 е) и</w:t>
      </w:r>
      <w:r w:rsidR="00DF2CB9">
        <w:t> </w:t>
      </w:r>
      <w:r w:rsidRPr="0098212E">
        <w:t>использование слова «</w:t>
      </w:r>
      <w:proofErr w:type="spellStart"/>
      <w:r w:rsidRPr="0098212E">
        <w:t>must</w:t>
      </w:r>
      <w:proofErr w:type="spellEnd"/>
      <w:r w:rsidRPr="0098212E">
        <w:t>» (должны/должен) в пунктах 6.1.3.14, 6.5.2.1.3 и</w:t>
      </w:r>
      <w:r w:rsidR="00DF2CB9">
        <w:t> </w:t>
      </w:r>
      <w:r w:rsidRPr="0098212E">
        <w:t>6.6.3.3</w:t>
      </w:r>
    </w:p>
    <w:p w14:paraId="4D7CB67E" w14:textId="77777777" w:rsidR="0098212E" w:rsidRPr="0098212E" w:rsidRDefault="0098212E" w:rsidP="0098212E">
      <w:pPr>
        <w:pStyle w:val="SingleTxtG"/>
      </w:pPr>
      <w:r w:rsidRPr="0098212E">
        <w:t>61.</w:t>
      </w:r>
      <w:r w:rsidRPr="0098212E">
        <w:tab/>
        <w:t>Рабочая группа сочла, что в пункте 6.1.3.1</w:t>
      </w:r>
      <w:r w:rsidR="009B2419">
        <w:t> </w:t>
      </w:r>
      <w:r w:rsidRPr="0098212E">
        <w:t>е) вместо выражения «маркировочный знак типа конструкции "UN"» следует использовать термин «знак официального утверждения типа» и что в варианте пунктов 6.1.3.14, 6.5.2.1.3 и 6.6.3.3 на английском языке слово «</w:t>
      </w:r>
      <w:proofErr w:type="spellStart"/>
      <w:r w:rsidRPr="0098212E">
        <w:t>must</w:t>
      </w:r>
      <w:proofErr w:type="spellEnd"/>
      <w:r w:rsidRPr="0098212E">
        <w:t>» (должны/должен) следует заменить словом «</w:t>
      </w:r>
      <w:proofErr w:type="spellStart"/>
      <w:r w:rsidRPr="0098212E">
        <w:t>shall</w:t>
      </w:r>
      <w:proofErr w:type="spellEnd"/>
      <w:r w:rsidRPr="0098212E">
        <w:t xml:space="preserve">» (не касается текста на русском языке). Было решено, что эти изменения следует довести до сведения Подкомитета по ПОГ. </w:t>
      </w:r>
    </w:p>
    <w:p w14:paraId="4471EBF8" w14:textId="77777777" w:rsidR="0098212E" w:rsidRPr="0098212E" w:rsidRDefault="0098212E" w:rsidP="00DF2CB9">
      <w:pPr>
        <w:pStyle w:val="H23G"/>
      </w:pPr>
      <w:r w:rsidRPr="0098212E">
        <w:tab/>
        <w:t>2.</w:t>
      </w:r>
      <w:r w:rsidRPr="0098212E">
        <w:tab/>
        <w:t xml:space="preserve">Положения, касающиеся маркировки сосудов под давлением «UN», </w:t>
      </w:r>
      <w:r w:rsidR="00DF2CB9">
        <w:br/>
      </w:r>
      <w:r w:rsidRPr="0098212E">
        <w:t>в пункте 6.2.2.7.2 с)</w:t>
      </w:r>
    </w:p>
    <w:p w14:paraId="61766E05" w14:textId="77777777" w:rsidR="0098212E" w:rsidRPr="0098212E" w:rsidRDefault="0098212E" w:rsidP="0098212E">
      <w:pPr>
        <w:pStyle w:val="SingleTxtG"/>
      </w:pPr>
      <w:r w:rsidRPr="0098212E">
        <w:t>62.</w:t>
      </w:r>
      <w:r w:rsidRPr="0098212E">
        <w:tab/>
        <w:t>Рабочая группа подтвердила, что «</w:t>
      </w:r>
      <w:proofErr w:type="spellStart"/>
      <w:r w:rsidRPr="0098212E">
        <w:t>authorized</w:t>
      </w:r>
      <w:proofErr w:type="spellEnd"/>
      <w:r w:rsidRPr="0098212E">
        <w:t>» («санкционировавшего») является надлежащим термином, который следует использовать, согласно обоснованию, приведенному в документе ST/SG/AC.10/C.3/2018/22, и решению, принятому Подкомитетом по ПОГ на его пятьдесят третьей сессии (см.</w:t>
      </w:r>
      <w:r w:rsidR="00DF2CB9">
        <w:t> </w:t>
      </w:r>
      <w:r w:rsidRPr="0098212E">
        <w:t>ST/SG/AC.10/C.3/106, пункт 88).</w:t>
      </w:r>
    </w:p>
    <w:p w14:paraId="1767A95C" w14:textId="77777777" w:rsidR="0098212E" w:rsidRPr="0098212E" w:rsidRDefault="0098212E" w:rsidP="00DF2CB9">
      <w:pPr>
        <w:pStyle w:val="H23G"/>
      </w:pPr>
      <w:r w:rsidRPr="0098212E">
        <w:tab/>
        <w:t>3.</w:t>
      </w:r>
      <w:r w:rsidRPr="0098212E">
        <w:tab/>
        <w:t>Новый текст в пунктах 6.7.2.19.6, 6.7.3.15.6 и 6.7.4.14.6</w:t>
      </w:r>
    </w:p>
    <w:p w14:paraId="7ED8E557" w14:textId="77777777" w:rsidR="0098212E" w:rsidRPr="0098212E" w:rsidRDefault="0098212E" w:rsidP="0098212E">
      <w:pPr>
        <w:pStyle w:val="SingleTxtG"/>
      </w:pPr>
      <w:r w:rsidRPr="0098212E">
        <w:t>63.</w:t>
      </w:r>
      <w:r w:rsidRPr="0098212E">
        <w:tab/>
        <w:t>Рабочая группа решила изменить нумерацию существующих пунктов 6.7.2.19.6, 6.7.3.15.6 и 6.7.4.14.6 на 6.7.2.19.6.1, 6.7.3.15.6.1 и 6.7.4.14.6.1 и перенести предлагаемый новый текст в новые пункты 6.7.2.19.6.2, 6.7.3.15.6.2 и 6.7.4.14.6.2 для удобства ссылки.</w:t>
      </w:r>
    </w:p>
    <w:p w14:paraId="61E34047" w14:textId="77777777" w:rsidR="0098212E" w:rsidRPr="0098212E" w:rsidRDefault="0098212E" w:rsidP="0098212E">
      <w:pPr>
        <w:pStyle w:val="SingleTxtG"/>
      </w:pPr>
      <w:r w:rsidRPr="0098212E">
        <w:t>64.</w:t>
      </w:r>
      <w:r w:rsidRPr="0098212E">
        <w:tab/>
        <w:t>Было решено, что эти изменения следует довести до сведения Подкомитета по ПОГ.</w:t>
      </w:r>
    </w:p>
    <w:p w14:paraId="6625BF6E" w14:textId="77777777" w:rsidR="0098212E" w:rsidRPr="0098212E" w:rsidRDefault="0098212E" w:rsidP="00DF2CB9">
      <w:pPr>
        <w:pStyle w:val="H1G"/>
      </w:pPr>
      <w:r w:rsidRPr="0098212E">
        <w:tab/>
        <w:t>O.</w:t>
      </w:r>
      <w:r w:rsidRPr="0098212E">
        <w:tab/>
        <w:t xml:space="preserve">Поправки к ВОПОГ (глава 7.1) </w:t>
      </w:r>
    </w:p>
    <w:p w14:paraId="512DBE6B" w14:textId="77777777" w:rsidR="0098212E" w:rsidRPr="0098212E" w:rsidRDefault="0098212E" w:rsidP="0098212E">
      <w:pPr>
        <w:pStyle w:val="SingleTxtG"/>
      </w:pPr>
      <w:r w:rsidRPr="0098212E">
        <w:t>65.</w:t>
      </w:r>
      <w:r w:rsidRPr="0098212E">
        <w:tab/>
        <w:t xml:space="preserve">Рабочая группа решила препроводить предлагаемые поправки к главе 7.1 ВОПОГ Комитету по вопросам безопасности ВОПОГ для рассмотрения. </w:t>
      </w:r>
    </w:p>
    <w:p w14:paraId="62EEF871" w14:textId="77777777" w:rsidR="0098212E" w:rsidRPr="0098212E" w:rsidRDefault="0098212E" w:rsidP="00DF2CB9">
      <w:pPr>
        <w:pStyle w:val="HChG"/>
      </w:pPr>
      <w:r w:rsidRPr="0098212E">
        <w:tab/>
        <w:t>III.</w:t>
      </w:r>
      <w:r w:rsidRPr="0098212E">
        <w:tab/>
        <w:t xml:space="preserve">Утверждение доклада </w:t>
      </w:r>
    </w:p>
    <w:p w14:paraId="04BE04A2" w14:textId="77777777" w:rsidR="0098212E" w:rsidRPr="0098212E" w:rsidRDefault="0098212E" w:rsidP="0098212E">
      <w:pPr>
        <w:pStyle w:val="SingleTxtG"/>
      </w:pPr>
      <w:r w:rsidRPr="0098212E">
        <w:t>66.</w:t>
      </w:r>
      <w:r w:rsidRPr="0098212E">
        <w:tab/>
        <w:t>Специальная рабочая группа заочно утвердила доклад о работе своей сессии на основе проекта, подготовленного секретариатом.</w:t>
      </w:r>
    </w:p>
    <w:p w14:paraId="08C47ED1" w14:textId="77777777" w:rsidR="00E12C5F" w:rsidRPr="0098212E" w:rsidRDefault="0098212E" w:rsidP="0098212E">
      <w:pPr>
        <w:pStyle w:val="SingleTxtG"/>
        <w:spacing w:before="240" w:after="0"/>
        <w:jc w:val="center"/>
        <w:rPr>
          <w:u w:val="single"/>
        </w:rPr>
      </w:pPr>
      <w:r>
        <w:rPr>
          <w:u w:val="single"/>
        </w:rPr>
        <w:tab/>
      </w:r>
      <w:r>
        <w:rPr>
          <w:u w:val="single"/>
        </w:rPr>
        <w:tab/>
      </w:r>
      <w:r>
        <w:rPr>
          <w:u w:val="single"/>
        </w:rPr>
        <w:tab/>
      </w:r>
    </w:p>
    <w:sectPr w:rsidR="00E12C5F" w:rsidRPr="0098212E" w:rsidSect="0098212E">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09C75" w14:textId="77777777" w:rsidR="002E1EE8" w:rsidRPr="00A312BC" w:rsidRDefault="002E1EE8" w:rsidP="00A312BC"/>
  </w:endnote>
  <w:endnote w:type="continuationSeparator" w:id="0">
    <w:p w14:paraId="66459D29" w14:textId="77777777" w:rsidR="002E1EE8" w:rsidRPr="00A312BC" w:rsidRDefault="002E1EE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A7E44" w14:textId="77777777" w:rsidR="0098212E" w:rsidRPr="0098212E" w:rsidRDefault="0098212E">
    <w:pPr>
      <w:pStyle w:val="Footer"/>
    </w:pPr>
    <w:r w:rsidRPr="0098212E">
      <w:rPr>
        <w:b/>
        <w:sz w:val="18"/>
      </w:rPr>
      <w:fldChar w:fldCharType="begin"/>
    </w:r>
    <w:r w:rsidRPr="0098212E">
      <w:rPr>
        <w:b/>
        <w:sz w:val="18"/>
      </w:rPr>
      <w:instrText xml:space="preserve"> PAGE  \* MERGEFORMAT </w:instrText>
    </w:r>
    <w:r w:rsidRPr="0098212E">
      <w:rPr>
        <w:b/>
        <w:sz w:val="18"/>
      </w:rPr>
      <w:fldChar w:fldCharType="separate"/>
    </w:r>
    <w:r w:rsidRPr="0098212E">
      <w:rPr>
        <w:b/>
        <w:noProof/>
        <w:sz w:val="18"/>
      </w:rPr>
      <w:t>2</w:t>
    </w:r>
    <w:r w:rsidRPr="0098212E">
      <w:rPr>
        <w:b/>
        <w:sz w:val="18"/>
      </w:rPr>
      <w:fldChar w:fldCharType="end"/>
    </w:r>
    <w:r>
      <w:rPr>
        <w:b/>
        <w:sz w:val="18"/>
      </w:rPr>
      <w:tab/>
    </w:r>
    <w:r>
      <w:t>GE.19-09965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2F3D7" w14:textId="77777777" w:rsidR="0098212E" w:rsidRPr="0098212E" w:rsidRDefault="0098212E" w:rsidP="0098212E">
    <w:pPr>
      <w:pStyle w:val="Footer"/>
      <w:tabs>
        <w:tab w:val="clear" w:pos="9639"/>
        <w:tab w:val="right" w:pos="9638"/>
      </w:tabs>
      <w:rPr>
        <w:b/>
        <w:sz w:val="18"/>
      </w:rPr>
    </w:pPr>
    <w:r>
      <w:t>GE.19-09965</w:t>
    </w:r>
    <w:r>
      <w:tab/>
    </w:r>
    <w:r w:rsidRPr="0098212E">
      <w:rPr>
        <w:b/>
        <w:sz w:val="18"/>
      </w:rPr>
      <w:fldChar w:fldCharType="begin"/>
    </w:r>
    <w:r w:rsidRPr="0098212E">
      <w:rPr>
        <w:b/>
        <w:sz w:val="18"/>
      </w:rPr>
      <w:instrText xml:space="preserve"> PAGE  \* MERGEFORMAT </w:instrText>
    </w:r>
    <w:r w:rsidRPr="0098212E">
      <w:rPr>
        <w:b/>
        <w:sz w:val="18"/>
      </w:rPr>
      <w:fldChar w:fldCharType="separate"/>
    </w:r>
    <w:r w:rsidRPr="0098212E">
      <w:rPr>
        <w:b/>
        <w:noProof/>
        <w:sz w:val="18"/>
      </w:rPr>
      <w:t>3</w:t>
    </w:r>
    <w:r w:rsidRPr="009821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E89F7" w14:textId="77777777" w:rsidR="00042B72" w:rsidRPr="0098212E" w:rsidRDefault="0098212E" w:rsidP="0098212E">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027ED025" wp14:editId="5603CCF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09965  (</w:t>
    </w:r>
    <w:proofErr w:type="gramEnd"/>
    <w:r>
      <w:t>R)</w:t>
    </w:r>
    <w:r w:rsidR="003F7880">
      <w:t xml:space="preserve">   </w:t>
    </w:r>
    <w:r w:rsidR="003F7880">
      <w:rPr>
        <w:lang w:val="en-US"/>
      </w:rPr>
      <w:t>240619   240619</w:t>
    </w:r>
    <w:r>
      <w:br/>
    </w:r>
    <w:r w:rsidRPr="0098212E">
      <w:rPr>
        <w:rFonts w:ascii="C39T30Lfz" w:hAnsi="C39T30Lfz"/>
        <w:kern w:val="14"/>
        <w:sz w:val="56"/>
      </w:rPr>
      <w:t></w:t>
    </w:r>
    <w:r w:rsidRPr="0098212E">
      <w:rPr>
        <w:rFonts w:ascii="C39T30Lfz" w:hAnsi="C39T30Lfz"/>
        <w:kern w:val="14"/>
        <w:sz w:val="56"/>
      </w:rPr>
      <w:t></w:t>
    </w:r>
    <w:r w:rsidRPr="0098212E">
      <w:rPr>
        <w:rFonts w:ascii="C39T30Lfz" w:hAnsi="C39T30Lfz"/>
        <w:kern w:val="14"/>
        <w:sz w:val="56"/>
      </w:rPr>
      <w:t></w:t>
    </w:r>
    <w:r w:rsidRPr="0098212E">
      <w:rPr>
        <w:rFonts w:ascii="C39T30Lfz" w:hAnsi="C39T30Lfz"/>
        <w:kern w:val="14"/>
        <w:sz w:val="56"/>
      </w:rPr>
      <w:t></w:t>
    </w:r>
    <w:r w:rsidRPr="0098212E">
      <w:rPr>
        <w:rFonts w:ascii="C39T30Lfz" w:hAnsi="C39T30Lfz"/>
        <w:kern w:val="14"/>
        <w:sz w:val="56"/>
      </w:rPr>
      <w:t></w:t>
    </w:r>
    <w:r w:rsidRPr="0098212E">
      <w:rPr>
        <w:rFonts w:ascii="C39T30Lfz" w:hAnsi="C39T30Lfz"/>
        <w:kern w:val="14"/>
        <w:sz w:val="56"/>
      </w:rPr>
      <w:t></w:t>
    </w:r>
    <w:r w:rsidRPr="0098212E">
      <w:rPr>
        <w:rFonts w:ascii="C39T30Lfz" w:hAnsi="C39T30Lfz"/>
        <w:kern w:val="14"/>
        <w:sz w:val="56"/>
      </w:rPr>
      <w:t></w:t>
    </w:r>
    <w:r w:rsidRPr="0098212E">
      <w:rPr>
        <w:rFonts w:ascii="C39T30Lfz" w:hAnsi="C39T30Lfz"/>
        <w:kern w:val="14"/>
        <w:sz w:val="56"/>
      </w:rPr>
      <w:t></w:t>
    </w:r>
    <w:r w:rsidRPr="0098212E">
      <w:rPr>
        <w:rFonts w:ascii="C39T30Lfz" w:hAnsi="C39T30Lfz"/>
        <w:kern w:val="14"/>
        <w:sz w:val="56"/>
      </w:rPr>
      <w:t></w:t>
    </w:r>
    <w:r>
      <w:rPr>
        <w:noProof/>
      </w:rPr>
      <w:drawing>
        <wp:anchor distT="0" distB="0" distL="114300" distR="114300" simplePos="0" relativeHeight="251659264" behindDoc="0" locked="0" layoutInCell="1" allowOverlap="1" wp14:anchorId="250B3C13" wp14:editId="3B0C7AFF">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1/2019/2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2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BD099" w14:textId="77777777" w:rsidR="002E1EE8" w:rsidRPr="001075E9" w:rsidRDefault="002E1EE8" w:rsidP="001075E9">
      <w:pPr>
        <w:tabs>
          <w:tab w:val="right" w:pos="2155"/>
        </w:tabs>
        <w:spacing w:after="80" w:line="240" w:lineRule="auto"/>
        <w:ind w:left="680"/>
        <w:rPr>
          <w:u w:val="single"/>
        </w:rPr>
      </w:pPr>
      <w:r>
        <w:rPr>
          <w:u w:val="single"/>
        </w:rPr>
        <w:tab/>
      </w:r>
    </w:p>
  </w:footnote>
  <w:footnote w:type="continuationSeparator" w:id="0">
    <w:p w14:paraId="759EB8EE" w14:textId="77777777" w:rsidR="002E1EE8" w:rsidRDefault="002E1EE8" w:rsidP="00407B78">
      <w:pPr>
        <w:tabs>
          <w:tab w:val="right" w:pos="2155"/>
        </w:tabs>
        <w:spacing w:after="80"/>
        <w:ind w:left="680"/>
        <w:rPr>
          <w:u w:val="single"/>
        </w:rPr>
      </w:pPr>
      <w:r>
        <w:rPr>
          <w:u w:val="single"/>
        </w:rPr>
        <w:tab/>
      </w:r>
    </w:p>
  </w:footnote>
  <w:footnote w:id="1">
    <w:p w14:paraId="68D75729" w14:textId="77777777" w:rsidR="0098212E" w:rsidRPr="0098212E" w:rsidRDefault="0098212E">
      <w:pPr>
        <w:pStyle w:val="FootnoteText"/>
        <w:rPr>
          <w:sz w:val="20"/>
        </w:rPr>
      </w:pPr>
      <w:r>
        <w:tab/>
      </w:r>
      <w:r w:rsidRPr="0098212E">
        <w:rPr>
          <w:rStyle w:val="FootnoteReference"/>
          <w:sz w:val="20"/>
          <w:vertAlign w:val="baseline"/>
        </w:rPr>
        <w:t>*</w:t>
      </w:r>
      <w:r w:rsidRPr="0098212E">
        <w:rPr>
          <w:rStyle w:val="FootnoteReference"/>
          <w:vertAlign w:val="baseline"/>
        </w:rPr>
        <w:tab/>
      </w:r>
      <w:r>
        <w:t>В соответствии с программой работы Комитета по внутреннему транспорту на 2018–2019 годы (ECE/TRANS/WP.15/237, приложение V (9.2)).</w:t>
      </w:r>
    </w:p>
  </w:footnote>
  <w:footnote w:id="2">
    <w:p w14:paraId="2837A786" w14:textId="77777777" w:rsidR="0098212E" w:rsidRPr="0098212E" w:rsidRDefault="0098212E">
      <w:pPr>
        <w:pStyle w:val="FootnoteText"/>
        <w:rPr>
          <w:sz w:val="20"/>
        </w:rPr>
      </w:pPr>
      <w:r>
        <w:tab/>
      </w:r>
      <w:r w:rsidRPr="0098212E">
        <w:rPr>
          <w:rStyle w:val="FootnoteReference"/>
          <w:sz w:val="20"/>
          <w:vertAlign w:val="baseline"/>
        </w:rPr>
        <w:t>**</w:t>
      </w:r>
      <w:r w:rsidRPr="0098212E">
        <w:rPr>
          <w:rStyle w:val="FootnoteReference"/>
          <w:vertAlign w:val="baseline"/>
        </w:rPr>
        <w:tab/>
      </w:r>
      <w:r>
        <w:t>Распространено Межправительственной организацией по международным железнодорожным перевозкам (ОТИФ) под условным обозначением OTIF/RID/RC/2019/22.</w:t>
      </w:r>
    </w:p>
  </w:footnote>
  <w:footnote w:id="3">
    <w:p w14:paraId="7A227B2B" w14:textId="77777777" w:rsidR="0098212E" w:rsidRPr="008D4A5C" w:rsidRDefault="0098212E" w:rsidP="0098212E">
      <w:pPr>
        <w:pStyle w:val="FootnoteText"/>
      </w:pPr>
      <w:r w:rsidRPr="006774FA">
        <w:tab/>
      </w:r>
      <w:r w:rsidRPr="006774FA">
        <w:rPr>
          <w:rStyle w:val="FootnoteReference"/>
        </w:rPr>
        <w:footnoteRef/>
      </w:r>
      <w:r>
        <w:t xml:space="preserve"> </w:t>
      </w:r>
      <w:r>
        <w:tab/>
        <w:t>См. ECE/TRANS/WP.15/AC.1/130 (пункт 36) и неофициальные документы INF.13 и INF.14, представленные на весенней сессии 2013 года Совместного совещания.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5CC72" w14:textId="44D79C18" w:rsidR="0098212E" w:rsidRPr="0098212E" w:rsidRDefault="0098212E">
    <w:pPr>
      <w:pStyle w:val="Header"/>
    </w:pPr>
    <w:fldSimple w:instr=" TITLE  \* MERGEFORMAT ">
      <w:r w:rsidR="00121454">
        <w:t>ECE/TRANS/WP.15/AC.1/2019/22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5E12B" w14:textId="7DC584EA" w:rsidR="0098212E" w:rsidRPr="0098212E" w:rsidRDefault="0098212E" w:rsidP="0098212E">
    <w:pPr>
      <w:pStyle w:val="Header"/>
      <w:jc w:val="right"/>
    </w:pPr>
    <w:fldSimple w:instr=" TITLE  \* MERGEFORMAT ">
      <w:r w:rsidR="00121454">
        <w:t>ECE/TRANS/WP.15/AC.1/2019/22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EE8"/>
    <w:rsid w:val="00033EE1"/>
    <w:rsid w:val="00042B72"/>
    <w:rsid w:val="000558BD"/>
    <w:rsid w:val="000B57E7"/>
    <w:rsid w:val="000B6373"/>
    <w:rsid w:val="000E4E5B"/>
    <w:rsid w:val="000F09DF"/>
    <w:rsid w:val="000F61B2"/>
    <w:rsid w:val="001075E9"/>
    <w:rsid w:val="00121454"/>
    <w:rsid w:val="0014152F"/>
    <w:rsid w:val="0016294B"/>
    <w:rsid w:val="00180183"/>
    <w:rsid w:val="0018024D"/>
    <w:rsid w:val="0018649F"/>
    <w:rsid w:val="00196389"/>
    <w:rsid w:val="001B3EF6"/>
    <w:rsid w:val="001C7A89"/>
    <w:rsid w:val="00255343"/>
    <w:rsid w:val="0027151D"/>
    <w:rsid w:val="00286B71"/>
    <w:rsid w:val="002A2EFC"/>
    <w:rsid w:val="002B0106"/>
    <w:rsid w:val="002B74B1"/>
    <w:rsid w:val="002C0E18"/>
    <w:rsid w:val="002D5AAC"/>
    <w:rsid w:val="002E1EE8"/>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3F7880"/>
    <w:rsid w:val="00407B78"/>
    <w:rsid w:val="00424203"/>
    <w:rsid w:val="00452493"/>
    <w:rsid w:val="00453318"/>
    <w:rsid w:val="00454AF2"/>
    <w:rsid w:val="00454E07"/>
    <w:rsid w:val="00472C5C"/>
    <w:rsid w:val="004E05B7"/>
    <w:rsid w:val="004F3025"/>
    <w:rsid w:val="0050108D"/>
    <w:rsid w:val="00513081"/>
    <w:rsid w:val="00517901"/>
    <w:rsid w:val="00526683"/>
    <w:rsid w:val="005639C1"/>
    <w:rsid w:val="005709E0"/>
    <w:rsid w:val="00572E19"/>
    <w:rsid w:val="005961C8"/>
    <w:rsid w:val="005966F1"/>
    <w:rsid w:val="005D7914"/>
    <w:rsid w:val="005E2B41"/>
    <w:rsid w:val="005E55A5"/>
    <w:rsid w:val="005F0B42"/>
    <w:rsid w:val="00617A43"/>
    <w:rsid w:val="00626140"/>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8212E"/>
    <w:rsid w:val="009A24AC"/>
    <w:rsid w:val="009B2419"/>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0127F"/>
    <w:rsid w:val="00C106D6"/>
    <w:rsid w:val="00C119AE"/>
    <w:rsid w:val="00C52B24"/>
    <w:rsid w:val="00C60F0C"/>
    <w:rsid w:val="00C71E84"/>
    <w:rsid w:val="00C805C9"/>
    <w:rsid w:val="00C92939"/>
    <w:rsid w:val="00C96C1A"/>
    <w:rsid w:val="00CA1679"/>
    <w:rsid w:val="00CB151C"/>
    <w:rsid w:val="00CE5A1A"/>
    <w:rsid w:val="00CF55F6"/>
    <w:rsid w:val="00D33D63"/>
    <w:rsid w:val="00D5253A"/>
    <w:rsid w:val="00D873A8"/>
    <w:rsid w:val="00D90028"/>
    <w:rsid w:val="00D90138"/>
    <w:rsid w:val="00D9145B"/>
    <w:rsid w:val="00DD78D1"/>
    <w:rsid w:val="00DE178B"/>
    <w:rsid w:val="00DE32CD"/>
    <w:rsid w:val="00DF2CB9"/>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30E6CB"/>
  <w15:docId w15:val="{0C760882-5DDC-4536-93E0-4F671D2D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3795</Words>
  <Characters>20531</Characters>
  <Application>Microsoft Office Word</Application>
  <DocSecurity>0</DocSecurity>
  <Lines>347</Lines>
  <Paragraphs>147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ECE/TRANS/WP.15/AC.1/2019/22</vt:lpstr>
      <vt:lpstr>ECE/TRANS/WP.15/AC.1/2019/22</vt:lpstr>
      <vt:lpstr>A/</vt:lpstr>
    </vt:vector>
  </TitlesOfParts>
  <Company>DCM</Company>
  <LinksUpToDate>false</LinksUpToDate>
  <CharactersWithSpaces>24179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ECE/TRANS/WP.15/AC.1/2019/22</dc:title>
  <dc:subject/>
  <dc:creator>Larisa MAYKOVSKAYA</dc:creator>
  <cp:keywords/>
  <cp:lastModifiedBy>Christine Barrio-Champeau</cp:lastModifiedBy>
  <cp:revision>2</cp:revision>
  <cp:lastPrinted>2019-06-24T09:49:00Z</cp:lastPrinted>
  <dcterms:created xsi:type="dcterms:W3CDTF">2019-08-05T14:53:00Z</dcterms:created>
  <dcterms:modified xsi:type="dcterms:W3CDTF">2019-08-05T14:53:00Z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