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Default="008A0FDA" w:rsidP="00B11BB4">
            <w:pPr>
              <w:spacing w:after="80"/>
            </w:pPr>
          </w:p>
        </w:tc>
        <w:tc>
          <w:tcPr>
            <w:tcW w:w="2268" w:type="dxa"/>
            <w:tcBorders>
              <w:bottom w:val="single" w:sz="4" w:space="0" w:color="auto"/>
            </w:tcBorders>
            <w:vAlign w:val="bottom"/>
          </w:tcPr>
          <w:p w14:paraId="3E4791B0" w14:textId="77777777" w:rsidR="008A0FDA" w:rsidRPr="00B11BB4" w:rsidRDefault="008A0FDA" w:rsidP="00B11BB4">
            <w:pPr>
              <w:spacing w:after="80" w:line="300" w:lineRule="exact"/>
              <w:rPr>
                <w:b/>
                <w:sz w:val="24"/>
                <w:szCs w:val="24"/>
              </w:rPr>
            </w:pPr>
          </w:p>
        </w:tc>
        <w:tc>
          <w:tcPr>
            <w:tcW w:w="6095" w:type="dxa"/>
            <w:tcBorders>
              <w:bottom w:val="single" w:sz="4" w:space="0" w:color="auto"/>
            </w:tcBorders>
            <w:vAlign w:val="bottom"/>
          </w:tcPr>
          <w:p w14:paraId="5AACD0D2" w14:textId="0C56B78B" w:rsidR="008A0FDA" w:rsidRPr="00912FC9" w:rsidRDefault="00CF4673" w:rsidP="00FB6942">
            <w:pPr>
              <w:suppressAutoHyphens w:val="0"/>
              <w:spacing w:after="20"/>
              <w:jc w:val="right"/>
              <w:rPr>
                <w:b/>
                <w:sz w:val="28"/>
                <w:szCs w:val="28"/>
              </w:rPr>
            </w:pPr>
            <w:r w:rsidRPr="00912FC9">
              <w:rPr>
                <w:b/>
                <w:sz w:val="28"/>
                <w:szCs w:val="28"/>
              </w:rPr>
              <w:t>INF.</w:t>
            </w:r>
            <w:r w:rsidR="00CF19B3">
              <w:rPr>
                <w:b/>
                <w:sz w:val="28"/>
                <w:szCs w:val="28"/>
              </w:rPr>
              <w:t>14</w:t>
            </w:r>
            <w:r w:rsidR="008A0FDA" w:rsidRPr="00912FC9">
              <w:rPr>
                <w:b/>
                <w:sz w:val="28"/>
                <w:szCs w:val="28"/>
              </w:rPr>
              <w:t xml:space="preserve"> </w:t>
            </w:r>
          </w:p>
        </w:tc>
      </w:tr>
    </w:tbl>
    <w:p w14:paraId="74A40F0D" w14:textId="77777777" w:rsidR="00FB6942" w:rsidRPr="0047131A" w:rsidRDefault="00FB6942" w:rsidP="00FB6942">
      <w:pPr>
        <w:spacing w:before="120"/>
        <w:rPr>
          <w:b/>
          <w:sz w:val="28"/>
          <w:szCs w:val="28"/>
        </w:rPr>
      </w:pPr>
      <w:r w:rsidRPr="0047131A">
        <w:rPr>
          <w:b/>
          <w:sz w:val="28"/>
          <w:szCs w:val="28"/>
        </w:rPr>
        <w:t>Economic Commission for Europe</w:t>
      </w:r>
    </w:p>
    <w:p w14:paraId="54E26C11" w14:textId="77777777" w:rsidR="00FB6942" w:rsidRPr="0047131A" w:rsidRDefault="00FB6942" w:rsidP="00FB6942">
      <w:pPr>
        <w:spacing w:before="120"/>
        <w:rPr>
          <w:sz w:val="28"/>
          <w:szCs w:val="28"/>
        </w:rPr>
      </w:pPr>
      <w:r w:rsidRPr="0047131A">
        <w:rPr>
          <w:sz w:val="28"/>
          <w:szCs w:val="28"/>
        </w:rPr>
        <w:t>Inland Transport Committee</w:t>
      </w:r>
    </w:p>
    <w:p w14:paraId="0D58BC3E" w14:textId="77777777" w:rsidR="00FB6942" w:rsidRPr="0047131A" w:rsidRDefault="00FB6942" w:rsidP="00FB6942">
      <w:pPr>
        <w:spacing w:before="120" w:after="120"/>
        <w:rPr>
          <w:b/>
          <w:sz w:val="24"/>
          <w:szCs w:val="24"/>
        </w:rPr>
      </w:pPr>
      <w:r w:rsidRPr="0047131A">
        <w:rPr>
          <w:b/>
          <w:sz w:val="24"/>
          <w:szCs w:val="24"/>
        </w:rPr>
        <w:t>Working Party on the Transport of Dangerous Goods</w:t>
      </w:r>
    </w:p>
    <w:p w14:paraId="203A57DD" w14:textId="77777777" w:rsidR="00FB6942" w:rsidRPr="0047131A" w:rsidRDefault="00FB6942" w:rsidP="00FB6942">
      <w:pPr>
        <w:rPr>
          <w:b/>
        </w:rPr>
      </w:pPr>
      <w:r w:rsidRPr="0047131A">
        <w:rPr>
          <w:b/>
        </w:rPr>
        <w:t>Joint Meeting of the RID Committee of Experts and the</w:t>
      </w:r>
    </w:p>
    <w:p w14:paraId="79497BBE" w14:textId="6BB1AD7B" w:rsidR="00FB6942" w:rsidRPr="0047131A" w:rsidRDefault="00FB6942" w:rsidP="00FB6942">
      <w:pPr>
        <w:tabs>
          <w:tab w:val="right" w:pos="8931"/>
        </w:tabs>
        <w:rPr>
          <w:b/>
        </w:rPr>
      </w:pPr>
      <w:r w:rsidRPr="0047131A">
        <w:rPr>
          <w:b/>
        </w:rPr>
        <w:t>Working Party on the Transport of Dangerous Goods</w:t>
      </w:r>
      <w:r w:rsidRPr="0047131A">
        <w:rPr>
          <w:b/>
        </w:rPr>
        <w:tab/>
      </w:r>
      <w:r w:rsidR="00CF19B3">
        <w:rPr>
          <w:b/>
        </w:rPr>
        <w:t>1 March</w:t>
      </w:r>
      <w:r>
        <w:rPr>
          <w:b/>
        </w:rPr>
        <w:t xml:space="preserve"> 2019</w:t>
      </w:r>
    </w:p>
    <w:p w14:paraId="131D2CA6" w14:textId="77777777" w:rsidR="00FB6942" w:rsidRDefault="00FB6942" w:rsidP="00FB6942">
      <w:r>
        <w:t>Bern, 18-22 March 2019</w:t>
      </w:r>
    </w:p>
    <w:p w14:paraId="6146A31C" w14:textId="2A2E99F3" w:rsidR="00FB6942" w:rsidRDefault="00FB6942" w:rsidP="00FB6942">
      <w:r>
        <w:t>Item 2 of the provisional agenda</w:t>
      </w:r>
    </w:p>
    <w:p w14:paraId="6DEC5BF6" w14:textId="77777777" w:rsidR="00FB6942" w:rsidRDefault="00FB6942" w:rsidP="00FB6942">
      <w:pPr>
        <w:spacing w:line="235" w:lineRule="exact"/>
        <w:rPr>
          <w:b/>
          <w:sz w:val="21"/>
        </w:rPr>
      </w:pPr>
      <w:r>
        <w:rPr>
          <w:b/>
          <w:sz w:val="21"/>
        </w:rPr>
        <w:t>Tanks</w:t>
      </w:r>
    </w:p>
    <w:p w14:paraId="5C0FF278" w14:textId="442DBD78" w:rsidR="00FB6942" w:rsidRPr="00E779FE" w:rsidRDefault="00FB6942" w:rsidP="00CF19B3">
      <w:pPr>
        <w:pStyle w:val="HChG"/>
        <w:rPr>
          <w:color w:val="000000"/>
          <w:lang w:val="en-GB"/>
        </w:rPr>
      </w:pPr>
      <w:r>
        <w:rPr>
          <w:lang w:val="en-GB"/>
        </w:rPr>
        <w:tab/>
      </w:r>
      <w:r>
        <w:rPr>
          <w:lang w:val="en-GB"/>
        </w:rPr>
        <w:tab/>
        <w:t>Approval of portable tanks as tank-containers</w:t>
      </w:r>
    </w:p>
    <w:p w14:paraId="6AD5C653" w14:textId="77777777" w:rsidR="00FB6942" w:rsidRPr="004804CE" w:rsidRDefault="00FB6942" w:rsidP="00CF19B3">
      <w:pPr>
        <w:pStyle w:val="H1G"/>
      </w:pPr>
      <w:r>
        <w:tab/>
      </w:r>
      <w:r>
        <w:tab/>
        <w:t>Transmitted by the Government of the Netherlands</w:t>
      </w:r>
    </w:p>
    <w:p w14:paraId="26264B1A" w14:textId="77777777" w:rsidR="00FB6942" w:rsidRPr="00A33311" w:rsidRDefault="00FB6942" w:rsidP="00CF19B3">
      <w:pPr>
        <w:pStyle w:val="HChG"/>
      </w:pPr>
      <w:r w:rsidRPr="0049641F">
        <w:rPr>
          <w:lang w:val="en-GB"/>
        </w:rPr>
        <w:tab/>
      </w:r>
      <w:r w:rsidRPr="0049641F">
        <w:rPr>
          <w:lang w:val="en-GB"/>
        </w:rPr>
        <w:tab/>
      </w:r>
      <w:r w:rsidRPr="00A33311">
        <w:t>Introduction</w:t>
      </w:r>
    </w:p>
    <w:p w14:paraId="261BDBF8" w14:textId="598A546A" w:rsidR="00FB6942" w:rsidRPr="0049641F" w:rsidRDefault="00FB6942" w:rsidP="00CF19B3">
      <w:pPr>
        <w:pStyle w:val="SingleTxtG"/>
        <w:rPr>
          <w:lang w:val="en-GB"/>
        </w:rPr>
      </w:pPr>
      <w:r w:rsidRPr="0049641F">
        <w:rPr>
          <w:lang w:val="en-GB"/>
        </w:rPr>
        <w:t>1.</w:t>
      </w:r>
      <w:r w:rsidRPr="0049641F">
        <w:rPr>
          <w:lang w:val="en-GB"/>
        </w:rPr>
        <w:tab/>
        <w:t xml:space="preserve">The approval of portable tanks as tank containers may lead to confusion for users and inspection bodies. This confusion may lead to dangerous situations due to improper approval or use. The filler or carrier may not be aware of the type of approval that is applied for a </w:t>
      </w:r>
      <w:proofErr w:type="gramStart"/>
      <w:r w:rsidRPr="0049641F">
        <w:rPr>
          <w:lang w:val="en-GB"/>
        </w:rPr>
        <w:t>particular transport</w:t>
      </w:r>
      <w:proofErr w:type="gramEnd"/>
      <w:r w:rsidRPr="0049641F">
        <w:rPr>
          <w:lang w:val="en-GB"/>
        </w:rPr>
        <w:t xml:space="preserve"> and could mix up the safety requirements. Inspection bodies for portable tanks, mostly outside of the RID/ADR treaty area, approve portable tanks as RID/ADR tank-container without a proper type approval or without specific knowledge about RID/ADR requirements.</w:t>
      </w:r>
    </w:p>
    <w:p w14:paraId="4808A744" w14:textId="324BDB39" w:rsidR="00FB6942" w:rsidRPr="00CF19B3" w:rsidRDefault="00CF19B3" w:rsidP="00CF19B3">
      <w:pPr>
        <w:pStyle w:val="HChG"/>
        <w:rPr>
          <w:lang w:val="en-GB"/>
        </w:rPr>
      </w:pPr>
      <w:r w:rsidRPr="0049641F">
        <w:rPr>
          <w:lang w:val="en-GB"/>
        </w:rPr>
        <w:tab/>
      </w:r>
      <w:r w:rsidRPr="0049641F">
        <w:rPr>
          <w:lang w:val="en-GB"/>
        </w:rPr>
        <w:tab/>
      </w:r>
      <w:r w:rsidR="00FB6942" w:rsidRPr="00CF19B3">
        <w:rPr>
          <w:lang w:val="en-GB"/>
        </w:rPr>
        <w:t>Considerations</w:t>
      </w:r>
    </w:p>
    <w:p w14:paraId="6A5CF84B" w14:textId="680814A2" w:rsidR="00FB6942" w:rsidRPr="0049641F" w:rsidRDefault="00FB6942" w:rsidP="00CF19B3">
      <w:pPr>
        <w:pStyle w:val="SingleTxtG"/>
        <w:rPr>
          <w:lang w:val="en-GB"/>
        </w:rPr>
      </w:pPr>
      <w:r w:rsidRPr="00E779FE">
        <w:rPr>
          <w:lang w:val="en-GB"/>
        </w:rPr>
        <w:t>2.</w:t>
      </w:r>
      <w:r w:rsidRPr="00E779FE">
        <w:rPr>
          <w:lang w:val="en-GB"/>
        </w:rPr>
        <w:tab/>
      </w:r>
      <w:r w:rsidRPr="00CF19B3">
        <w:rPr>
          <w:lang w:val="en-GB"/>
        </w:rPr>
        <w:t xml:space="preserve">It is believed that originally dual approval was requested by the industry based on the previous experience with the old IMO tank-containers that were intended to be used for inland transport also. </w:t>
      </w:r>
      <w:r w:rsidRPr="0049641F">
        <w:rPr>
          <w:lang w:val="en-GB"/>
        </w:rPr>
        <w:t xml:space="preserve">In these </w:t>
      </w:r>
      <w:proofErr w:type="gramStart"/>
      <w:r w:rsidRPr="0049641F">
        <w:rPr>
          <w:lang w:val="en-GB"/>
        </w:rPr>
        <w:t>cases</w:t>
      </w:r>
      <w:proofErr w:type="gramEnd"/>
      <w:r w:rsidRPr="0049641F">
        <w:rPr>
          <w:lang w:val="en-GB"/>
        </w:rPr>
        <w:t xml:space="preserve"> IMO tank-containers were also separately approved for RID and ADR. This was no longer necessary with the introduction of Chapter 6.7 in RID and ADR. </w:t>
      </w:r>
    </w:p>
    <w:p w14:paraId="0BAE4771" w14:textId="71D5F2AF" w:rsidR="00FB6942" w:rsidRPr="0049641F" w:rsidRDefault="00FB6942" w:rsidP="00CF19B3">
      <w:pPr>
        <w:pStyle w:val="SingleTxtG"/>
        <w:rPr>
          <w:lang w:val="en-GB"/>
        </w:rPr>
      </w:pPr>
      <w:r w:rsidRPr="00E779FE">
        <w:rPr>
          <w:lang w:val="en-GB"/>
        </w:rPr>
        <w:t>3.</w:t>
      </w:r>
      <w:r w:rsidRPr="00E779FE">
        <w:rPr>
          <w:lang w:val="en-GB"/>
        </w:rPr>
        <w:tab/>
      </w:r>
      <w:r w:rsidRPr="0049641F">
        <w:rPr>
          <w:lang w:val="en-GB"/>
        </w:rPr>
        <w:t>However, industry recognized additional value for dual approval of portable tanks as tank-containers because the portable tank instructions and tank</w:t>
      </w:r>
      <w:r w:rsidR="00F35507" w:rsidRPr="0049641F">
        <w:rPr>
          <w:lang w:val="en-GB"/>
        </w:rPr>
        <w:t>-</w:t>
      </w:r>
      <w:r w:rsidRPr="0049641F">
        <w:rPr>
          <w:lang w:val="en-GB"/>
        </w:rPr>
        <w:t xml:space="preserve">codes do not always line up. In some </w:t>
      </w:r>
      <w:r w:rsidR="00A856B7" w:rsidRPr="0049641F">
        <w:rPr>
          <w:lang w:val="en-GB"/>
        </w:rPr>
        <w:t>cases,</w:t>
      </w:r>
      <w:r w:rsidRPr="0049641F">
        <w:rPr>
          <w:lang w:val="en-GB"/>
        </w:rPr>
        <w:t xml:space="preserve"> entries have tank-codes but no portable tank instructions and vice versa. </w:t>
      </w:r>
      <w:r w:rsidR="00A856B7" w:rsidRPr="0049641F">
        <w:rPr>
          <w:lang w:val="en-GB"/>
        </w:rPr>
        <w:t xml:space="preserve">In other </w:t>
      </w:r>
      <w:proofErr w:type="gramStart"/>
      <w:r w:rsidR="00A856B7" w:rsidRPr="0049641F">
        <w:rPr>
          <w:lang w:val="en-GB"/>
        </w:rPr>
        <w:t>cases</w:t>
      </w:r>
      <w:proofErr w:type="gramEnd"/>
      <w:r w:rsidR="00A856B7" w:rsidRPr="0049641F">
        <w:rPr>
          <w:lang w:val="en-GB"/>
        </w:rPr>
        <w:t xml:space="preserve"> bottom discharge is allowed for tanks according to Chapter 6.8 in RID/ADR while top-discharge is required for portable tanks, which leads to increased handling time and costs. </w:t>
      </w:r>
      <w:r w:rsidRPr="0049641F">
        <w:rPr>
          <w:lang w:val="en-GB"/>
        </w:rPr>
        <w:t xml:space="preserve">Another issue is the allowed degree of filling which in general is higher for tank-containers than </w:t>
      </w:r>
      <w:r w:rsidR="00D453AC" w:rsidRPr="0049641F">
        <w:rPr>
          <w:lang w:val="en-GB"/>
        </w:rPr>
        <w:t xml:space="preserve">for </w:t>
      </w:r>
      <w:r w:rsidRPr="0049641F">
        <w:rPr>
          <w:lang w:val="en-GB"/>
        </w:rPr>
        <w:t>portable tanks.</w:t>
      </w:r>
    </w:p>
    <w:p w14:paraId="37F766A2" w14:textId="6B351FD7" w:rsidR="00FB6942" w:rsidRPr="0049641F" w:rsidRDefault="00FB6942" w:rsidP="00CF19B3">
      <w:pPr>
        <w:pStyle w:val="SingleTxtG"/>
        <w:rPr>
          <w:lang w:val="en-GB"/>
        </w:rPr>
      </w:pPr>
      <w:r w:rsidRPr="0049641F">
        <w:rPr>
          <w:lang w:val="en-GB"/>
        </w:rPr>
        <w:t>4.</w:t>
      </w:r>
      <w:r w:rsidRPr="0049641F">
        <w:rPr>
          <w:lang w:val="en-GB"/>
        </w:rPr>
        <w:tab/>
        <w:t>The purpose of this discussion document is to prevent dual approval by removing the incentives that drives it</w:t>
      </w:r>
      <w:r w:rsidR="00D453AC" w:rsidRPr="0049641F">
        <w:rPr>
          <w:lang w:val="en-GB"/>
        </w:rPr>
        <w:t xml:space="preserve">. </w:t>
      </w:r>
      <w:r w:rsidRPr="0049641F">
        <w:rPr>
          <w:lang w:val="en-GB"/>
        </w:rPr>
        <w:t xml:space="preserve">To achieve </w:t>
      </w:r>
      <w:r w:rsidR="00A856B7" w:rsidRPr="0049641F">
        <w:rPr>
          <w:lang w:val="en-GB"/>
        </w:rPr>
        <w:t>these following options</w:t>
      </w:r>
      <w:r w:rsidRPr="0049641F">
        <w:rPr>
          <w:lang w:val="en-GB"/>
        </w:rPr>
        <w:t xml:space="preserve"> can be considered:</w:t>
      </w:r>
    </w:p>
    <w:p w14:paraId="2C6128EE" w14:textId="6E90430C" w:rsidR="00FB6942" w:rsidRPr="00CF19B3" w:rsidRDefault="00CF19B3" w:rsidP="0049641F">
      <w:pPr>
        <w:pStyle w:val="SingleTxtG"/>
        <w:ind w:left="2268" w:hanging="567"/>
        <w:rPr>
          <w:lang w:val="en-GB"/>
        </w:rPr>
      </w:pPr>
      <w:r w:rsidRPr="00CF19B3">
        <w:rPr>
          <w:lang w:val="en-GB"/>
        </w:rPr>
        <w:t>(</w:t>
      </w:r>
      <w:r>
        <w:rPr>
          <w:lang w:val="en-GB"/>
        </w:rPr>
        <w:t>a)</w:t>
      </w:r>
      <w:r w:rsidR="00D453AC" w:rsidRPr="00CF19B3">
        <w:rPr>
          <w:lang w:val="en-GB"/>
        </w:rPr>
        <w:tab/>
      </w:r>
      <w:r w:rsidR="00FB6942" w:rsidRPr="00CF19B3">
        <w:rPr>
          <w:lang w:val="en-GB"/>
        </w:rPr>
        <w:t>For entries that have tank-codes but no portable tank instructions it should be considered to introduce portable tank instructions.</w:t>
      </w:r>
    </w:p>
    <w:p w14:paraId="58EF8812" w14:textId="653CF168" w:rsidR="00D453AC" w:rsidRPr="0049641F" w:rsidRDefault="00FB6942" w:rsidP="0049641F">
      <w:pPr>
        <w:pStyle w:val="SingleTxtG"/>
        <w:ind w:left="2268"/>
        <w:rPr>
          <w:lang w:val="en-GB"/>
        </w:rPr>
      </w:pPr>
      <w:r w:rsidRPr="0049641F">
        <w:rPr>
          <w:lang w:val="en-GB"/>
        </w:rPr>
        <w:t xml:space="preserve">The </w:t>
      </w:r>
      <w:proofErr w:type="gramStart"/>
      <w:r w:rsidRPr="0049641F">
        <w:rPr>
          <w:lang w:val="en-GB"/>
        </w:rPr>
        <w:t>particular entries</w:t>
      </w:r>
      <w:proofErr w:type="gramEnd"/>
      <w:r w:rsidRPr="0049641F">
        <w:rPr>
          <w:lang w:val="en-GB"/>
        </w:rPr>
        <w:t xml:space="preserve"> are easy to determine in Table A of Chapter 3.2 and should be proposed to the </w:t>
      </w:r>
      <w:r w:rsidRPr="0049641F">
        <w:rPr>
          <w:bCs/>
          <w:spacing w:val="-3"/>
          <w:bdr w:val="none" w:sz="0" w:space="0" w:color="auto" w:frame="1"/>
          <w:shd w:val="clear" w:color="auto" w:fill="FFFFFF"/>
          <w:lang w:val="en-GB"/>
        </w:rPr>
        <w:t>Sub-Committee o</w:t>
      </w:r>
      <w:r w:rsidR="00D453AC" w:rsidRPr="0049641F">
        <w:rPr>
          <w:bCs/>
          <w:spacing w:val="-3"/>
          <w:bdr w:val="none" w:sz="0" w:space="0" w:color="auto" w:frame="1"/>
          <w:shd w:val="clear" w:color="auto" w:fill="FFFFFF"/>
          <w:lang w:val="en-GB"/>
        </w:rPr>
        <w:t xml:space="preserve">f </w:t>
      </w:r>
      <w:r w:rsidRPr="0049641F">
        <w:rPr>
          <w:bCs/>
          <w:spacing w:val="-3"/>
          <w:bdr w:val="none" w:sz="0" w:space="0" w:color="auto" w:frame="1"/>
          <w:shd w:val="clear" w:color="auto" w:fill="FFFFFF"/>
          <w:lang w:val="en-GB"/>
        </w:rPr>
        <w:t>Experts on the Transport of Dangerous Goods (TDG)</w:t>
      </w:r>
      <w:r w:rsidRPr="0049641F">
        <w:rPr>
          <w:lang w:val="en-GB"/>
        </w:rPr>
        <w:t>. When a</w:t>
      </w:r>
      <w:r w:rsidR="00D453AC" w:rsidRPr="0049641F">
        <w:rPr>
          <w:lang w:val="en-GB"/>
        </w:rPr>
        <w:t xml:space="preserve">t </w:t>
      </w:r>
      <w:r w:rsidRPr="0049641F">
        <w:rPr>
          <w:lang w:val="en-GB"/>
        </w:rPr>
        <w:t xml:space="preserve">TDG level it is not possible to introduce portable tank instructions special instructions could </w:t>
      </w:r>
      <w:proofErr w:type="gramStart"/>
      <w:r w:rsidRPr="0049641F">
        <w:rPr>
          <w:lang w:val="en-GB"/>
        </w:rPr>
        <w:t>be considered to be</w:t>
      </w:r>
      <w:proofErr w:type="gramEnd"/>
      <w:r w:rsidRPr="0049641F">
        <w:rPr>
          <w:lang w:val="en-GB"/>
        </w:rPr>
        <w:t xml:space="preserve"> introduced in RID/ADR for inland </w:t>
      </w:r>
      <w:r w:rsidR="00D453AC" w:rsidRPr="0049641F">
        <w:rPr>
          <w:lang w:val="en-GB"/>
        </w:rPr>
        <w:t>transport</w:t>
      </w:r>
      <w:r w:rsidRPr="0049641F">
        <w:rPr>
          <w:lang w:val="en-GB"/>
        </w:rPr>
        <w:t xml:space="preserve"> only.</w:t>
      </w:r>
    </w:p>
    <w:p w14:paraId="18F8A4F8" w14:textId="15746CE9" w:rsidR="00FB6942" w:rsidRDefault="00CF19B3" w:rsidP="0049641F">
      <w:pPr>
        <w:pStyle w:val="SingleTxtG"/>
        <w:ind w:left="2268" w:hanging="567"/>
        <w:rPr>
          <w:lang w:val="en-US"/>
        </w:rPr>
      </w:pPr>
      <w:r>
        <w:rPr>
          <w:lang w:val="en-US"/>
        </w:rPr>
        <w:lastRenderedPageBreak/>
        <w:t>(</w:t>
      </w:r>
      <w:r w:rsidR="00FB6942">
        <w:rPr>
          <w:lang w:val="en-US"/>
        </w:rPr>
        <w:t>b)</w:t>
      </w:r>
      <w:r w:rsidR="00D453AC">
        <w:rPr>
          <w:lang w:val="en-US"/>
        </w:rPr>
        <w:tab/>
      </w:r>
      <w:r w:rsidR="00FB6942">
        <w:rPr>
          <w:lang w:val="en-US"/>
        </w:rPr>
        <w:t xml:space="preserve">Where top discharge is prescribed for portable tanks but bottom discharge is allowed for </w:t>
      </w:r>
      <w:r w:rsidR="00D453AC">
        <w:rPr>
          <w:lang w:val="en-US"/>
        </w:rPr>
        <w:t xml:space="preserve">tanks in </w:t>
      </w:r>
      <w:r w:rsidR="00FB6942">
        <w:rPr>
          <w:lang w:val="en-US"/>
        </w:rPr>
        <w:t xml:space="preserve">RID/ADR, it is proposed to introduce provisions that also for portable tanks bottom discharge is only allowed for inland transport. </w:t>
      </w:r>
    </w:p>
    <w:p w14:paraId="6BA85C37" w14:textId="66C7AB0A" w:rsidR="00FB6942" w:rsidRDefault="00CF19B3" w:rsidP="0049641F">
      <w:pPr>
        <w:pStyle w:val="SingleTxtG"/>
        <w:ind w:left="2268" w:hanging="567"/>
        <w:rPr>
          <w:lang w:val="en-US"/>
        </w:rPr>
      </w:pPr>
      <w:r>
        <w:rPr>
          <w:lang w:val="en-US"/>
        </w:rPr>
        <w:t>(</w:t>
      </w:r>
      <w:r w:rsidR="00FB6942">
        <w:rPr>
          <w:lang w:val="en-US"/>
        </w:rPr>
        <w:t>c)</w:t>
      </w:r>
      <w:r w:rsidR="00D453AC">
        <w:rPr>
          <w:lang w:val="en-US"/>
        </w:rPr>
        <w:tab/>
      </w:r>
      <w:r w:rsidR="00FB6942">
        <w:rPr>
          <w:lang w:val="en-US"/>
        </w:rPr>
        <w:t xml:space="preserve">Allow the use of the filling degree of </w:t>
      </w:r>
      <w:r w:rsidR="00D453AC">
        <w:rPr>
          <w:lang w:val="en-US"/>
        </w:rPr>
        <w:t xml:space="preserve">tanks in </w:t>
      </w:r>
      <w:r w:rsidR="00FB6942">
        <w:rPr>
          <w:lang w:val="en-US"/>
        </w:rPr>
        <w:t>RID/ADR for portable tanks for inland transpo</w:t>
      </w:r>
      <w:bookmarkStart w:id="0" w:name="_GoBack"/>
      <w:bookmarkEnd w:id="0"/>
      <w:r w:rsidR="00FB6942">
        <w:rPr>
          <w:lang w:val="en-US"/>
        </w:rPr>
        <w:t>rt only.</w:t>
      </w:r>
    </w:p>
    <w:p w14:paraId="34E6AD8E" w14:textId="77777777" w:rsidR="00FB6942" w:rsidRPr="00274A7B" w:rsidRDefault="00FB6942" w:rsidP="00FB6942">
      <w:pPr>
        <w:pStyle w:val="HChG"/>
        <w:rPr>
          <w:lang w:val="en-US"/>
        </w:rPr>
      </w:pPr>
      <w:r>
        <w:rPr>
          <w:lang w:val="en-US"/>
        </w:rPr>
        <w:tab/>
      </w:r>
      <w:r>
        <w:rPr>
          <w:lang w:val="en-US"/>
        </w:rPr>
        <w:tab/>
      </w:r>
      <w:r w:rsidRPr="00274A7B">
        <w:rPr>
          <w:lang w:val="en-US"/>
        </w:rPr>
        <w:t>Request</w:t>
      </w:r>
    </w:p>
    <w:p w14:paraId="109CF8EE" w14:textId="06277083" w:rsidR="00FB6942" w:rsidRPr="00274A7B" w:rsidRDefault="00FB6942" w:rsidP="00CF19B3">
      <w:pPr>
        <w:pStyle w:val="SingleTxtG"/>
        <w:rPr>
          <w:lang w:val="en-US"/>
        </w:rPr>
      </w:pPr>
      <w:r>
        <w:rPr>
          <w:lang w:val="en-US"/>
        </w:rPr>
        <w:t>5</w:t>
      </w:r>
      <w:r w:rsidRPr="00274A7B">
        <w:rPr>
          <w:lang w:val="en-US"/>
        </w:rPr>
        <w:t>.</w:t>
      </w:r>
      <w:r w:rsidRPr="00274A7B">
        <w:rPr>
          <w:lang w:val="en-US"/>
        </w:rPr>
        <w:tab/>
        <w:t xml:space="preserve">The </w:t>
      </w:r>
      <w:r w:rsidR="00D453AC">
        <w:rPr>
          <w:lang w:val="en-US"/>
        </w:rPr>
        <w:t xml:space="preserve">Netherlands </w:t>
      </w:r>
      <w:r w:rsidRPr="00274A7B">
        <w:rPr>
          <w:lang w:val="en-US"/>
        </w:rPr>
        <w:t xml:space="preserve">is interested to hear the opinions of the other delegations and invites the Joint Meeting to </w:t>
      </w:r>
      <w:r w:rsidR="00BE79A9">
        <w:rPr>
          <w:lang w:val="en-US"/>
        </w:rPr>
        <w:t>indicate how to proceed with this issue.</w:t>
      </w:r>
      <w:r w:rsidRPr="00274A7B">
        <w:rPr>
          <w:lang w:val="en-US"/>
        </w:rPr>
        <w:t xml:space="preserve"> If desired, the Dutch delegation is willing to table a working document on this subject for the </w:t>
      </w:r>
      <w:r w:rsidR="00BE79A9">
        <w:rPr>
          <w:lang w:val="en-US"/>
        </w:rPr>
        <w:t xml:space="preserve">next </w:t>
      </w:r>
      <w:r w:rsidRPr="00274A7B">
        <w:rPr>
          <w:lang w:val="en-US"/>
        </w:rPr>
        <w:t>session of the Joint Meeting.</w:t>
      </w:r>
      <w:r w:rsidR="00BE79A9">
        <w:rPr>
          <w:lang w:val="en-US"/>
        </w:rPr>
        <w:t xml:space="preserve"> </w:t>
      </w:r>
    </w:p>
    <w:p w14:paraId="20CA5FA5" w14:textId="659A4C42" w:rsidR="00FB6942" w:rsidRPr="00CF19B3" w:rsidRDefault="00CF19B3" w:rsidP="00CF19B3">
      <w:pPr>
        <w:pStyle w:val="HChG"/>
        <w:rPr>
          <w:lang w:val="en-GB"/>
        </w:rPr>
      </w:pPr>
      <w:r w:rsidRPr="0049641F">
        <w:rPr>
          <w:lang w:val="en-GB"/>
        </w:rPr>
        <w:tab/>
      </w:r>
      <w:r w:rsidRPr="0049641F">
        <w:rPr>
          <w:lang w:val="en-GB"/>
        </w:rPr>
        <w:tab/>
      </w:r>
      <w:r w:rsidR="00FB6942" w:rsidRPr="00CF19B3">
        <w:rPr>
          <w:lang w:val="en-GB"/>
        </w:rPr>
        <w:t>Justification</w:t>
      </w:r>
    </w:p>
    <w:p w14:paraId="10D0A92E" w14:textId="77777777" w:rsidR="00FB6942" w:rsidRDefault="00FB6942" w:rsidP="00FB6942">
      <w:pPr>
        <w:ind w:left="1134" w:right="707"/>
        <w:jc w:val="both"/>
        <w:rPr>
          <w:lang w:val="en-US"/>
        </w:rPr>
      </w:pPr>
      <w:r>
        <w:rPr>
          <w:lang w:val="en-US"/>
        </w:rPr>
        <w:t>6.</w:t>
      </w:r>
      <w:r>
        <w:rPr>
          <w:lang w:val="en-US"/>
        </w:rPr>
        <w:tab/>
        <w:t xml:space="preserve">There is a different approach for bottom openings for portable tanks than for tank-containers </w:t>
      </w:r>
      <w:proofErr w:type="gramStart"/>
      <w:r>
        <w:rPr>
          <w:lang w:val="en-US"/>
        </w:rPr>
        <w:t>in particular when</w:t>
      </w:r>
      <w:proofErr w:type="gramEnd"/>
      <w:r>
        <w:rPr>
          <w:lang w:val="en-US"/>
        </w:rPr>
        <w:t xml:space="preserve"> mildly corrosive substances are transported in these tanks. In the “Guiding principles for the development of the UN Model Regulations” it is stated that </w:t>
      </w:r>
      <w:proofErr w:type="gramStart"/>
      <w:r>
        <w:rPr>
          <w:lang w:val="en-US"/>
        </w:rPr>
        <w:t>“..</w:t>
      </w:r>
      <w:proofErr w:type="gramEnd"/>
      <w:r>
        <w:rPr>
          <w:lang w:val="en-US"/>
        </w:rPr>
        <w:t>bottom openings may not be appropriate for substances corrosive to ship structures.” As leaking substance on road or rail have a different effect this may explain the difference in approach.</w:t>
      </w:r>
    </w:p>
    <w:p w14:paraId="32EE5A01" w14:textId="743D6C54" w:rsidR="00FB6942" w:rsidRDefault="00FB6942" w:rsidP="00CF19B3">
      <w:pPr>
        <w:ind w:left="1134" w:right="707"/>
        <w:jc w:val="both"/>
        <w:rPr>
          <w:lang w:val="fr-FR"/>
        </w:rPr>
      </w:pPr>
      <w:r w:rsidRPr="00155B31">
        <w:rPr>
          <w:lang w:val="fr-FR"/>
        </w:rPr>
        <w:t>(</w:t>
      </w:r>
      <w:hyperlink r:id="rId8" w:history="1">
        <w:r w:rsidR="00A856B7" w:rsidRPr="001E21EE">
          <w:rPr>
            <w:rStyle w:val="Hyperlink"/>
            <w:lang w:val="fr-FR"/>
          </w:rPr>
          <w:t>https://www.unece.org/fileadmin/DAM/trans/danger/publi/unrec/GuidingPrinciples/Guiding_Principles_Rev19.pdf</w:t>
        </w:r>
      </w:hyperlink>
      <w:r w:rsidR="00A856B7">
        <w:rPr>
          <w:lang w:val="fr-FR"/>
        </w:rPr>
        <w:t xml:space="preserve">, </w:t>
      </w:r>
      <w:r w:rsidR="00A856B7" w:rsidRPr="00155B31">
        <w:rPr>
          <w:lang w:val="fr-FR"/>
        </w:rPr>
        <w:t xml:space="preserve">page 26, 4.3 second </w:t>
      </w:r>
      <w:proofErr w:type="spellStart"/>
      <w:r w:rsidR="00A856B7" w:rsidRPr="00155B31">
        <w:rPr>
          <w:lang w:val="fr-FR"/>
        </w:rPr>
        <w:t>paragraph</w:t>
      </w:r>
      <w:proofErr w:type="spellEnd"/>
      <w:r w:rsidR="00A856B7" w:rsidRPr="00155B31">
        <w:rPr>
          <w:lang w:val="fr-FR"/>
        </w:rPr>
        <w:t>).</w:t>
      </w:r>
    </w:p>
    <w:p w14:paraId="6BD2899E" w14:textId="77777777" w:rsidR="008108F5" w:rsidRPr="000D0FE9" w:rsidRDefault="008108F5" w:rsidP="008108F5">
      <w:pPr>
        <w:jc w:val="center"/>
      </w:pPr>
      <w:r w:rsidRPr="000D0FE9">
        <w:t>_________</w:t>
      </w:r>
    </w:p>
    <w:p w14:paraId="7371BFC2" w14:textId="77777777" w:rsidR="008108F5" w:rsidRDefault="008108F5" w:rsidP="00CF19B3">
      <w:pPr>
        <w:ind w:left="1134" w:right="707"/>
        <w:jc w:val="both"/>
        <w:rPr>
          <w:lang w:val="fr-FR"/>
        </w:rPr>
      </w:pPr>
    </w:p>
    <w:sectPr w:rsidR="008108F5" w:rsidSect="003F0A52">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064C" w14:textId="77777777" w:rsidR="00D453AC" w:rsidRDefault="00D453AC"/>
  </w:endnote>
  <w:endnote w:type="continuationSeparator" w:id="0">
    <w:p w14:paraId="6547B083" w14:textId="77777777" w:rsidR="00D453AC" w:rsidRDefault="00D453AC"/>
  </w:endnote>
  <w:endnote w:type="continuationNotice" w:id="1">
    <w:p w14:paraId="0DDA84CE" w14:textId="77777777" w:rsidR="00D453AC" w:rsidRDefault="00D4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0555" w14:textId="190BE58A" w:rsidR="00D453AC" w:rsidRPr="00E762DB" w:rsidRDefault="00D453A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49641F">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184346"/>
      <w:docPartObj>
        <w:docPartGallery w:val="Page Numbers (Bottom of Page)"/>
        <w:docPartUnique/>
      </w:docPartObj>
    </w:sdtPr>
    <w:sdtEndPr>
      <w:rPr>
        <w:noProof/>
      </w:rPr>
    </w:sdtEndPr>
    <w:sdtContent>
      <w:p w14:paraId="5C96583D" w14:textId="20ECE9B9" w:rsidR="00D453AC" w:rsidRDefault="00D453AC">
        <w:pPr>
          <w:pStyle w:val="Footer"/>
        </w:pPr>
        <w:r w:rsidRPr="002D48F5">
          <w:rPr>
            <w:b/>
          </w:rPr>
          <w:fldChar w:fldCharType="begin"/>
        </w:r>
        <w:r w:rsidRPr="002D48F5">
          <w:rPr>
            <w:b/>
          </w:rPr>
          <w:instrText xml:space="preserve"> PAGE   \* MERGEFORMAT </w:instrText>
        </w:r>
        <w:r w:rsidRPr="002D48F5">
          <w:rPr>
            <w:b/>
          </w:rPr>
          <w:fldChar w:fldCharType="separate"/>
        </w:r>
        <w:r w:rsidR="00CF19B3">
          <w:rPr>
            <w:b/>
            <w:noProof/>
          </w:rPr>
          <w:t>3</w:t>
        </w:r>
        <w:r w:rsidRPr="002D48F5">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0600" w14:textId="77777777" w:rsidR="00D453AC" w:rsidRPr="000B175B" w:rsidRDefault="00D453AC" w:rsidP="000B175B">
      <w:pPr>
        <w:tabs>
          <w:tab w:val="right" w:pos="2155"/>
        </w:tabs>
        <w:spacing w:after="80"/>
        <w:ind w:left="680"/>
        <w:rPr>
          <w:u w:val="single"/>
        </w:rPr>
      </w:pPr>
      <w:r>
        <w:rPr>
          <w:u w:val="single"/>
        </w:rPr>
        <w:tab/>
      </w:r>
    </w:p>
  </w:footnote>
  <w:footnote w:type="continuationSeparator" w:id="0">
    <w:p w14:paraId="1670189C" w14:textId="77777777" w:rsidR="00D453AC" w:rsidRPr="00FC68B7" w:rsidRDefault="00D453AC" w:rsidP="00FC68B7">
      <w:pPr>
        <w:tabs>
          <w:tab w:val="left" w:pos="2155"/>
        </w:tabs>
        <w:spacing w:after="80"/>
        <w:ind w:left="680"/>
        <w:rPr>
          <w:u w:val="single"/>
        </w:rPr>
      </w:pPr>
      <w:r>
        <w:rPr>
          <w:u w:val="single"/>
        </w:rPr>
        <w:tab/>
      </w:r>
    </w:p>
  </w:footnote>
  <w:footnote w:type="continuationNotice" w:id="1">
    <w:p w14:paraId="18E0CAFD" w14:textId="77777777" w:rsidR="00D453AC" w:rsidRDefault="00D45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FA0C" w14:textId="121011EC" w:rsidR="00D453AC" w:rsidRPr="0040519E" w:rsidRDefault="00D453AC" w:rsidP="0040519E">
    <w:pPr>
      <w:pStyle w:val="Header"/>
      <w:rPr>
        <w:szCs w:val="18"/>
      </w:rPr>
    </w:pPr>
    <w:r>
      <w:rPr>
        <w:szCs w:val="18"/>
      </w:rPr>
      <w:t>INF.</w:t>
    </w:r>
    <w:r w:rsidR="00CF19B3">
      <w:rPr>
        <w:szCs w:val="18"/>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CFE6" w14:textId="59BE17CF" w:rsidR="00D453AC" w:rsidRPr="0040519E" w:rsidRDefault="00D453AC" w:rsidP="0040519E">
    <w:pPr>
      <w:pStyle w:val="Header"/>
      <w:jc w:val="right"/>
      <w:rPr>
        <w:szCs w:val="18"/>
      </w:rPr>
    </w:pPr>
    <w:r>
      <w:rPr>
        <w:szCs w:val="18"/>
      </w:rPr>
      <w:t>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BEB2BF7"/>
    <w:multiLevelType w:val="hybridMultilevel"/>
    <w:tmpl w:val="2DD832EC"/>
    <w:lvl w:ilvl="0" w:tplc="0A00F832">
      <w:start w:val="1"/>
      <w:numFmt w:val="decimal"/>
      <w:lvlText w:val="%1."/>
      <w:lvlJc w:val="left"/>
      <w:pPr>
        <w:ind w:left="1353"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EA604EC"/>
    <w:multiLevelType w:val="hybridMultilevel"/>
    <w:tmpl w:val="F42CD56E"/>
    <w:lvl w:ilvl="0" w:tplc="9EEEA368">
      <w:start w:val="11"/>
      <w:numFmt w:val="decimal"/>
      <w:lvlText w:val="%1."/>
      <w:lvlJc w:val="left"/>
      <w:pPr>
        <w:ind w:left="1353" w:hanging="360"/>
      </w:pPr>
      <w:rPr>
        <w:rFonts w:hint="default"/>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20"/>
  </w:num>
  <w:num w:numId="25">
    <w:abstractNumId w:val="12"/>
  </w:num>
  <w:num w:numId="26">
    <w:abstractNumId w:val="11"/>
  </w:num>
  <w:num w:numId="27">
    <w:abstractNumId w:val="21"/>
  </w:num>
  <w:num w:numId="28">
    <w:abstractNumId w:val="16"/>
  </w:num>
  <w:num w:numId="29">
    <w:abstractNumId w:val="19"/>
  </w:num>
  <w:num w:numId="30">
    <w:abstractNumId w:val="15"/>
  </w:num>
  <w:num w:numId="31">
    <w:abstractNumId w:val="17"/>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1FBD"/>
    <w:rsid w:val="0003432C"/>
    <w:rsid w:val="00036E48"/>
    <w:rsid w:val="00037F90"/>
    <w:rsid w:val="00044E86"/>
    <w:rsid w:val="00046B1F"/>
    <w:rsid w:val="00050F6B"/>
    <w:rsid w:val="000517F6"/>
    <w:rsid w:val="00057793"/>
    <w:rsid w:val="00057E97"/>
    <w:rsid w:val="00072972"/>
    <w:rsid w:val="00072A81"/>
    <w:rsid w:val="00072C8C"/>
    <w:rsid w:val="000733B5"/>
    <w:rsid w:val="00081815"/>
    <w:rsid w:val="00090B3F"/>
    <w:rsid w:val="00091F3B"/>
    <w:rsid w:val="000931C0"/>
    <w:rsid w:val="0009571F"/>
    <w:rsid w:val="00096262"/>
    <w:rsid w:val="00096310"/>
    <w:rsid w:val="000A3752"/>
    <w:rsid w:val="000A7267"/>
    <w:rsid w:val="000A7B24"/>
    <w:rsid w:val="000B0595"/>
    <w:rsid w:val="000B09FC"/>
    <w:rsid w:val="000B175B"/>
    <w:rsid w:val="000B3A0F"/>
    <w:rsid w:val="000B4EF7"/>
    <w:rsid w:val="000B633F"/>
    <w:rsid w:val="000C0AEF"/>
    <w:rsid w:val="000C2C03"/>
    <w:rsid w:val="000C2D2E"/>
    <w:rsid w:val="000C4D51"/>
    <w:rsid w:val="000C7F79"/>
    <w:rsid w:val="000D522E"/>
    <w:rsid w:val="000E0415"/>
    <w:rsid w:val="000F0BB0"/>
    <w:rsid w:val="001030F5"/>
    <w:rsid w:val="0010391C"/>
    <w:rsid w:val="00104CDA"/>
    <w:rsid w:val="001103AA"/>
    <w:rsid w:val="0011666B"/>
    <w:rsid w:val="001176B3"/>
    <w:rsid w:val="00122472"/>
    <w:rsid w:val="00125117"/>
    <w:rsid w:val="00141F8B"/>
    <w:rsid w:val="00145A8E"/>
    <w:rsid w:val="00155068"/>
    <w:rsid w:val="00165F3A"/>
    <w:rsid w:val="00171A2D"/>
    <w:rsid w:val="0017344C"/>
    <w:rsid w:val="00180B0D"/>
    <w:rsid w:val="00180F8C"/>
    <w:rsid w:val="001847D2"/>
    <w:rsid w:val="001968F9"/>
    <w:rsid w:val="001A47AA"/>
    <w:rsid w:val="001A57BD"/>
    <w:rsid w:val="001A6E55"/>
    <w:rsid w:val="001A7709"/>
    <w:rsid w:val="001B012A"/>
    <w:rsid w:val="001B13A5"/>
    <w:rsid w:val="001B1EA7"/>
    <w:rsid w:val="001B4B04"/>
    <w:rsid w:val="001C6663"/>
    <w:rsid w:val="001C7895"/>
    <w:rsid w:val="001D0293"/>
    <w:rsid w:val="001D0C8C"/>
    <w:rsid w:val="001D1419"/>
    <w:rsid w:val="001D26DF"/>
    <w:rsid w:val="001D3A03"/>
    <w:rsid w:val="001E0B9E"/>
    <w:rsid w:val="001E7B67"/>
    <w:rsid w:val="001F7435"/>
    <w:rsid w:val="0020040E"/>
    <w:rsid w:val="00200441"/>
    <w:rsid w:val="00202DA8"/>
    <w:rsid w:val="00203753"/>
    <w:rsid w:val="00206D3F"/>
    <w:rsid w:val="002102FF"/>
    <w:rsid w:val="0021114C"/>
    <w:rsid w:val="0021157B"/>
    <w:rsid w:val="00211E0B"/>
    <w:rsid w:val="00231368"/>
    <w:rsid w:val="0024023A"/>
    <w:rsid w:val="00240872"/>
    <w:rsid w:val="00243217"/>
    <w:rsid w:val="00252290"/>
    <w:rsid w:val="00252F75"/>
    <w:rsid w:val="0025326C"/>
    <w:rsid w:val="0026060C"/>
    <w:rsid w:val="00267F5F"/>
    <w:rsid w:val="00271426"/>
    <w:rsid w:val="00286B4D"/>
    <w:rsid w:val="002A3C85"/>
    <w:rsid w:val="002A50EA"/>
    <w:rsid w:val="002A603B"/>
    <w:rsid w:val="002C1C56"/>
    <w:rsid w:val="002C6F64"/>
    <w:rsid w:val="002D11EC"/>
    <w:rsid w:val="002D4643"/>
    <w:rsid w:val="002D48F5"/>
    <w:rsid w:val="002D4B6C"/>
    <w:rsid w:val="002E3B88"/>
    <w:rsid w:val="002F175C"/>
    <w:rsid w:val="002F1DF0"/>
    <w:rsid w:val="002F38C7"/>
    <w:rsid w:val="00302E18"/>
    <w:rsid w:val="003050A4"/>
    <w:rsid w:val="0030606F"/>
    <w:rsid w:val="00306201"/>
    <w:rsid w:val="00317376"/>
    <w:rsid w:val="003229D8"/>
    <w:rsid w:val="0032490B"/>
    <w:rsid w:val="00327869"/>
    <w:rsid w:val="00330E6F"/>
    <w:rsid w:val="003358CF"/>
    <w:rsid w:val="0034091B"/>
    <w:rsid w:val="00345184"/>
    <w:rsid w:val="00352709"/>
    <w:rsid w:val="00352859"/>
    <w:rsid w:val="0035344A"/>
    <w:rsid w:val="003571EA"/>
    <w:rsid w:val="00360437"/>
    <w:rsid w:val="00364B28"/>
    <w:rsid w:val="00371178"/>
    <w:rsid w:val="00380288"/>
    <w:rsid w:val="0038100E"/>
    <w:rsid w:val="003834A6"/>
    <w:rsid w:val="00393B48"/>
    <w:rsid w:val="00394FFC"/>
    <w:rsid w:val="003A3DDB"/>
    <w:rsid w:val="003A6810"/>
    <w:rsid w:val="003A6FB8"/>
    <w:rsid w:val="003B36D1"/>
    <w:rsid w:val="003B6DCA"/>
    <w:rsid w:val="003C2CC4"/>
    <w:rsid w:val="003C3DDB"/>
    <w:rsid w:val="003D18C0"/>
    <w:rsid w:val="003D4B23"/>
    <w:rsid w:val="003F0A52"/>
    <w:rsid w:val="003F2250"/>
    <w:rsid w:val="00401B57"/>
    <w:rsid w:val="0040519E"/>
    <w:rsid w:val="00410C89"/>
    <w:rsid w:val="004140E5"/>
    <w:rsid w:val="004154CD"/>
    <w:rsid w:val="00421B73"/>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641F"/>
    <w:rsid w:val="004975C1"/>
    <w:rsid w:val="004A12F2"/>
    <w:rsid w:val="004A28A3"/>
    <w:rsid w:val="004C2461"/>
    <w:rsid w:val="004C308E"/>
    <w:rsid w:val="004C7462"/>
    <w:rsid w:val="004C7B7B"/>
    <w:rsid w:val="004D142D"/>
    <w:rsid w:val="004D4E04"/>
    <w:rsid w:val="004D5426"/>
    <w:rsid w:val="004D59CF"/>
    <w:rsid w:val="004E0C05"/>
    <w:rsid w:val="004E77B2"/>
    <w:rsid w:val="00501E13"/>
    <w:rsid w:val="00503DEB"/>
    <w:rsid w:val="00504B2D"/>
    <w:rsid w:val="005062D4"/>
    <w:rsid w:val="00507993"/>
    <w:rsid w:val="0052136D"/>
    <w:rsid w:val="00522B58"/>
    <w:rsid w:val="00523CD7"/>
    <w:rsid w:val="0052775E"/>
    <w:rsid w:val="0053035B"/>
    <w:rsid w:val="005303E7"/>
    <w:rsid w:val="00530C5A"/>
    <w:rsid w:val="00532510"/>
    <w:rsid w:val="00537483"/>
    <w:rsid w:val="00537ACC"/>
    <w:rsid w:val="005420F2"/>
    <w:rsid w:val="00542968"/>
    <w:rsid w:val="00543B68"/>
    <w:rsid w:val="00546993"/>
    <w:rsid w:val="005628B6"/>
    <w:rsid w:val="00563634"/>
    <w:rsid w:val="00576A41"/>
    <w:rsid w:val="0057739F"/>
    <w:rsid w:val="0059363D"/>
    <w:rsid w:val="005A583B"/>
    <w:rsid w:val="005B3DB3"/>
    <w:rsid w:val="005B4E13"/>
    <w:rsid w:val="005C68F0"/>
    <w:rsid w:val="005D2A29"/>
    <w:rsid w:val="005E0266"/>
    <w:rsid w:val="005E53C3"/>
    <w:rsid w:val="005E6A77"/>
    <w:rsid w:val="005F4093"/>
    <w:rsid w:val="005F7399"/>
    <w:rsid w:val="005F7B75"/>
    <w:rsid w:val="006001EE"/>
    <w:rsid w:val="0060219C"/>
    <w:rsid w:val="006048FE"/>
    <w:rsid w:val="00605042"/>
    <w:rsid w:val="006070AB"/>
    <w:rsid w:val="00611FC4"/>
    <w:rsid w:val="006176FB"/>
    <w:rsid w:val="006219F0"/>
    <w:rsid w:val="00627201"/>
    <w:rsid w:val="00630BAF"/>
    <w:rsid w:val="00640B26"/>
    <w:rsid w:val="00652D0A"/>
    <w:rsid w:val="00657395"/>
    <w:rsid w:val="006623D5"/>
    <w:rsid w:val="00662BB6"/>
    <w:rsid w:val="00667F8F"/>
    <w:rsid w:val="0067273D"/>
    <w:rsid w:val="006741F1"/>
    <w:rsid w:val="0068303A"/>
    <w:rsid w:val="00684C21"/>
    <w:rsid w:val="00690828"/>
    <w:rsid w:val="006A2530"/>
    <w:rsid w:val="006B1C12"/>
    <w:rsid w:val="006B2F0C"/>
    <w:rsid w:val="006C30F2"/>
    <w:rsid w:val="006C3589"/>
    <w:rsid w:val="006D37AF"/>
    <w:rsid w:val="006D51D0"/>
    <w:rsid w:val="006E5117"/>
    <w:rsid w:val="006E564B"/>
    <w:rsid w:val="006E7191"/>
    <w:rsid w:val="006F6475"/>
    <w:rsid w:val="00701A34"/>
    <w:rsid w:val="00703577"/>
    <w:rsid w:val="00705894"/>
    <w:rsid w:val="00707CB5"/>
    <w:rsid w:val="0072421A"/>
    <w:rsid w:val="00725082"/>
    <w:rsid w:val="0072632A"/>
    <w:rsid w:val="007327D5"/>
    <w:rsid w:val="00740AAD"/>
    <w:rsid w:val="007416DF"/>
    <w:rsid w:val="00746D27"/>
    <w:rsid w:val="007500F3"/>
    <w:rsid w:val="007611CF"/>
    <w:rsid w:val="00761787"/>
    <w:rsid w:val="00762477"/>
    <w:rsid w:val="007629C8"/>
    <w:rsid w:val="00764668"/>
    <w:rsid w:val="00766E4F"/>
    <w:rsid w:val="0077047D"/>
    <w:rsid w:val="00774834"/>
    <w:rsid w:val="00774AF7"/>
    <w:rsid w:val="00776430"/>
    <w:rsid w:val="00793F25"/>
    <w:rsid w:val="00797575"/>
    <w:rsid w:val="007B27F1"/>
    <w:rsid w:val="007B6BA5"/>
    <w:rsid w:val="007C3390"/>
    <w:rsid w:val="007C4F4B"/>
    <w:rsid w:val="007C66CD"/>
    <w:rsid w:val="007D306F"/>
    <w:rsid w:val="007D7A0D"/>
    <w:rsid w:val="007E01E9"/>
    <w:rsid w:val="007E19C9"/>
    <w:rsid w:val="007E63F3"/>
    <w:rsid w:val="007F1F2D"/>
    <w:rsid w:val="007F6611"/>
    <w:rsid w:val="007F7106"/>
    <w:rsid w:val="007F7A7F"/>
    <w:rsid w:val="007F7A86"/>
    <w:rsid w:val="0080046E"/>
    <w:rsid w:val="008005E9"/>
    <w:rsid w:val="008108F5"/>
    <w:rsid w:val="008116D7"/>
    <w:rsid w:val="00811920"/>
    <w:rsid w:val="00815AD0"/>
    <w:rsid w:val="008242D7"/>
    <w:rsid w:val="008257B1"/>
    <w:rsid w:val="00826C3D"/>
    <w:rsid w:val="008335F7"/>
    <w:rsid w:val="00835C91"/>
    <w:rsid w:val="00840E85"/>
    <w:rsid w:val="00843767"/>
    <w:rsid w:val="008465D9"/>
    <w:rsid w:val="00854501"/>
    <w:rsid w:val="00855E73"/>
    <w:rsid w:val="00864939"/>
    <w:rsid w:val="008679D9"/>
    <w:rsid w:val="00871389"/>
    <w:rsid w:val="00880848"/>
    <w:rsid w:val="00883999"/>
    <w:rsid w:val="008846AF"/>
    <w:rsid w:val="00887652"/>
    <w:rsid w:val="008878DE"/>
    <w:rsid w:val="0089179C"/>
    <w:rsid w:val="0089185A"/>
    <w:rsid w:val="008933C9"/>
    <w:rsid w:val="00895022"/>
    <w:rsid w:val="008979B1"/>
    <w:rsid w:val="008A0FDA"/>
    <w:rsid w:val="008A24D4"/>
    <w:rsid w:val="008A253A"/>
    <w:rsid w:val="008A6B25"/>
    <w:rsid w:val="008A6C4F"/>
    <w:rsid w:val="008A7B69"/>
    <w:rsid w:val="008B2335"/>
    <w:rsid w:val="008C10DD"/>
    <w:rsid w:val="008C310A"/>
    <w:rsid w:val="008C7DAF"/>
    <w:rsid w:val="008E0678"/>
    <w:rsid w:val="008E0DAA"/>
    <w:rsid w:val="008E4D3A"/>
    <w:rsid w:val="008E64A1"/>
    <w:rsid w:val="0090461E"/>
    <w:rsid w:val="00904F11"/>
    <w:rsid w:val="00912FC9"/>
    <w:rsid w:val="00914CB9"/>
    <w:rsid w:val="009223CA"/>
    <w:rsid w:val="00924790"/>
    <w:rsid w:val="009258F7"/>
    <w:rsid w:val="00926152"/>
    <w:rsid w:val="00927083"/>
    <w:rsid w:val="00936AE1"/>
    <w:rsid w:val="00940F93"/>
    <w:rsid w:val="009422A5"/>
    <w:rsid w:val="0094558F"/>
    <w:rsid w:val="0095387D"/>
    <w:rsid w:val="0095508D"/>
    <w:rsid w:val="009606A0"/>
    <w:rsid w:val="00961690"/>
    <w:rsid w:val="009739ED"/>
    <w:rsid w:val="009760F3"/>
    <w:rsid w:val="0098203C"/>
    <w:rsid w:val="0098348F"/>
    <w:rsid w:val="009945EC"/>
    <w:rsid w:val="00995CC5"/>
    <w:rsid w:val="009A0995"/>
    <w:rsid w:val="009A0E8D"/>
    <w:rsid w:val="009A1137"/>
    <w:rsid w:val="009B1518"/>
    <w:rsid w:val="009B26E7"/>
    <w:rsid w:val="009C454F"/>
    <w:rsid w:val="009C6E14"/>
    <w:rsid w:val="009D24F2"/>
    <w:rsid w:val="009D2A5B"/>
    <w:rsid w:val="009E1D8E"/>
    <w:rsid w:val="009E42CA"/>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856B7"/>
    <w:rsid w:val="00A94361"/>
    <w:rsid w:val="00AA192C"/>
    <w:rsid w:val="00AA293C"/>
    <w:rsid w:val="00AA66C0"/>
    <w:rsid w:val="00AD44C2"/>
    <w:rsid w:val="00AD48FA"/>
    <w:rsid w:val="00AD6496"/>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8497D"/>
    <w:rsid w:val="00B867BB"/>
    <w:rsid w:val="00B91BF5"/>
    <w:rsid w:val="00BA2681"/>
    <w:rsid w:val="00BA639E"/>
    <w:rsid w:val="00BB20C7"/>
    <w:rsid w:val="00BB45BD"/>
    <w:rsid w:val="00BB7CD1"/>
    <w:rsid w:val="00BC3FA0"/>
    <w:rsid w:val="00BC74E9"/>
    <w:rsid w:val="00BE48E6"/>
    <w:rsid w:val="00BE79A9"/>
    <w:rsid w:val="00BF15A1"/>
    <w:rsid w:val="00BF68A8"/>
    <w:rsid w:val="00C10FE6"/>
    <w:rsid w:val="00C11A03"/>
    <w:rsid w:val="00C1428F"/>
    <w:rsid w:val="00C22C0C"/>
    <w:rsid w:val="00C249A2"/>
    <w:rsid w:val="00C414BD"/>
    <w:rsid w:val="00C43251"/>
    <w:rsid w:val="00C44E1C"/>
    <w:rsid w:val="00C4527F"/>
    <w:rsid w:val="00C463DD"/>
    <w:rsid w:val="00C467C9"/>
    <w:rsid w:val="00C4724C"/>
    <w:rsid w:val="00C539B6"/>
    <w:rsid w:val="00C629A0"/>
    <w:rsid w:val="00C64629"/>
    <w:rsid w:val="00C73056"/>
    <w:rsid w:val="00C745C3"/>
    <w:rsid w:val="00CA6B02"/>
    <w:rsid w:val="00CB3E03"/>
    <w:rsid w:val="00CB792C"/>
    <w:rsid w:val="00CC2832"/>
    <w:rsid w:val="00CC589C"/>
    <w:rsid w:val="00CD57D2"/>
    <w:rsid w:val="00CE4A8F"/>
    <w:rsid w:val="00CF19B3"/>
    <w:rsid w:val="00CF4673"/>
    <w:rsid w:val="00D00610"/>
    <w:rsid w:val="00D06C68"/>
    <w:rsid w:val="00D139AC"/>
    <w:rsid w:val="00D15CD9"/>
    <w:rsid w:val="00D2031B"/>
    <w:rsid w:val="00D25FE2"/>
    <w:rsid w:val="00D318E2"/>
    <w:rsid w:val="00D43252"/>
    <w:rsid w:val="00D451AF"/>
    <w:rsid w:val="00D453AC"/>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97BBB"/>
    <w:rsid w:val="00DA282A"/>
    <w:rsid w:val="00DA3C1C"/>
    <w:rsid w:val="00DB46A4"/>
    <w:rsid w:val="00DB6CA5"/>
    <w:rsid w:val="00DC1580"/>
    <w:rsid w:val="00DC1BB2"/>
    <w:rsid w:val="00DD1453"/>
    <w:rsid w:val="00DD630E"/>
    <w:rsid w:val="00E0232A"/>
    <w:rsid w:val="00E046DF"/>
    <w:rsid w:val="00E04B58"/>
    <w:rsid w:val="00E105CE"/>
    <w:rsid w:val="00E13B15"/>
    <w:rsid w:val="00E15557"/>
    <w:rsid w:val="00E27346"/>
    <w:rsid w:val="00E277A3"/>
    <w:rsid w:val="00E471D5"/>
    <w:rsid w:val="00E62184"/>
    <w:rsid w:val="00E64224"/>
    <w:rsid w:val="00E71BC8"/>
    <w:rsid w:val="00E7260F"/>
    <w:rsid w:val="00E73F5D"/>
    <w:rsid w:val="00E762DB"/>
    <w:rsid w:val="00E7636C"/>
    <w:rsid w:val="00E77E4E"/>
    <w:rsid w:val="00E8291D"/>
    <w:rsid w:val="00E86622"/>
    <w:rsid w:val="00E868EE"/>
    <w:rsid w:val="00E90287"/>
    <w:rsid w:val="00E93F20"/>
    <w:rsid w:val="00E9492A"/>
    <w:rsid w:val="00E96630"/>
    <w:rsid w:val="00EA16B6"/>
    <w:rsid w:val="00EA6E41"/>
    <w:rsid w:val="00EA7989"/>
    <w:rsid w:val="00EB5944"/>
    <w:rsid w:val="00EC106A"/>
    <w:rsid w:val="00EC32A0"/>
    <w:rsid w:val="00ED7A2A"/>
    <w:rsid w:val="00EE2BED"/>
    <w:rsid w:val="00EE6B3A"/>
    <w:rsid w:val="00EF0399"/>
    <w:rsid w:val="00EF1D7F"/>
    <w:rsid w:val="00F00EAB"/>
    <w:rsid w:val="00F01744"/>
    <w:rsid w:val="00F227A6"/>
    <w:rsid w:val="00F24FB3"/>
    <w:rsid w:val="00F27D2C"/>
    <w:rsid w:val="00F31E5F"/>
    <w:rsid w:val="00F35507"/>
    <w:rsid w:val="00F36F0D"/>
    <w:rsid w:val="00F414C3"/>
    <w:rsid w:val="00F4272A"/>
    <w:rsid w:val="00F4495E"/>
    <w:rsid w:val="00F6100A"/>
    <w:rsid w:val="00F62A7B"/>
    <w:rsid w:val="00F66565"/>
    <w:rsid w:val="00F7355E"/>
    <w:rsid w:val="00F93781"/>
    <w:rsid w:val="00F93BFA"/>
    <w:rsid w:val="00FA3960"/>
    <w:rsid w:val="00FB0A9F"/>
    <w:rsid w:val="00FB613B"/>
    <w:rsid w:val="00FB6942"/>
    <w:rsid w:val="00FC3C87"/>
    <w:rsid w:val="00FC68B7"/>
    <w:rsid w:val="00FD00C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F4EE5EA"/>
  <w15:docId w15:val="{EEF01273-654C-4640-9812-88A57E34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rsid w:val="007B6BA5"/>
    <w:rPr>
      <w:rFonts w:ascii="Times New Roman" w:hAnsi="Times New Roman" w:cs="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5_GR Char"/>
    <w:basedOn w:val="DefaultParagraphFont"/>
    <w:link w:val="FootnoteText"/>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qFormat/>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paragraph" w:styleId="NoSpacing">
    <w:name w:val="No Spacing"/>
    <w:uiPriority w:val="1"/>
    <w:qFormat/>
    <w:rsid w:val="00855E73"/>
    <w:pPr>
      <w:suppressAutoHyphens/>
    </w:pPr>
    <w:rPr>
      <w:sz w:val="20"/>
      <w:szCs w:val="20"/>
      <w:lang w:val="en-GB" w:eastAsia="en-US"/>
    </w:rPr>
  </w:style>
  <w:style w:type="character" w:customStyle="1" w:styleId="H23GChar">
    <w:name w:val="_ H_2/3_G Char"/>
    <w:link w:val="H23G"/>
    <w:rsid w:val="002F38C7"/>
    <w:rPr>
      <w:b/>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anger/publi/unrec/GuidingPrinciples/Guiding_Principles_Rev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A0EA-7D1B-4E1E-B92E-291A4CC1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3380</Characters>
  <Application>Microsoft Office Word</Application>
  <DocSecurity>0</DocSecurity>
  <Lines>73</Lines>
  <Paragraphs>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2019-03-01T07:57:00Z</cp:lastPrinted>
  <dcterms:created xsi:type="dcterms:W3CDTF">2019-03-01T08:00:00Z</dcterms:created>
  <dcterms:modified xsi:type="dcterms:W3CDTF">2019-03-01T13:26:00Z</dcterms:modified>
</cp:coreProperties>
</file>