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FE52FFD" w14:textId="77777777" w:rsidTr="00C97039">
        <w:trPr>
          <w:trHeight w:hRule="exact" w:val="851"/>
        </w:trPr>
        <w:tc>
          <w:tcPr>
            <w:tcW w:w="1276" w:type="dxa"/>
            <w:tcBorders>
              <w:bottom w:val="single" w:sz="4" w:space="0" w:color="auto"/>
            </w:tcBorders>
          </w:tcPr>
          <w:p w14:paraId="2623C738" w14:textId="77777777" w:rsidR="00F35BAF" w:rsidRPr="00DB58B5" w:rsidRDefault="00F35BAF" w:rsidP="00595DEA">
            <w:bookmarkStart w:id="0" w:name="_GoBack"/>
            <w:bookmarkEnd w:id="0"/>
          </w:p>
        </w:tc>
        <w:tc>
          <w:tcPr>
            <w:tcW w:w="2268" w:type="dxa"/>
            <w:tcBorders>
              <w:bottom w:val="single" w:sz="4" w:space="0" w:color="auto"/>
            </w:tcBorders>
            <w:vAlign w:val="bottom"/>
          </w:tcPr>
          <w:p w14:paraId="459E7F7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8BF28E" w14:textId="77777777" w:rsidR="00F35BAF" w:rsidRPr="00DB58B5" w:rsidRDefault="00595DEA" w:rsidP="00595DEA">
            <w:pPr>
              <w:jc w:val="right"/>
            </w:pPr>
            <w:r w:rsidRPr="00595DEA">
              <w:rPr>
                <w:sz w:val="40"/>
              </w:rPr>
              <w:t>ECE</w:t>
            </w:r>
            <w:r>
              <w:t>/TRANS/WP.15/244</w:t>
            </w:r>
          </w:p>
        </w:tc>
      </w:tr>
      <w:tr w:rsidR="00F35BAF" w:rsidRPr="00DB58B5" w14:paraId="52B722FA" w14:textId="77777777" w:rsidTr="00C97039">
        <w:trPr>
          <w:trHeight w:hRule="exact" w:val="2835"/>
        </w:trPr>
        <w:tc>
          <w:tcPr>
            <w:tcW w:w="1276" w:type="dxa"/>
            <w:tcBorders>
              <w:top w:val="single" w:sz="4" w:space="0" w:color="auto"/>
              <w:bottom w:val="single" w:sz="12" w:space="0" w:color="auto"/>
            </w:tcBorders>
          </w:tcPr>
          <w:p w14:paraId="266EE73C" w14:textId="77777777" w:rsidR="00F35BAF" w:rsidRPr="00DB58B5" w:rsidRDefault="00F35BAF" w:rsidP="00C97039">
            <w:pPr>
              <w:spacing w:before="120"/>
              <w:jc w:val="center"/>
            </w:pPr>
            <w:r>
              <w:rPr>
                <w:noProof/>
                <w:lang w:eastAsia="fr-CH"/>
              </w:rPr>
              <w:drawing>
                <wp:inline distT="0" distB="0" distL="0" distR="0" wp14:anchorId="71C8E168" wp14:editId="427C40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A9B8F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29E993" w14:textId="77777777" w:rsidR="00F35BAF" w:rsidRDefault="00595DEA" w:rsidP="00C97039">
            <w:pPr>
              <w:spacing w:before="240"/>
            </w:pPr>
            <w:r>
              <w:t>Distr. générale</w:t>
            </w:r>
          </w:p>
          <w:p w14:paraId="03F259F6" w14:textId="77777777" w:rsidR="00595DEA" w:rsidRDefault="00595DEA" w:rsidP="00595DEA">
            <w:pPr>
              <w:spacing w:line="240" w:lineRule="exact"/>
            </w:pPr>
            <w:r>
              <w:t>12 décembre 2018</w:t>
            </w:r>
          </w:p>
          <w:p w14:paraId="0371F6A2" w14:textId="77777777" w:rsidR="00595DEA" w:rsidRDefault="00595DEA" w:rsidP="00595DEA">
            <w:pPr>
              <w:spacing w:line="240" w:lineRule="exact"/>
            </w:pPr>
            <w:r>
              <w:t>Français</w:t>
            </w:r>
          </w:p>
          <w:p w14:paraId="460F442C" w14:textId="77777777" w:rsidR="00595DEA" w:rsidRPr="00DB58B5" w:rsidRDefault="00595DEA" w:rsidP="00595DEA">
            <w:pPr>
              <w:spacing w:line="240" w:lineRule="exact"/>
            </w:pPr>
            <w:r>
              <w:t>Original : anglais</w:t>
            </w:r>
          </w:p>
        </w:tc>
      </w:tr>
    </w:tbl>
    <w:p w14:paraId="56C5A63D" w14:textId="77777777" w:rsidR="007F20FA" w:rsidRPr="000312C0" w:rsidRDefault="007F20FA" w:rsidP="007F20FA">
      <w:pPr>
        <w:spacing w:before="120"/>
        <w:rPr>
          <w:b/>
          <w:sz w:val="28"/>
          <w:szCs w:val="28"/>
        </w:rPr>
      </w:pPr>
      <w:r w:rsidRPr="000312C0">
        <w:rPr>
          <w:b/>
          <w:sz w:val="28"/>
          <w:szCs w:val="28"/>
        </w:rPr>
        <w:t>Commission économique pour l’Europe</w:t>
      </w:r>
    </w:p>
    <w:p w14:paraId="77874EB2" w14:textId="77777777" w:rsidR="007F20FA" w:rsidRDefault="007F20FA" w:rsidP="007F20FA">
      <w:pPr>
        <w:spacing w:before="120"/>
        <w:rPr>
          <w:sz w:val="28"/>
          <w:szCs w:val="28"/>
        </w:rPr>
      </w:pPr>
      <w:r w:rsidRPr="00685843">
        <w:rPr>
          <w:sz w:val="28"/>
          <w:szCs w:val="28"/>
        </w:rPr>
        <w:t>Comité des transports intérieurs</w:t>
      </w:r>
    </w:p>
    <w:p w14:paraId="1CE2E905" w14:textId="77777777" w:rsidR="00595DEA" w:rsidRPr="009E01B8" w:rsidRDefault="00595DEA" w:rsidP="00E85C74">
      <w:pPr>
        <w:spacing w:before="120"/>
        <w:rPr>
          <w:b/>
          <w:sz w:val="24"/>
          <w:szCs w:val="24"/>
        </w:rPr>
      </w:pPr>
      <w:r w:rsidRPr="009E01B8">
        <w:rPr>
          <w:b/>
          <w:sz w:val="24"/>
          <w:szCs w:val="24"/>
        </w:rPr>
        <w:t>Groupe de travail des transports de marchandises dangereuses</w:t>
      </w:r>
    </w:p>
    <w:p w14:paraId="48121D16" w14:textId="77777777" w:rsidR="00595DEA" w:rsidRPr="00992778" w:rsidRDefault="00595DEA" w:rsidP="00E85C74">
      <w:pPr>
        <w:spacing w:before="120"/>
        <w:rPr>
          <w:b/>
        </w:rPr>
      </w:pPr>
      <w:r>
        <w:rPr>
          <w:b/>
        </w:rPr>
        <w:t>105</w:t>
      </w:r>
      <w:r w:rsidRPr="00595DEA">
        <w:rPr>
          <w:b/>
          <w:vertAlign w:val="superscript"/>
        </w:rPr>
        <w:t>e</w:t>
      </w:r>
      <w:r>
        <w:rPr>
          <w:b/>
        </w:rPr>
        <w:t xml:space="preserve"> </w:t>
      </w:r>
      <w:r w:rsidRPr="00992778">
        <w:rPr>
          <w:b/>
        </w:rPr>
        <w:t>session</w:t>
      </w:r>
    </w:p>
    <w:p w14:paraId="79F2BEA3" w14:textId="77777777" w:rsidR="00595DEA" w:rsidRDefault="00595DEA" w:rsidP="00E85C74">
      <w:pPr>
        <w:rPr>
          <w:lang w:val="fr-FR"/>
        </w:rPr>
      </w:pPr>
      <w:r>
        <w:t xml:space="preserve">Genève, </w:t>
      </w:r>
      <w:r>
        <w:rPr>
          <w:lang w:val="fr-FR"/>
        </w:rPr>
        <w:t>6-9 novembre 2018</w:t>
      </w:r>
    </w:p>
    <w:p w14:paraId="708877C3" w14:textId="77777777" w:rsidR="00595DEA" w:rsidRPr="00D725A0" w:rsidRDefault="00595DEA" w:rsidP="00595DEA">
      <w:pPr>
        <w:pStyle w:val="HChG"/>
      </w:pPr>
      <w:r>
        <w:rPr>
          <w:lang w:val="fr-FR"/>
        </w:rPr>
        <w:tab/>
      </w:r>
      <w:r>
        <w:rPr>
          <w:lang w:val="fr-FR"/>
        </w:rPr>
        <w:tab/>
        <w:t>Rapport du Groupe de travail sur sa 105</w:t>
      </w:r>
      <w:r w:rsidRPr="00942B97">
        <w:rPr>
          <w:vertAlign w:val="superscript"/>
          <w:lang w:val="fr-FR"/>
        </w:rPr>
        <w:t>e</w:t>
      </w:r>
      <w:r>
        <w:rPr>
          <w:lang w:val="fr-FR"/>
        </w:rPr>
        <w:t xml:space="preserve"> session</w:t>
      </w:r>
      <w:bookmarkStart w:id="1" w:name="_Toc499903628"/>
      <w:bookmarkEnd w:id="1"/>
    </w:p>
    <w:p w14:paraId="3E675A1E" w14:textId="77777777" w:rsidR="00595DEA" w:rsidRDefault="00595DEA" w:rsidP="00595DEA">
      <w:pPr>
        <w:pStyle w:val="H56G"/>
        <w:rPr>
          <w:lang w:val="fr-FR"/>
        </w:rPr>
      </w:pPr>
      <w:r>
        <w:rPr>
          <w:lang w:val="fr-FR"/>
        </w:rPr>
        <w:tab/>
      </w:r>
      <w:r>
        <w:rPr>
          <w:lang w:val="fr-FR"/>
        </w:rPr>
        <w:tab/>
        <w:t>tenue à Genève du 6 au 9 novembre 2018</w:t>
      </w:r>
    </w:p>
    <w:p w14:paraId="1DF9087E" w14:textId="77777777" w:rsidR="00595DEA" w:rsidRPr="00595DEA" w:rsidRDefault="00595DEA" w:rsidP="00595DEA">
      <w:pPr>
        <w:spacing w:after="120"/>
        <w:rPr>
          <w:sz w:val="28"/>
          <w:lang w:val="fr-FR"/>
        </w:rPr>
      </w:pPr>
      <w:r w:rsidRPr="00595DEA">
        <w:rPr>
          <w:sz w:val="28"/>
          <w:lang w:val="fr-FR"/>
        </w:rPr>
        <w:t>Table des matières</w:t>
      </w:r>
    </w:p>
    <w:p w14:paraId="75C78A35" w14:textId="77777777" w:rsidR="00595DEA" w:rsidRPr="00595DEA" w:rsidRDefault="00595DEA" w:rsidP="00595DEA">
      <w:pPr>
        <w:tabs>
          <w:tab w:val="right" w:pos="8929"/>
          <w:tab w:val="right" w:pos="9638"/>
        </w:tabs>
        <w:spacing w:after="120"/>
        <w:ind w:left="283"/>
        <w:rPr>
          <w:i/>
          <w:sz w:val="18"/>
        </w:rPr>
      </w:pPr>
      <w:r w:rsidRPr="00595DEA">
        <w:rPr>
          <w:i/>
          <w:sz w:val="18"/>
        </w:rPr>
        <w:tab/>
        <w:t>Paragraphes</w:t>
      </w:r>
      <w:r w:rsidRPr="00595DEA">
        <w:rPr>
          <w:i/>
          <w:sz w:val="18"/>
        </w:rPr>
        <w:tab/>
        <w:t>Page</w:t>
      </w:r>
    </w:p>
    <w:p w14:paraId="030E1B8D" w14:textId="77777777" w:rsidR="00192446" w:rsidRDefault="00192446" w:rsidP="00192446">
      <w:pPr>
        <w:tabs>
          <w:tab w:val="right" w:pos="850"/>
          <w:tab w:val="right" w:leader="dot" w:pos="7654"/>
          <w:tab w:val="right" w:pos="8929"/>
          <w:tab w:val="right" w:pos="9638"/>
        </w:tabs>
        <w:spacing w:after="120"/>
        <w:ind w:left="1134" w:hanging="1134"/>
      </w:pPr>
      <w:r>
        <w:tab/>
        <w:t>I.</w:t>
      </w:r>
      <w:r>
        <w:tab/>
      </w:r>
      <w:r w:rsidRPr="00047D1A">
        <w:rPr>
          <w:lang w:val="fr-FR"/>
        </w:rPr>
        <w:t>Participation</w:t>
      </w:r>
      <w:r>
        <w:tab/>
      </w:r>
      <w:r>
        <w:tab/>
        <w:t>1−6</w:t>
      </w:r>
      <w:r>
        <w:tab/>
        <w:t>4</w:t>
      </w:r>
    </w:p>
    <w:p w14:paraId="4F43B348" w14:textId="77777777" w:rsidR="00192446" w:rsidRDefault="00192446" w:rsidP="00192446">
      <w:pPr>
        <w:tabs>
          <w:tab w:val="right" w:pos="850"/>
          <w:tab w:val="right" w:leader="dot" w:pos="7654"/>
          <w:tab w:val="right" w:pos="8929"/>
          <w:tab w:val="right" w:pos="9638"/>
        </w:tabs>
        <w:spacing w:after="120"/>
        <w:ind w:left="1134" w:hanging="1134"/>
      </w:pPr>
      <w:r>
        <w:tab/>
        <w:t>II.</w:t>
      </w:r>
      <w:r>
        <w:tab/>
      </w:r>
      <w:r w:rsidRPr="00047D1A">
        <w:rPr>
          <w:lang w:val="fr-FR"/>
        </w:rPr>
        <w:t>Adoption de l’ordre du jour (point 1 de l’ordre du jour)</w:t>
      </w:r>
      <w:r>
        <w:tab/>
      </w:r>
      <w:r>
        <w:tab/>
        <w:t>7</w:t>
      </w:r>
      <w:r>
        <w:tab/>
        <w:t>4</w:t>
      </w:r>
    </w:p>
    <w:p w14:paraId="7341C0CD" w14:textId="77777777" w:rsidR="00192446" w:rsidRDefault="00192446" w:rsidP="00192446">
      <w:pPr>
        <w:tabs>
          <w:tab w:val="right" w:pos="850"/>
          <w:tab w:val="right" w:leader="dot" w:pos="7654"/>
          <w:tab w:val="right" w:pos="8929"/>
          <w:tab w:val="right" w:pos="9638"/>
        </w:tabs>
        <w:spacing w:after="120"/>
        <w:ind w:left="1134" w:hanging="1134"/>
      </w:pPr>
      <w:r>
        <w:tab/>
        <w:t>III.</w:t>
      </w:r>
      <w:r>
        <w:tab/>
      </w:r>
      <w:r w:rsidRPr="00047D1A">
        <w:rPr>
          <w:lang w:val="fr-FR"/>
        </w:rPr>
        <w:t xml:space="preserve">Quatre-vingtième session du Comité des transports intérieurs </w:t>
      </w:r>
      <w:r>
        <w:rPr>
          <w:lang w:val="fr-FR"/>
        </w:rPr>
        <w:br/>
      </w:r>
      <w:r w:rsidRPr="00047D1A">
        <w:rPr>
          <w:lang w:val="fr-FR"/>
        </w:rPr>
        <w:t>(point 2 de l’ordre du jour)</w:t>
      </w:r>
      <w:r>
        <w:tab/>
      </w:r>
      <w:r>
        <w:tab/>
        <w:t>8−10</w:t>
      </w:r>
      <w:r>
        <w:tab/>
        <w:t>4</w:t>
      </w:r>
    </w:p>
    <w:p w14:paraId="3C8E5BAE" w14:textId="77777777" w:rsidR="00192446" w:rsidRDefault="00192446" w:rsidP="00192446">
      <w:pPr>
        <w:tabs>
          <w:tab w:val="right" w:pos="850"/>
          <w:tab w:val="right" w:leader="dot" w:pos="7654"/>
          <w:tab w:val="right" w:pos="8929"/>
          <w:tab w:val="right" w:pos="9638"/>
        </w:tabs>
        <w:spacing w:after="120"/>
        <w:ind w:left="1134" w:hanging="1134"/>
      </w:pPr>
      <w:r>
        <w:tab/>
        <w:t>IV.</w:t>
      </w:r>
      <w:r>
        <w:tab/>
      </w:r>
      <w:r w:rsidRPr="00883CD1">
        <w:rPr>
          <w:spacing w:val="-2"/>
          <w:lang w:val="fr-FR"/>
        </w:rPr>
        <w:t xml:space="preserve">État de l’Accord européen relatif au transport international des marchandises </w:t>
      </w:r>
      <w:r w:rsidRPr="00883CD1">
        <w:rPr>
          <w:spacing w:val="-2"/>
          <w:lang w:val="fr-FR"/>
        </w:rPr>
        <w:br/>
        <w:t>dangereuses par route (ADR) et questions connexes (point 3 de l’ordre du jour)</w:t>
      </w:r>
      <w:r>
        <w:tab/>
      </w:r>
      <w:r>
        <w:tab/>
        <w:t>11−20</w:t>
      </w:r>
      <w:r>
        <w:tab/>
        <w:t>5</w:t>
      </w:r>
    </w:p>
    <w:p w14:paraId="3C5FE892" w14:textId="77777777" w:rsidR="00192446" w:rsidRDefault="00192446" w:rsidP="00192446">
      <w:pPr>
        <w:tabs>
          <w:tab w:val="right" w:leader="dot" w:pos="7654"/>
          <w:tab w:val="right" w:pos="8929"/>
          <w:tab w:val="right" w:pos="9638"/>
        </w:tabs>
        <w:spacing w:after="120"/>
        <w:ind w:left="1559" w:hanging="425"/>
      </w:pPr>
      <w:r>
        <w:t>A.</w:t>
      </w:r>
      <w:r>
        <w:tab/>
      </w:r>
      <w:r w:rsidRPr="00047D1A">
        <w:rPr>
          <w:lang w:val="fr-FR"/>
        </w:rPr>
        <w:t>État de l’Accord et du Protocole d’amendement de 1993</w:t>
      </w:r>
      <w:r>
        <w:tab/>
      </w:r>
      <w:r>
        <w:tab/>
        <w:t>11−13</w:t>
      </w:r>
      <w:r>
        <w:tab/>
        <w:t>5</w:t>
      </w:r>
    </w:p>
    <w:p w14:paraId="4669F205" w14:textId="77777777" w:rsidR="00192446" w:rsidRDefault="00192446" w:rsidP="00192446">
      <w:pPr>
        <w:tabs>
          <w:tab w:val="right" w:leader="dot" w:pos="7654"/>
          <w:tab w:val="right" w:pos="8929"/>
          <w:tab w:val="right" w:pos="9638"/>
        </w:tabs>
        <w:spacing w:after="120"/>
        <w:ind w:left="1559" w:hanging="425"/>
      </w:pPr>
      <w:r>
        <w:t>B.</w:t>
      </w:r>
      <w:r>
        <w:tab/>
      </w:r>
      <w:r w:rsidRPr="00047D1A">
        <w:rPr>
          <w:lang w:val="fr-FR"/>
        </w:rPr>
        <w:t>Révision du titre actuel de l’ADR</w:t>
      </w:r>
      <w:r>
        <w:tab/>
      </w:r>
      <w:r>
        <w:tab/>
        <w:t>14−17</w:t>
      </w:r>
      <w:r>
        <w:tab/>
        <w:t>5</w:t>
      </w:r>
    </w:p>
    <w:p w14:paraId="69768082" w14:textId="77777777" w:rsidR="00192446" w:rsidRDefault="00192446" w:rsidP="00192446">
      <w:pPr>
        <w:tabs>
          <w:tab w:val="right" w:leader="dot" w:pos="7654"/>
          <w:tab w:val="right" w:pos="8929"/>
          <w:tab w:val="right" w:pos="9638"/>
        </w:tabs>
        <w:spacing w:after="120"/>
        <w:ind w:left="1559" w:hanging="425"/>
      </w:pPr>
      <w:r>
        <w:t>C.</w:t>
      </w:r>
      <w:r>
        <w:tab/>
      </w:r>
      <w:r w:rsidRPr="00047D1A">
        <w:rPr>
          <w:lang w:val="fr-FR"/>
        </w:rPr>
        <w:t>Projet de transport EuroMed</w:t>
      </w:r>
      <w:r>
        <w:tab/>
      </w:r>
      <w:r>
        <w:tab/>
        <w:t>18−20</w:t>
      </w:r>
      <w:r>
        <w:tab/>
        <w:t>6</w:t>
      </w:r>
    </w:p>
    <w:p w14:paraId="022CDB24" w14:textId="77777777" w:rsidR="00192446" w:rsidRDefault="00192446" w:rsidP="00192446">
      <w:pPr>
        <w:tabs>
          <w:tab w:val="right" w:pos="850"/>
          <w:tab w:val="right" w:leader="dot" w:pos="7654"/>
          <w:tab w:val="right" w:pos="8929"/>
          <w:tab w:val="right" w:pos="9638"/>
        </w:tabs>
        <w:spacing w:after="120"/>
        <w:ind w:left="1134" w:hanging="1134"/>
      </w:pPr>
      <w:r>
        <w:tab/>
        <w:t>V.</w:t>
      </w:r>
      <w:r>
        <w:tab/>
      </w:r>
      <w:r w:rsidRPr="00047D1A">
        <w:rPr>
          <w:lang w:val="fr-FR"/>
        </w:rPr>
        <w:t>Travaux de la Réunion commune RID/ADR/ADN (point 4 de l’ordre du jour)</w:t>
      </w:r>
      <w:r>
        <w:tab/>
      </w:r>
      <w:r>
        <w:tab/>
        <w:t>21−27</w:t>
      </w:r>
      <w:r>
        <w:tab/>
        <w:t>6</w:t>
      </w:r>
    </w:p>
    <w:p w14:paraId="0DDF9460" w14:textId="77777777" w:rsidR="00192446" w:rsidRDefault="00192446" w:rsidP="00192446">
      <w:pPr>
        <w:tabs>
          <w:tab w:val="right" w:leader="dot" w:pos="7654"/>
          <w:tab w:val="right" w:pos="8929"/>
          <w:tab w:val="right" w:pos="9638"/>
        </w:tabs>
        <w:spacing w:after="120"/>
        <w:ind w:left="1559" w:hanging="425"/>
      </w:pPr>
      <w:r>
        <w:t>A.</w:t>
      </w:r>
      <w:r>
        <w:tab/>
      </w:r>
      <w:r w:rsidRPr="00047D1A">
        <w:rPr>
          <w:lang w:val="fr-FR"/>
        </w:rPr>
        <w:t xml:space="preserve">Amendements proposés par la Réunion commune à ses sessions </w:t>
      </w:r>
      <w:r>
        <w:rPr>
          <w:lang w:val="fr-FR"/>
        </w:rPr>
        <w:br/>
      </w:r>
      <w:r w:rsidRPr="00047D1A">
        <w:rPr>
          <w:lang w:val="fr-FR"/>
        </w:rPr>
        <w:t>de printemps et d’automne 2018</w:t>
      </w:r>
      <w:r>
        <w:tab/>
      </w:r>
      <w:r>
        <w:tab/>
        <w:t>21−24</w:t>
      </w:r>
      <w:r>
        <w:tab/>
        <w:t>6</w:t>
      </w:r>
    </w:p>
    <w:p w14:paraId="554BE55E" w14:textId="77777777" w:rsidR="00192446" w:rsidRDefault="00192446" w:rsidP="00192446">
      <w:pPr>
        <w:tabs>
          <w:tab w:val="right" w:leader="dot" w:pos="7654"/>
          <w:tab w:val="right" w:pos="8929"/>
          <w:tab w:val="right" w:pos="9638"/>
        </w:tabs>
        <w:spacing w:after="120"/>
        <w:ind w:left="1559" w:hanging="425"/>
      </w:pPr>
      <w:r>
        <w:t>B.</w:t>
      </w:r>
      <w:r>
        <w:tab/>
      </w:r>
      <w:r w:rsidRPr="00047D1A">
        <w:rPr>
          <w:lang w:val="fr-FR"/>
        </w:rPr>
        <w:t>Autres questions</w:t>
      </w:r>
      <w:r>
        <w:tab/>
      </w:r>
      <w:r>
        <w:tab/>
        <w:t>25−27</w:t>
      </w:r>
      <w:r>
        <w:tab/>
        <w:t>7</w:t>
      </w:r>
    </w:p>
    <w:p w14:paraId="5BAB245C" w14:textId="77777777" w:rsidR="00192446" w:rsidRDefault="00192446" w:rsidP="00192446">
      <w:pPr>
        <w:tabs>
          <w:tab w:val="right" w:pos="850"/>
          <w:tab w:val="right" w:leader="dot" w:pos="7654"/>
          <w:tab w:val="right" w:pos="8929"/>
          <w:tab w:val="right" w:pos="9638"/>
        </w:tabs>
        <w:spacing w:after="120"/>
        <w:ind w:left="1134" w:hanging="1134"/>
      </w:pPr>
      <w:r>
        <w:tab/>
        <w:t>VI.</w:t>
      </w:r>
      <w:r>
        <w:tab/>
      </w:r>
      <w:r w:rsidRPr="00C13393">
        <w:rPr>
          <w:lang w:val="fr-FR"/>
        </w:rPr>
        <w:t xml:space="preserve">Propositions d’amendement aux annexes A et B de l’ADR </w:t>
      </w:r>
      <w:r>
        <w:rPr>
          <w:lang w:val="fr-FR"/>
        </w:rPr>
        <w:br/>
      </w:r>
      <w:r w:rsidRPr="00C13393">
        <w:rPr>
          <w:lang w:val="fr-FR"/>
        </w:rPr>
        <w:t>(point 5 de l’ordre du jour)</w:t>
      </w:r>
      <w:r>
        <w:tab/>
      </w:r>
      <w:r>
        <w:tab/>
        <w:t>28−55</w:t>
      </w:r>
      <w:r>
        <w:tab/>
        <w:t>7</w:t>
      </w:r>
    </w:p>
    <w:p w14:paraId="4F9EB5C3" w14:textId="77777777" w:rsidR="00192446" w:rsidRDefault="00192446" w:rsidP="00192446">
      <w:pPr>
        <w:tabs>
          <w:tab w:val="right" w:leader="dot" w:pos="7654"/>
          <w:tab w:val="right" w:pos="8929"/>
          <w:tab w:val="right" w:pos="9638"/>
        </w:tabs>
        <w:spacing w:after="120"/>
        <w:ind w:left="1559" w:hanging="425"/>
      </w:pPr>
      <w:r>
        <w:t>A.</w:t>
      </w:r>
      <w:r>
        <w:tab/>
      </w:r>
      <w:r w:rsidRPr="00C13393">
        <w:rPr>
          <w:lang w:val="fr-FR"/>
        </w:rPr>
        <w:t>Construction et homologation des véhicules</w:t>
      </w:r>
      <w:r>
        <w:tab/>
      </w:r>
      <w:r>
        <w:tab/>
        <w:t>28−33</w:t>
      </w:r>
      <w:r>
        <w:tab/>
        <w:t>7</w:t>
      </w:r>
    </w:p>
    <w:p w14:paraId="16AFD99A" w14:textId="77777777" w:rsidR="00192446" w:rsidRDefault="00192446" w:rsidP="00192446">
      <w:pPr>
        <w:tabs>
          <w:tab w:val="right" w:leader="dot" w:pos="7654"/>
          <w:tab w:val="right" w:pos="8929"/>
          <w:tab w:val="right" w:pos="9638"/>
        </w:tabs>
        <w:spacing w:after="120"/>
        <w:ind w:left="1984" w:hanging="425"/>
      </w:pPr>
      <w:r>
        <w:t>1.</w:t>
      </w:r>
      <w:r>
        <w:tab/>
      </w:r>
      <w:r w:rsidRPr="00C13393">
        <w:rPr>
          <w:lang w:val="fr-FR"/>
        </w:rPr>
        <w:t xml:space="preserve">Dispense de première visite technique pour les véhicules EX/II, </w:t>
      </w:r>
      <w:r>
        <w:rPr>
          <w:lang w:val="fr-FR"/>
        </w:rPr>
        <w:br/>
      </w:r>
      <w:r w:rsidRPr="00C13393">
        <w:rPr>
          <w:lang w:val="fr-FR"/>
        </w:rPr>
        <w:t xml:space="preserve">EX/III, FL et AT et les MEMU homologués conformément </w:t>
      </w:r>
      <w:r>
        <w:rPr>
          <w:lang w:val="fr-FR"/>
        </w:rPr>
        <w:br/>
      </w:r>
      <w:r w:rsidRPr="00C13393">
        <w:rPr>
          <w:lang w:val="fr-FR"/>
        </w:rPr>
        <w:t xml:space="preserve">au paragraphe 9.1.2.2 et pour lesquels une déclaration </w:t>
      </w:r>
      <w:r>
        <w:rPr>
          <w:lang w:val="fr-FR"/>
        </w:rPr>
        <w:br/>
      </w:r>
      <w:r w:rsidRPr="00C13393">
        <w:rPr>
          <w:lang w:val="fr-FR"/>
        </w:rPr>
        <w:t xml:space="preserve">de conformité aux prescriptions des chapitres 9.2 à 9.8 </w:t>
      </w:r>
      <w:r>
        <w:rPr>
          <w:lang w:val="fr-FR"/>
        </w:rPr>
        <w:br/>
      </w:r>
      <w:r w:rsidRPr="00C13393">
        <w:rPr>
          <w:lang w:val="fr-FR"/>
        </w:rPr>
        <w:t>a été délivrée</w:t>
      </w:r>
      <w:r>
        <w:tab/>
      </w:r>
      <w:r>
        <w:tab/>
        <w:t>28−29</w:t>
      </w:r>
      <w:r>
        <w:tab/>
        <w:t>7</w:t>
      </w:r>
    </w:p>
    <w:p w14:paraId="733BA1AA" w14:textId="77777777" w:rsidR="00192446" w:rsidRDefault="00192446" w:rsidP="00192446">
      <w:pPr>
        <w:tabs>
          <w:tab w:val="right" w:leader="dot" w:pos="7654"/>
          <w:tab w:val="right" w:pos="8929"/>
          <w:tab w:val="right" w:pos="9638"/>
        </w:tabs>
        <w:spacing w:after="120"/>
        <w:ind w:left="1984" w:hanging="425"/>
      </w:pPr>
      <w:r>
        <w:t>2.</w:t>
      </w:r>
      <w:r>
        <w:tab/>
      </w:r>
      <w:r w:rsidRPr="00047D1A">
        <w:rPr>
          <w:lang w:val="fr-FR"/>
        </w:rPr>
        <w:t xml:space="preserve">Application des prescriptions du paragraphe 9.2.2.2.1 de l’ADR </w:t>
      </w:r>
      <w:r>
        <w:rPr>
          <w:lang w:val="fr-FR"/>
        </w:rPr>
        <w:br/>
      </w:r>
      <w:r w:rsidRPr="00047D1A">
        <w:rPr>
          <w:lang w:val="fr-FR"/>
        </w:rPr>
        <w:t>sur les câbles</w:t>
      </w:r>
      <w:r>
        <w:tab/>
      </w:r>
      <w:r>
        <w:tab/>
        <w:t>30</w:t>
      </w:r>
      <w:r>
        <w:tab/>
        <w:t>7</w:t>
      </w:r>
    </w:p>
    <w:p w14:paraId="51B5E3DA" w14:textId="77777777" w:rsidR="00192446" w:rsidRDefault="00192446" w:rsidP="00192446">
      <w:pPr>
        <w:tabs>
          <w:tab w:val="right" w:leader="dot" w:pos="7654"/>
          <w:tab w:val="right" w:pos="8929"/>
          <w:tab w:val="right" w:pos="9638"/>
        </w:tabs>
        <w:spacing w:after="120"/>
        <w:ind w:left="1984" w:hanging="425"/>
      </w:pPr>
      <w:r>
        <w:lastRenderedPageBreak/>
        <w:t>3.</w:t>
      </w:r>
      <w:r>
        <w:tab/>
      </w:r>
      <w:r w:rsidRPr="00047D1A">
        <w:rPr>
          <w:lang w:val="fr-FR"/>
        </w:rPr>
        <w:t xml:space="preserve">Utilisation de véhicules électriques et de véhicules hybrides </w:t>
      </w:r>
      <w:r>
        <w:rPr>
          <w:lang w:val="fr-FR"/>
        </w:rPr>
        <w:br/>
      </w:r>
      <w:r w:rsidRPr="00047D1A">
        <w:rPr>
          <w:lang w:val="fr-FR"/>
        </w:rPr>
        <w:t>électriques pour le transport de marchandises dangereuses</w:t>
      </w:r>
      <w:r>
        <w:tab/>
      </w:r>
      <w:r>
        <w:tab/>
        <w:t>31−33</w:t>
      </w:r>
      <w:r>
        <w:tab/>
        <w:t>8</w:t>
      </w:r>
    </w:p>
    <w:p w14:paraId="49F30E04" w14:textId="77777777" w:rsidR="00192446" w:rsidRDefault="00192446" w:rsidP="00192446">
      <w:pPr>
        <w:tabs>
          <w:tab w:val="right" w:leader="dot" w:pos="7654"/>
          <w:tab w:val="right" w:pos="8929"/>
          <w:tab w:val="right" w:pos="9638"/>
        </w:tabs>
        <w:spacing w:after="120"/>
        <w:ind w:left="1559" w:hanging="425"/>
      </w:pPr>
      <w:r>
        <w:t>B.</w:t>
      </w:r>
      <w:r>
        <w:tab/>
      </w:r>
      <w:r w:rsidRPr="00047D1A">
        <w:rPr>
          <w:lang w:val="fr-FR"/>
        </w:rPr>
        <w:t>Propositions diverses</w:t>
      </w:r>
      <w:r>
        <w:tab/>
      </w:r>
      <w:r>
        <w:tab/>
        <w:t>34−55</w:t>
      </w:r>
      <w:r>
        <w:tab/>
        <w:t>8</w:t>
      </w:r>
    </w:p>
    <w:p w14:paraId="0C6D97E8" w14:textId="77777777" w:rsidR="00192446" w:rsidRDefault="00192446" w:rsidP="00192446">
      <w:pPr>
        <w:tabs>
          <w:tab w:val="right" w:leader="dot" w:pos="7654"/>
          <w:tab w:val="right" w:pos="8929"/>
          <w:tab w:val="right" w:pos="9638"/>
        </w:tabs>
        <w:spacing w:after="120"/>
        <w:ind w:left="1984" w:hanging="425"/>
      </w:pPr>
      <w:r>
        <w:t>1.</w:t>
      </w:r>
      <w:r>
        <w:tab/>
      </w:r>
      <w:r w:rsidRPr="00047D1A">
        <w:rPr>
          <w:lang w:val="fr-FR"/>
        </w:rPr>
        <w:t>Correction de la note de bas de page b</w:t>
      </w:r>
      <w:r>
        <w:rPr>
          <w:lang w:val="fr-FR"/>
        </w:rPr>
        <w:t>)</w:t>
      </w:r>
      <w:r w:rsidRPr="00047D1A">
        <w:rPr>
          <w:lang w:val="fr-FR"/>
        </w:rPr>
        <w:t xml:space="preserve"> pour les consignes écrites </w:t>
      </w:r>
      <w:r>
        <w:rPr>
          <w:lang w:val="fr-FR"/>
        </w:rPr>
        <w:br/>
      </w:r>
      <w:r w:rsidRPr="00047D1A">
        <w:rPr>
          <w:lang w:val="fr-FR"/>
        </w:rPr>
        <w:t>(par.</w:t>
      </w:r>
      <w:r>
        <w:rPr>
          <w:lang w:val="fr-FR"/>
        </w:rPr>
        <w:t> </w:t>
      </w:r>
      <w:r w:rsidRPr="00047D1A">
        <w:rPr>
          <w:lang w:val="fr-FR"/>
        </w:rPr>
        <w:t>5.4.3.4)</w:t>
      </w:r>
      <w:r>
        <w:tab/>
      </w:r>
      <w:r>
        <w:tab/>
        <w:t>34−36</w:t>
      </w:r>
      <w:r>
        <w:tab/>
        <w:t>8</w:t>
      </w:r>
    </w:p>
    <w:p w14:paraId="63695AB3" w14:textId="77777777" w:rsidR="00192446" w:rsidRDefault="00192446" w:rsidP="00192446">
      <w:pPr>
        <w:tabs>
          <w:tab w:val="right" w:leader="dot" w:pos="7654"/>
          <w:tab w:val="right" w:pos="8929"/>
          <w:tab w:val="right" w:pos="9638"/>
        </w:tabs>
        <w:spacing w:after="120"/>
        <w:ind w:left="1984" w:hanging="425"/>
      </w:pPr>
      <w:r>
        <w:t>2.</w:t>
      </w:r>
      <w:r>
        <w:tab/>
      </w:r>
      <w:r w:rsidRPr="00047D1A">
        <w:rPr>
          <w:lang w:val="fr-FR"/>
        </w:rPr>
        <w:t xml:space="preserve">Présentation du certificat de formation ADR conformément </w:t>
      </w:r>
      <w:r>
        <w:rPr>
          <w:lang w:val="fr-FR"/>
        </w:rPr>
        <w:br/>
      </w:r>
      <w:r w:rsidRPr="00047D1A">
        <w:rPr>
          <w:lang w:val="fr-FR"/>
        </w:rPr>
        <w:t>au 8.2.2.8.3 lu conjointement avec le 8.2.2.8.5 de l’ADR</w:t>
      </w:r>
      <w:r>
        <w:rPr>
          <w:lang w:val="fr-FR"/>
        </w:rPr>
        <w:t> </w:t>
      </w:r>
      <w:r w:rsidRPr="00047D1A">
        <w:rPr>
          <w:lang w:val="fr-FR"/>
        </w:rPr>
        <w:t xml:space="preserve">: </w:t>
      </w:r>
      <w:r>
        <w:rPr>
          <w:lang w:val="fr-FR"/>
        </w:rPr>
        <w:br/>
      </w:r>
      <w:r w:rsidRPr="00047D1A">
        <w:rPr>
          <w:lang w:val="fr-FR"/>
        </w:rPr>
        <w:t>Possibilité d’ajouter des informations au verso du certificat</w:t>
      </w:r>
      <w:r>
        <w:tab/>
      </w:r>
      <w:r>
        <w:tab/>
        <w:t>37−39</w:t>
      </w:r>
      <w:r>
        <w:tab/>
        <w:t>8</w:t>
      </w:r>
    </w:p>
    <w:p w14:paraId="5BC96070" w14:textId="77777777" w:rsidR="00192446" w:rsidRDefault="00192446" w:rsidP="00192446">
      <w:pPr>
        <w:tabs>
          <w:tab w:val="right" w:leader="dot" w:pos="7654"/>
          <w:tab w:val="right" w:pos="8929"/>
          <w:tab w:val="right" w:pos="9638"/>
        </w:tabs>
        <w:spacing w:after="120"/>
        <w:ind w:left="1984" w:hanging="425"/>
      </w:pPr>
      <w:r>
        <w:t>3.</w:t>
      </w:r>
      <w:r>
        <w:tab/>
      </w:r>
      <w:r w:rsidRPr="00047D1A">
        <w:rPr>
          <w:lang w:val="fr-FR"/>
        </w:rPr>
        <w:t>Modification du libellé du paragraphe 9.1.3.2</w:t>
      </w:r>
      <w:r>
        <w:tab/>
      </w:r>
      <w:r>
        <w:tab/>
        <w:t>40</w:t>
      </w:r>
      <w:r>
        <w:tab/>
        <w:t>9</w:t>
      </w:r>
    </w:p>
    <w:p w14:paraId="5785999A" w14:textId="77777777" w:rsidR="00192446" w:rsidRDefault="00192446" w:rsidP="00192446">
      <w:pPr>
        <w:tabs>
          <w:tab w:val="right" w:leader="dot" w:pos="7654"/>
          <w:tab w:val="right" w:pos="8929"/>
          <w:tab w:val="right" w:pos="9638"/>
        </w:tabs>
        <w:spacing w:after="120"/>
        <w:ind w:left="1984" w:hanging="425"/>
      </w:pPr>
      <w:r>
        <w:t>4.</w:t>
      </w:r>
      <w:r>
        <w:tab/>
      </w:r>
      <w:r w:rsidRPr="00047D1A">
        <w:rPr>
          <w:lang w:val="fr-FR"/>
        </w:rPr>
        <w:t>Modification du texte du paragraphe 6.8.2.5.1</w:t>
      </w:r>
      <w:r>
        <w:tab/>
      </w:r>
      <w:r>
        <w:tab/>
        <w:t>41</w:t>
      </w:r>
      <w:r>
        <w:tab/>
        <w:t>9</w:t>
      </w:r>
    </w:p>
    <w:p w14:paraId="3B629EE2" w14:textId="77777777" w:rsidR="00192446" w:rsidRDefault="00192446" w:rsidP="00192446">
      <w:pPr>
        <w:tabs>
          <w:tab w:val="right" w:leader="dot" w:pos="7654"/>
          <w:tab w:val="right" w:pos="8929"/>
          <w:tab w:val="right" w:pos="9638"/>
        </w:tabs>
        <w:spacing w:after="120"/>
        <w:ind w:left="1984" w:hanging="425"/>
      </w:pPr>
      <w:r>
        <w:t>5.</w:t>
      </w:r>
      <w:r>
        <w:tab/>
      </w:r>
      <w:r w:rsidRPr="00047D1A">
        <w:rPr>
          <w:lang w:val="fr-FR"/>
        </w:rPr>
        <w:t>Clarification du champ d’application du 9.1.3.4</w:t>
      </w:r>
      <w:r>
        <w:tab/>
      </w:r>
      <w:r>
        <w:tab/>
        <w:t>42−43</w:t>
      </w:r>
      <w:r>
        <w:tab/>
        <w:t>9</w:t>
      </w:r>
    </w:p>
    <w:p w14:paraId="51761A32" w14:textId="77777777" w:rsidR="00192446" w:rsidRDefault="00192446" w:rsidP="00192446">
      <w:pPr>
        <w:tabs>
          <w:tab w:val="right" w:leader="dot" w:pos="7654"/>
          <w:tab w:val="right" w:pos="8929"/>
          <w:tab w:val="right" w:pos="9638"/>
        </w:tabs>
        <w:spacing w:after="120"/>
        <w:ind w:left="1984" w:hanging="425"/>
      </w:pPr>
      <w:r>
        <w:t>6.</w:t>
      </w:r>
      <w:r>
        <w:tab/>
      </w:r>
      <w:r w:rsidRPr="00047D1A">
        <w:rPr>
          <w:lang w:val="fr-FR"/>
        </w:rPr>
        <w:t xml:space="preserve">Exemption relative aux équipements de lutte contre l’incendie </w:t>
      </w:r>
      <w:r>
        <w:rPr>
          <w:lang w:val="fr-FR"/>
        </w:rPr>
        <w:br/>
      </w:r>
      <w:r w:rsidRPr="00047D1A">
        <w:rPr>
          <w:lang w:val="fr-FR"/>
        </w:rPr>
        <w:t xml:space="preserve">pour le transport par la poste de colis exceptés de la classe 7 </w:t>
      </w:r>
      <w:r>
        <w:rPr>
          <w:lang w:val="fr-FR"/>
        </w:rPr>
        <w:br/>
      </w:r>
      <w:r w:rsidRPr="00047D1A">
        <w:rPr>
          <w:lang w:val="fr-FR"/>
        </w:rPr>
        <w:t>ayant un niveau d’activité limité</w:t>
      </w:r>
      <w:r>
        <w:tab/>
      </w:r>
      <w:r>
        <w:tab/>
        <w:t>44−46</w:t>
      </w:r>
      <w:r>
        <w:tab/>
        <w:t>9</w:t>
      </w:r>
    </w:p>
    <w:p w14:paraId="3AD7BEB1" w14:textId="77777777" w:rsidR="00192446" w:rsidRDefault="00192446" w:rsidP="00192446">
      <w:pPr>
        <w:tabs>
          <w:tab w:val="right" w:leader="dot" w:pos="7654"/>
          <w:tab w:val="right" w:pos="8929"/>
          <w:tab w:val="right" w:pos="9638"/>
        </w:tabs>
        <w:spacing w:after="120"/>
        <w:ind w:left="1984" w:hanging="425"/>
      </w:pPr>
      <w:r>
        <w:t>7.</w:t>
      </w:r>
      <w:r>
        <w:tab/>
      </w:r>
      <w:r w:rsidRPr="00047D1A">
        <w:rPr>
          <w:lang w:val="fr-FR"/>
        </w:rPr>
        <w:t xml:space="preserve">Formation de recyclage en ligne pour les conducteurs transportant </w:t>
      </w:r>
      <w:r>
        <w:rPr>
          <w:lang w:val="fr-FR"/>
        </w:rPr>
        <w:br/>
      </w:r>
      <w:r w:rsidRPr="00047D1A">
        <w:rPr>
          <w:lang w:val="fr-FR"/>
        </w:rPr>
        <w:t>des marchandises dangereuses</w:t>
      </w:r>
      <w:r>
        <w:tab/>
      </w:r>
      <w:r>
        <w:tab/>
        <w:t>47−48</w:t>
      </w:r>
      <w:r>
        <w:tab/>
        <w:t>9</w:t>
      </w:r>
    </w:p>
    <w:p w14:paraId="01BB4D91" w14:textId="77777777" w:rsidR="00192446" w:rsidRDefault="00192446" w:rsidP="00192446">
      <w:pPr>
        <w:tabs>
          <w:tab w:val="right" w:leader="dot" w:pos="7654"/>
          <w:tab w:val="right" w:pos="8929"/>
          <w:tab w:val="right" w:pos="9638"/>
        </w:tabs>
        <w:spacing w:after="120"/>
        <w:ind w:left="1984" w:hanging="425"/>
      </w:pPr>
      <w:r>
        <w:t>8.</w:t>
      </w:r>
      <w:r>
        <w:tab/>
      </w:r>
      <w:r w:rsidRPr="00047D1A">
        <w:rPr>
          <w:lang w:val="fr-FR"/>
        </w:rPr>
        <w:t xml:space="preserve">Proposition d’ajout au tableau du 1.1.3.2 d’une note pour définir </w:t>
      </w:r>
      <w:r>
        <w:rPr>
          <w:lang w:val="fr-FR"/>
        </w:rPr>
        <w:br/>
      </w:r>
      <w:r w:rsidRPr="00047D1A">
        <w:rPr>
          <w:lang w:val="fr-FR"/>
        </w:rPr>
        <w:t>l’unité Nm</w:t>
      </w:r>
      <w:r w:rsidRPr="00047D1A">
        <w:rPr>
          <w:vertAlign w:val="superscript"/>
          <w:lang w:val="fr-FR"/>
        </w:rPr>
        <w:t>3</w:t>
      </w:r>
      <w:r>
        <w:tab/>
      </w:r>
      <w:r>
        <w:tab/>
        <w:t>49</w:t>
      </w:r>
      <w:r>
        <w:tab/>
        <w:t>10</w:t>
      </w:r>
    </w:p>
    <w:p w14:paraId="099B6F2C" w14:textId="77777777" w:rsidR="00192446" w:rsidRDefault="00192446" w:rsidP="00192446">
      <w:pPr>
        <w:tabs>
          <w:tab w:val="right" w:leader="dot" w:pos="7654"/>
          <w:tab w:val="right" w:pos="8929"/>
          <w:tab w:val="right" w:pos="9638"/>
        </w:tabs>
        <w:spacing w:after="120"/>
        <w:ind w:left="1984" w:hanging="425"/>
      </w:pPr>
      <w:r>
        <w:t>9.</w:t>
      </w:r>
      <w:r>
        <w:tab/>
      </w:r>
      <w:r w:rsidRPr="00047D1A">
        <w:rPr>
          <w:lang w:val="fr-FR"/>
        </w:rPr>
        <w:t xml:space="preserve">No ONU 3316 </w:t>
      </w:r>
      <w:r>
        <w:rPr>
          <w:lang w:val="fr-FR"/>
        </w:rPr>
        <w:t>−</w:t>
      </w:r>
      <w:r w:rsidRPr="00047D1A">
        <w:rPr>
          <w:lang w:val="fr-FR"/>
        </w:rPr>
        <w:t xml:space="preserve"> Catégorie de transport pour les trousses chimiques </w:t>
      </w:r>
      <w:r>
        <w:rPr>
          <w:lang w:val="fr-FR"/>
        </w:rPr>
        <w:br/>
      </w:r>
      <w:r w:rsidRPr="00047D1A">
        <w:rPr>
          <w:lang w:val="fr-FR"/>
        </w:rPr>
        <w:t>et les trousses de premiers secours</w:t>
      </w:r>
      <w:r>
        <w:tab/>
      </w:r>
      <w:r>
        <w:tab/>
        <w:t>50−51</w:t>
      </w:r>
      <w:r>
        <w:tab/>
        <w:t>10</w:t>
      </w:r>
    </w:p>
    <w:p w14:paraId="2B04A702" w14:textId="77777777" w:rsidR="00192446" w:rsidRDefault="00192446" w:rsidP="00192446">
      <w:pPr>
        <w:tabs>
          <w:tab w:val="right" w:leader="dot" w:pos="7654"/>
          <w:tab w:val="right" w:pos="8929"/>
          <w:tab w:val="right" w:pos="9638"/>
        </w:tabs>
        <w:spacing w:after="120"/>
        <w:ind w:left="1984" w:hanging="425"/>
      </w:pPr>
      <w:r>
        <w:t>10.</w:t>
      </w:r>
      <w:r>
        <w:tab/>
      </w:r>
      <w:r w:rsidRPr="00047D1A">
        <w:rPr>
          <w:lang w:val="fr-FR"/>
        </w:rPr>
        <w:t xml:space="preserve">Unité de transport comportant plus d’une remorque </w:t>
      </w:r>
      <w:r>
        <w:rPr>
          <w:lang w:val="fr-FR"/>
        </w:rPr>
        <w:br/>
      </w:r>
      <w:r w:rsidRPr="00047D1A">
        <w:rPr>
          <w:lang w:val="fr-FR"/>
        </w:rPr>
        <w:t>(ou semi-remorque) (8.1.1)</w:t>
      </w:r>
      <w:r>
        <w:tab/>
      </w:r>
      <w:r>
        <w:tab/>
        <w:t>52−53</w:t>
      </w:r>
      <w:r>
        <w:tab/>
        <w:t>10</w:t>
      </w:r>
    </w:p>
    <w:p w14:paraId="6C87AEC9" w14:textId="77777777" w:rsidR="00192446" w:rsidRDefault="00192446" w:rsidP="00192446">
      <w:pPr>
        <w:tabs>
          <w:tab w:val="right" w:leader="dot" w:pos="7654"/>
          <w:tab w:val="right" w:pos="8929"/>
          <w:tab w:val="right" w:pos="9638"/>
        </w:tabs>
        <w:spacing w:after="120"/>
        <w:ind w:left="1984" w:hanging="425"/>
      </w:pPr>
      <w:r>
        <w:t>11.</w:t>
      </w:r>
      <w:r>
        <w:tab/>
      </w:r>
      <w:r w:rsidRPr="00047D1A">
        <w:rPr>
          <w:lang w:val="fr-FR"/>
        </w:rPr>
        <w:t xml:space="preserve">Certificats de formation ADR pour conducteurs délivrés </w:t>
      </w:r>
      <w:r>
        <w:rPr>
          <w:lang w:val="fr-FR"/>
        </w:rPr>
        <w:br/>
      </w:r>
      <w:r w:rsidRPr="00047D1A">
        <w:rPr>
          <w:lang w:val="fr-FR"/>
        </w:rPr>
        <w:t>par les Parties contractantes</w:t>
      </w:r>
      <w:r>
        <w:tab/>
      </w:r>
      <w:r>
        <w:tab/>
        <w:t>54</w:t>
      </w:r>
      <w:r>
        <w:tab/>
        <w:t>10</w:t>
      </w:r>
    </w:p>
    <w:p w14:paraId="2C495962" w14:textId="77777777" w:rsidR="00192446" w:rsidRDefault="00192446" w:rsidP="00192446">
      <w:pPr>
        <w:tabs>
          <w:tab w:val="right" w:leader="dot" w:pos="7654"/>
          <w:tab w:val="right" w:pos="8929"/>
          <w:tab w:val="right" w:pos="9638"/>
        </w:tabs>
        <w:spacing w:after="120"/>
        <w:ind w:left="1984" w:hanging="425"/>
      </w:pPr>
      <w:r>
        <w:t>12.</w:t>
      </w:r>
      <w:r>
        <w:tab/>
      </w:r>
      <w:r w:rsidRPr="00047D1A">
        <w:rPr>
          <w:lang w:val="fr-FR"/>
        </w:rPr>
        <w:t xml:space="preserve">Clarification du code de restriction concernant les tunnels </w:t>
      </w:r>
      <w:r>
        <w:rPr>
          <w:lang w:val="fr-FR"/>
        </w:rPr>
        <w:br/>
      </w:r>
      <w:r w:rsidRPr="00047D1A">
        <w:rPr>
          <w:lang w:val="fr-FR"/>
        </w:rPr>
        <w:t xml:space="preserve">pour le </w:t>
      </w:r>
      <w:r>
        <w:rPr>
          <w:lang w:val="fr-FR"/>
        </w:rPr>
        <w:t>No</w:t>
      </w:r>
      <w:r w:rsidRPr="00047D1A">
        <w:rPr>
          <w:lang w:val="fr-FR"/>
        </w:rPr>
        <w:t xml:space="preserve"> ONU 3363</w:t>
      </w:r>
      <w:r>
        <w:tab/>
      </w:r>
      <w:r>
        <w:tab/>
        <w:t>55</w:t>
      </w:r>
      <w:r>
        <w:tab/>
        <w:t>11</w:t>
      </w:r>
    </w:p>
    <w:p w14:paraId="14F6C651" w14:textId="77777777" w:rsidR="00192446" w:rsidRDefault="00192446" w:rsidP="00192446">
      <w:pPr>
        <w:tabs>
          <w:tab w:val="right" w:pos="850"/>
          <w:tab w:val="right" w:leader="dot" w:pos="7654"/>
          <w:tab w:val="right" w:pos="8929"/>
          <w:tab w:val="right" w:pos="9638"/>
        </w:tabs>
        <w:spacing w:after="120"/>
        <w:ind w:left="1134" w:hanging="1134"/>
      </w:pPr>
      <w:r>
        <w:tab/>
        <w:t>VII.</w:t>
      </w:r>
      <w:r>
        <w:tab/>
      </w:r>
      <w:r w:rsidRPr="00047D1A">
        <w:rPr>
          <w:lang w:val="fr-FR"/>
        </w:rPr>
        <w:t>Interprétation de l’ADR (point 6 de l’ordre du jour)</w:t>
      </w:r>
      <w:r>
        <w:tab/>
      </w:r>
      <w:r>
        <w:tab/>
        <w:t>56−62</w:t>
      </w:r>
      <w:r>
        <w:tab/>
        <w:t>11</w:t>
      </w:r>
    </w:p>
    <w:p w14:paraId="5A22D05D" w14:textId="77777777" w:rsidR="00192446" w:rsidRDefault="00192446" w:rsidP="00192446">
      <w:pPr>
        <w:tabs>
          <w:tab w:val="right" w:leader="dot" w:pos="7654"/>
          <w:tab w:val="right" w:pos="8929"/>
          <w:tab w:val="right" w:pos="9638"/>
        </w:tabs>
        <w:spacing w:after="120"/>
        <w:ind w:left="1984" w:hanging="425"/>
      </w:pPr>
      <w:r>
        <w:t>1.</w:t>
      </w:r>
      <w:r>
        <w:tab/>
      </w:r>
      <w:r w:rsidRPr="00047D1A">
        <w:rPr>
          <w:lang w:val="fr-FR"/>
        </w:rPr>
        <w:t>Proposition de clarification du texte au 1.1.3.1 c)</w:t>
      </w:r>
      <w:r>
        <w:tab/>
      </w:r>
      <w:r>
        <w:tab/>
        <w:t>56−58</w:t>
      </w:r>
      <w:r>
        <w:tab/>
        <w:t>11</w:t>
      </w:r>
    </w:p>
    <w:p w14:paraId="04A06FCF" w14:textId="77777777" w:rsidR="00192446" w:rsidRDefault="00192446" w:rsidP="00192446">
      <w:pPr>
        <w:tabs>
          <w:tab w:val="right" w:leader="dot" w:pos="7654"/>
          <w:tab w:val="right" w:pos="8929"/>
          <w:tab w:val="right" w:pos="9638"/>
        </w:tabs>
        <w:spacing w:after="120"/>
        <w:ind w:left="1984" w:hanging="425"/>
      </w:pPr>
      <w:r>
        <w:t>2.</w:t>
      </w:r>
      <w:r>
        <w:tab/>
      </w:r>
      <w:r w:rsidRPr="00047D1A">
        <w:rPr>
          <w:lang w:val="fr-FR"/>
        </w:rPr>
        <w:t>Proposition de clarification du texte au 1.4.3.1.1 e)</w:t>
      </w:r>
      <w:r>
        <w:tab/>
      </w:r>
      <w:r>
        <w:tab/>
        <w:t>59</w:t>
      </w:r>
      <w:r>
        <w:tab/>
        <w:t>11</w:t>
      </w:r>
    </w:p>
    <w:p w14:paraId="19EDFA85" w14:textId="77777777" w:rsidR="00192446" w:rsidRDefault="00192446" w:rsidP="00192446">
      <w:pPr>
        <w:tabs>
          <w:tab w:val="right" w:leader="dot" w:pos="7654"/>
          <w:tab w:val="right" w:pos="8929"/>
          <w:tab w:val="right" w:pos="9638"/>
        </w:tabs>
        <w:spacing w:after="120"/>
        <w:ind w:left="1984" w:hanging="425"/>
      </w:pPr>
      <w:r>
        <w:t>3.</w:t>
      </w:r>
      <w:r>
        <w:tab/>
      </w:r>
      <w:r w:rsidRPr="00047D1A">
        <w:rPr>
          <w:lang w:val="fr-FR"/>
        </w:rPr>
        <w:t xml:space="preserve">Interprétation du 9.2.2.9 </w:t>
      </w:r>
      <w:r>
        <w:rPr>
          <w:lang w:val="fr-FR"/>
        </w:rPr>
        <w:t>−</w:t>
      </w:r>
      <w:r w:rsidRPr="00047D1A">
        <w:rPr>
          <w:lang w:val="fr-FR"/>
        </w:rPr>
        <w:t xml:space="preserve"> matériel électronique dans la cabine </w:t>
      </w:r>
      <w:r>
        <w:rPr>
          <w:lang w:val="fr-FR"/>
        </w:rPr>
        <w:br/>
      </w:r>
      <w:r w:rsidRPr="00047D1A">
        <w:rPr>
          <w:lang w:val="fr-FR"/>
        </w:rPr>
        <w:t>de conduite des véhicules FL</w:t>
      </w:r>
      <w:r>
        <w:tab/>
      </w:r>
      <w:r>
        <w:tab/>
        <w:t>60</w:t>
      </w:r>
      <w:r>
        <w:tab/>
        <w:t>11</w:t>
      </w:r>
    </w:p>
    <w:p w14:paraId="59B07B22" w14:textId="77777777" w:rsidR="00192446" w:rsidRDefault="00192446" w:rsidP="00192446">
      <w:pPr>
        <w:tabs>
          <w:tab w:val="right" w:leader="dot" w:pos="7654"/>
          <w:tab w:val="right" w:pos="8929"/>
          <w:tab w:val="right" w:pos="9638"/>
        </w:tabs>
        <w:spacing w:after="120"/>
        <w:ind w:left="1984" w:hanging="425"/>
      </w:pPr>
      <w:r>
        <w:t>4.</w:t>
      </w:r>
      <w:r>
        <w:tab/>
      </w:r>
      <w:r w:rsidRPr="00047D1A">
        <w:rPr>
          <w:lang w:val="fr-FR"/>
        </w:rPr>
        <w:t>Interprétation du paragraphe 6.8.2.4.5 de l’ADR</w:t>
      </w:r>
      <w:r>
        <w:tab/>
      </w:r>
      <w:r>
        <w:tab/>
        <w:t>61</w:t>
      </w:r>
      <w:r>
        <w:tab/>
        <w:t>11</w:t>
      </w:r>
    </w:p>
    <w:p w14:paraId="6270B7BE" w14:textId="77777777" w:rsidR="00192446" w:rsidRDefault="00192446" w:rsidP="00192446">
      <w:pPr>
        <w:tabs>
          <w:tab w:val="right" w:leader="dot" w:pos="7654"/>
          <w:tab w:val="right" w:pos="8929"/>
          <w:tab w:val="right" w:pos="9638"/>
        </w:tabs>
        <w:spacing w:after="120"/>
        <w:ind w:left="1984" w:hanging="425"/>
      </w:pPr>
      <w:r>
        <w:t>5.</w:t>
      </w:r>
      <w:r>
        <w:tab/>
      </w:r>
      <w:r w:rsidRPr="00047D1A">
        <w:rPr>
          <w:lang w:val="fr-FR"/>
        </w:rPr>
        <w:t>Autres documents</w:t>
      </w:r>
      <w:r>
        <w:tab/>
      </w:r>
      <w:r>
        <w:tab/>
        <w:t>62</w:t>
      </w:r>
      <w:r>
        <w:tab/>
        <w:t>12</w:t>
      </w:r>
    </w:p>
    <w:p w14:paraId="1945DF8C" w14:textId="77777777" w:rsidR="00192446" w:rsidRDefault="00192446" w:rsidP="00192446">
      <w:pPr>
        <w:tabs>
          <w:tab w:val="right" w:pos="850"/>
          <w:tab w:val="right" w:leader="dot" w:pos="7654"/>
          <w:tab w:val="right" w:pos="8929"/>
          <w:tab w:val="right" w:pos="9638"/>
        </w:tabs>
        <w:spacing w:after="120"/>
        <w:ind w:left="1134" w:hanging="1134"/>
      </w:pPr>
      <w:r>
        <w:tab/>
        <w:t>VIII.</w:t>
      </w:r>
      <w:r>
        <w:tab/>
      </w:r>
      <w:r w:rsidRPr="00047D1A">
        <w:rPr>
          <w:lang w:val="fr-FR"/>
        </w:rPr>
        <w:t>Programme de travail (point 7 de l’ordre du jour)</w:t>
      </w:r>
      <w:r>
        <w:tab/>
      </w:r>
      <w:r>
        <w:tab/>
        <w:t>63−64</w:t>
      </w:r>
      <w:r>
        <w:tab/>
        <w:t>12</w:t>
      </w:r>
    </w:p>
    <w:p w14:paraId="289DCA70" w14:textId="77777777" w:rsidR="00192446" w:rsidRDefault="00192446" w:rsidP="00192446">
      <w:pPr>
        <w:tabs>
          <w:tab w:val="right" w:pos="850"/>
          <w:tab w:val="right" w:leader="dot" w:pos="7654"/>
          <w:tab w:val="right" w:pos="8929"/>
          <w:tab w:val="right" w:pos="9638"/>
        </w:tabs>
        <w:spacing w:after="120"/>
        <w:ind w:left="1134" w:hanging="1134"/>
      </w:pPr>
      <w:r>
        <w:tab/>
        <w:t>IX.</w:t>
      </w:r>
      <w:r>
        <w:tab/>
      </w:r>
      <w:r w:rsidRPr="00047D1A">
        <w:rPr>
          <w:lang w:val="fr-FR"/>
        </w:rPr>
        <w:t>Questions diverses (point 8 de l’ordre du jour)</w:t>
      </w:r>
      <w:r>
        <w:tab/>
      </w:r>
      <w:r>
        <w:tab/>
        <w:t>65−80</w:t>
      </w:r>
      <w:r>
        <w:tab/>
        <w:t>12</w:t>
      </w:r>
    </w:p>
    <w:p w14:paraId="486BF697" w14:textId="77777777" w:rsidR="00192446" w:rsidRDefault="00192446" w:rsidP="00192446">
      <w:pPr>
        <w:tabs>
          <w:tab w:val="right" w:leader="dot" w:pos="7654"/>
          <w:tab w:val="right" w:pos="8929"/>
          <w:tab w:val="right" w:pos="9638"/>
        </w:tabs>
        <w:spacing w:after="120"/>
        <w:ind w:left="1984" w:hanging="425"/>
      </w:pPr>
      <w:r>
        <w:t>1.</w:t>
      </w:r>
      <w:r>
        <w:tab/>
      </w:r>
      <w:r w:rsidRPr="00047D1A">
        <w:rPr>
          <w:lang w:val="fr-FR"/>
        </w:rPr>
        <w:t>Surveillance des véhicules (chap</w:t>
      </w:r>
      <w:r>
        <w:rPr>
          <w:lang w:val="fr-FR"/>
        </w:rPr>
        <w:t>. </w:t>
      </w:r>
      <w:r w:rsidRPr="00047D1A">
        <w:rPr>
          <w:lang w:val="fr-FR"/>
        </w:rPr>
        <w:t>8.5)</w:t>
      </w:r>
      <w:r>
        <w:tab/>
      </w:r>
      <w:r>
        <w:tab/>
        <w:t>65−68</w:t>
      </w:r>
      <w:r>
        <w:tab/>
        <w:t>12</w:t>
      </w:r>
    </w:p>
    <w:p w14:paraId="70DFD8C4" w14:textId="77777777" w:rsidR="00192446" w:rsidRDefault="00192446" w:rsidP="00192446">
      <w:pPr>
        <w:tabs>
          <w:tab w:val="right" w:leader="dot" w:pos="7654"/>
          <w:tab w:val="right" w:pos="8929"/>
          <w:tab w:val="right" w:pos="9638"/>
        </w:tabs>
        <w:spacing w:after="120"/>
        <w:ind w:left="1984" w:hanging="425"/>
      </w:pPr>
      <w:r>
        <w:t>2.</w:t>
      </w:r>
      <w:r>
        <w:tab/>
      </w:r>
      <w:r w:rsidRPr="00047D1A">
        <w:rPr>
          <w:lang w:val="fr-FR"/>
        </w:rPr>
        <w:t xml:space="preserve">Tableau récapitulatif sur l’applicabilité des dispositions de la partie 9 </w:t>
      </w:r>
      <w:r>
        <w:rPr>
          <w:lang w:val="fr-FR"/>
        </w:rPr>
        <w:br/>
      </w:r>
      <w:r w:rsidRPr="00047D1A">
        <w:rPr>
          <w:lang w:val="fr-FR"/>
        </w:rPr>
        <w:t>de l’ADR pour les véhicules EX/II, EX/III, FL et AT et les MEMU</w:t>
      </w:r>
      <w:r>
        <w:tab/>
      </w:r>
      <w:r>
        <w:tab/>
        <w:t>69−70</w:t>
      </w:r>
      <w:r>
        <w:tab/>
        <w:t>12</w:t>
      </w:r>
    </w:p>
    <w:p w14:paraId="568BD635" w14:textId="77777777" w:rsidR="00192446" w:rsidRDefault="00192446" w:rsidP="00192446">
      <w:pPr>
        <w:tabs>
          <w:tab w:val="right" w:leader="dot" w:pos="7654"/>
          <w:tab w:val="right" w:pos="8929"/>
          <w:tab w:val="right" w:pos="9638"/>
        </w:tabs>
        <w:spacing w:after="120"/>
        <w:ind w:left="1984" w:hanging="425"/>
      </w:pPr>
      <w:r>
        <w:t>3.</w:t>
      </w:r>
      <w:r>
        <w:tab/>
      </w:r>
      <w:r w:rsidRPr="00047D1A">
        <w:rPr>
          <w:lang w:val="fr-FR"/>
        </w:rPr>
        <w:t>Publication des questions d’interprétation de l’ADR</w:t>
      </w:r>
      <w:r>
        <w:tab/>
      </w:r>
      <w:r>
        <w:tab/>
        <w:t>71−72</w:t>
      </w:r>
      <w:r>
        <w:tab/>
        <w:t>13</w:t>
      </w:r>
    </w:p>
    <w:p w14:paraId="4DA58499" w14:textId="77777777" w:rsidR="00192446" w:rsidRDefault="00192446" w:rsidP="00192446">
      <w:pPr>
        <w:tabs>
          <w:tab w:val="right" w:leader="dot" w:pos="7654"/>
          <w:tab w:val="right" w:pos="8929"/>
          <w:tab w:val="right" w:pos="9638"/>
        </w:tabs>
        <w:spacing w:after="120"/>
        <w:ind w:left="1984" w:hanging="425"/>
      </w:pPr>
      <w:r>
        <w:t>4.</w:t>
      </w:r>
      <w:r>
        <w:tab/>
      </w:r>
      <w:r w:rsidRPr="00047D1A">
        <w:rPr>
          <w:lang w:val="fr-FR"/>
        </w:rPr>
        <w:t xml:space="preserve">Corrections d’ordre rédactionnel à apporter aux versions imprimées </w:t>
      </w:r>
      <w:r>
        <w:rPr>
          <w:lang w:val="fr-FR"/>
        </w:rPr>
        <w:br/>
      </w:r>
      <w:r w:rsidRPr="00047D1A">
        <w:rPr>
          <w:lang w:val="fr-FR"/>
        </w:rPr>
        <w:t>de l’édition 2019 de l’ADR (ECE/TRANS/275)</w:t>
      </w:r>
      <w:r>
        <w:tab/>
      </w:r>
      <w:r>
        <w:tab/>
        <w:t>73</w:t>
      </w:r>
      <w:r>
        <w:tab/>
        <w:t>13</w:t>
      </w:r>
    </w:p>
    <w:p w14:paraId="61DCB726" w14:textId="77777777" w:rsidR="00192446" w:rsidRDefault="00192446" w:rsidP="00192446">
      <w:pPr>
        <w:tabs>
          <w:tab w:val="right" w:leader="dot" w:pos="7654"/>
          <w:tab w:val="right" w:pos="8929"/>
          <w:tab w:val="right" w:pos="9638"/>
        </w:tabs>
        <w:spacing w:after="120"/>
        <w:ind w:left="1984" w:hanging="425"/>
      </w:pPr>
      <w:r>
        <w:t>5.</w:t>
      </w:r>
      <w:r>
        <w:tab/>
      </w:r>
      <w:r w:rsidRPr="00883CD1">
        <w:rPr>
          <w:spacing w:val="-4"/>
          <w:lang w:val="fr-FR"/>
        </w:rPr>
        <w:t>Renseignements concernant un événement survenu pendant le transport</w:t>
      </w:r>
      <w:r w:rsidRPr="00047D1A">
        <w:rPr>
          <w:lang w:val="fr-FR"/>
        </w:rPr>
        <w:t xml:space="preserve"> </w:t>
      </w:r>
      <w:r>
        <w:rPr>
          <w:lang w:val="fr-FR"/>
        </w:rPr>
        <w:br/>
      </w:r>
      <w:r w:rsidRPr="00047D1A">
        <w:rPr>
          <w:lang w:val="fr-FR"/>
        </w:rPr>
        <w:t>de marchandises dangereuses, conformément au 1.8.5</w:t>
      </w:r>
      <w:r>
        <w:tab/>
      </w:r>
      <w:r>
        <w:tab/>
        <w:t>74−76</w:t>
      </w:r>
      <w:r>
        <w:tab/>
        <w:t>13</w:t>
      </w:r>
    </w:p>
    <w:p w14:paraId="6B6B1747" w14:textId="77777777" w:rsidR="00192446" w:rsidRDefault="00192446" w:rsidP="00192446">
      <w:pPr>
        <w:tabs>
          <w:tab w:val="right" w:leader="dot" w:pos="7654"/>
          <w:tab w:val="right" w:pos="8929"/>
          <w:tab w:val="right" w:pos="9638"/>
        </w:tabs>
        <w:spacing w:after="120"/>
        <w:ind w:left="1984" w:hanging="425"/>
      </w:pPr>
      <w:r>
        <w:t>6.</w:t>
      </w:r>
      <w:r>
        <w:tab/>
      </w:r>
      <w:r w:rsidRPr="00047D1A">
        <w:rPr>
          <w:lang w:val="fr-FR"/>
        </w:rPr>
        <w:t xml:space="preserve">Code tunnel pour le </w:t>
      </w:r>
      <w:r>
        <w:rPr>
          <w:lang w:val="fr-FR"/>
        </w:rPr>
        <w:t>No</w:t>
      </w:r>
      <w:r w:rsidRPr="00047D1A">
        <w:rPr>
          <w:lang w:val="fr-FR"/>
        </w:rPr>
        <w:t xml:space="preserve"> ONU 1043 dans l’ADR 2019</w:t>
      </w:r>
      <w:r>
        <w:tab/>
      </w:r>
      <w:r>
        <w:tab/>
        <w:t>77</w:t>
      </w:r>
      <w:r>
        <w:tab/>
        <w:t>13</w:t>
      </w:r>
    </w:p>
    <w:p w14:paraId="0668DCE8" w14:textId="77777777" w:rsidR="00192446" w:rsidRDefault="00192446" w:rsidP="00192446">
      <w:pPr>
        <w:tabs>
          <w:tab w:val="right" w:leader="dot" w:pos="7654"/>
          <w:tab w:val="right" w:pos="8929"/>
          <w:tab w:val="right" w:pos="9638"/>
        </w:tabs>
        <w:spacing w:after="120"/>
        <w:ind w:left="1984" w:hanging="425"/>
      </w:pPr>
      <w:r>
        <w:lastRenderedPageBreak/>
        <w:t>7.</w:t>
      </w:r>
      <w:r>
        <w:tab/>
      </w:r>
      <w:r w:rsidRPr="00047D1A">
        <w:rPr>
          <w:lang w:val="fr-FR"/>
        </w:rPr>
        <w:t xml:space="preserve">Résultats de la deuxième réunion du groupe de travail informel chargé </w:t>
      </w:r>
      <w:r>
        <w:rPr>
          <w:lang w:val="fr-FR"/>
        </w:rPr>
        <w:br/>
      </w:r>
      <w:r w:rsidRPr="00047D1A">
        <w:rPr>
          <w:lang w:val="fr-FR"/>
        </w:rPr>
        <w:t xml:space="preserve">de la </w:t>
      </w:r>
      <w:r>
        <w:rPr>
          <w:lang w:val="fr-FR"/>
        </w:rPr>
        <w:t>« </w:t>
      </w:r>
      <w:r w:rsidRPr="00047D1A">
        <w:rPr>
          <w:lang w:val="fr-FR"/>
        </w:rPr>
        <w:t>clarification du 9.3.4.2 de l’ADR</w:t>
      </w:r>
      <w:r>
        <w:rPr>
          <w:lang w:val="fr-FR"/>
        </w:rPr>
        <w:t> »</w:t>
      </w:r>
      <w:r>
        <w:tab/>
      </w:r>
      <w:r>
        <w:tab/>
        <w:t>78</w:t>
      </w:r>
      <w:r>
        <w:tab/>
        <w:t>13</w:t>
      </w:r>
    </w:p>
    <w:p w14:paraId="7FEF6926" w14:textId="77777777" w:rsidR="00192446" w:rsidRDefault="00192446" w:rsidP="00192446">
      <w:pPr>
        <w:tabs>
          <w:tab w:val="right" w:leader="dot" w:pos="7654"/>
          <w:tab w:val="right" w:pos="8929"/>
          <w:tab w:val="right" w:pos="9638"/>
        </w:tabs>
        <w:spacing w:after="120"/>
        <w:ind w:left="1984" w:hanging="425"/>
      </w:pPr>
      <w:r>
        <w:t>8.</w:t>
      </w:r>
      <w:r>
        <w:tab/>
      </w:r>
      <w:r w:rsidRPr="00047D1A">
        <w:rPr>
          <w:lang w:val="fr-FR"/>
        </w:rPr>
        <w:t>Hommage à M.</w:t>
      </w:r>
      <w:r>
        <w:rPr>
          <w:lang w:val="fr-FR"/>
        </w:rPr>
        <w:t> </w:t>
      </w:r>
      <w:r w:rsidRPr="00047D1A">
        <w:rPr>
          <w:lang w:val="fr-FR"/>
        </w:rPr>
        <w:t>José Alberto Franco</w:t>
      </w:r>
      <w:r>
        <w:tab/>
      </w:r>
      <w:r>
        <w:tab/>
        <w:t>79−80</w:t>
      </w:r>
      <w:r>
        <w:tab/>
        <w:t>13</w:t>
      </w:r>
    </w:p>
    <w:p w14:paraId="1EA1D1D7" w14:textId="77777777" w:rsidR="00192446" w:rsidRDefault="00192446" w:rsidP="00192446">
      <w:pPr>
        <w:tabs>
          <w:tab w:val="right" w:pos="850"/>
          <w:tab w:val="right" w:leader="dot" w:pos="7654"/>
          <w:tab w:val="right" w:pos="8929"/>
          <w:tab w:val="right" w:pos="9638"/>
        </w:tabs>
        <w:spacing w:after="120"/>
        <w:ind w:left="1134" w:hanging="1134"/>
      </w:pPr>
      <w:r>
        <w:tab/>
        <w:t>X.</w:t>
      </w:r>
      <w:r>
        <w:tab/>
      </w:r>
      <w:r w:rsidRPr="00047D1A">
        <w:rPr>
          <w:lang w:val="fr-FR"/>
        </w:rPr>
        <w:t>Élection du Bureau pour 2019 (point 9 de l’ordre du jour)</w:t>
      </w:r>
      <w:r>
        <w:tab/>
      </w:r>
      <w:r>
        <w:tab/>
        <w:t>81</w:t>
      </w:r>
      <w:r>
        <w:tab/>
        <w:t>14</w:t>
      </w:r>
    </w:p>
    <w:p w14:paraId="40FBE279" w14:textId="77777777" w:rsidR="00192446" w:rsidRDefault="00192446" w:rsidP="00192446">
      <w:pPr>
        <w:tabs>
          <w:tab w:val="right" w:pos="850"/>
          <w:tab w:val="right" w:leader="dot" w:pos="7654"/>
          <w:tab w:val="right" w:pos="8929"/>
          <w:tab w:val="right" w:pos="9638"/>
        </w:tabs>
        <w:spacing w:after="120"/>
        <w:ind w:left="1134" w:hanging="1134"/>
      </w:pPr>
      <w:r>
        <w:tab/>
        <w:t>XI.</w:t>
      </w:r>
      <w:r>
        <w:tab/>
      </w:r>
      <w:r w:rsidRPr="00047D1A">
        <w:rPr>
          <w:lang w:val="fr-FR"/>
        </w:rPr>
        <w:t>Adoption du rapport (point 10 de l’ordre du jour)</w:t>
      </w:r>
      <w:r>
        <w:tab/>
      </w:r>
      <w:r>
        <w:tab/>
        <w:t>82</w:t>
      </w:r>
      <w:r>
        <w:tab/>
        <w:t>14</w:t>
      </w:r>
    </w:p>
    <w:p w14:paraId="1A2C0CBB" w14:textId="77777777" w:rsidR="00192446" w:rsidRPr="00595DEA" w:rsidRDefault="00192446" w:rsidP="00192446">
      <w:pPr>
        <w:tabs>
          <w:tab w:val="right" w:pos="850"/>
        </w:tabs>
        <w:spacing w:after="120"/>
      </w:pPr>
      <w:r>
        <w:tab/>
        <w:t>Annexes</w:t>
      </w:r>
    </w:p>
    <w:p w14:paraId="26F1346E" w14:textId="77777777" w:rsidR="00192446" w:rsidRDefault="00192446" w:rsidP="00192446">
      <w:pPr>
        <w:tabs>
          <w:tab w:val="right" w:pos="850"/>
          <w:tab w:val="right" w:leader="dot" w:pos="8929"/>
          <w:tab w:val="right" w:pos="9638"/>
        </w:tabs>
        <w:spacing w:after="120"/>
        <w:ind w:left="1134" w:hanging="1134"/>
      </w:pPr>
      <w:r>
        <w:tab/>
        <w:t>I.</w:t>
      </w:r>
      <w:r>
        <w:tab/>
      </w:r>
      <w:r w:rsidRPr="00883CD1">
        <w:rPr>
          <w:spacing w:val="-2"/>
          <w:lang w:val="fr-FR"/>
        </w:rPr>
        <w:t xml:space="preserve">Projet d’amendements aux annexes A et B de l’ADR pour </w:t>
      </w:r>
      <w:proofErr w:type="spellStart"/>
      <w:r w:rsidRPr="00883CD1">
        <w:rPr>
          <w:spacing w:val="-2"/>
          <w:lang w:val="fr-FR"/>
        </w:rPr>
        <w:t>entrée</w:t>
      </w:r>
      <w:proofErr w:type="spellEnd"/>
      <w:r w:rsidRPr="00883CD1">
        <w:rPr>
          <w:spacing w:val="-2"/>
          <w:lang w:val="fr-FR"/>
        </w:rPr>
        <w:t xml:space="preserve"> en vigueur le 1</w:t>
      </w:r>
      <w:r w:rsidRPr="00883CD1">
        <w:rPr>
          <w:spacing w:val="-2"/>
          <w:vertAlign w:val="superscript"/>
          <w:lang w:val="fr-FR"/>
        </w:rPr>
        <w:t>er</w:t>
      </w:r>
      <w:r w:rsidRPr="00883CD1">
        <w:rPr>
          <w:spacing w:val="-2"/>
          <w:lang w:val="fr-FR"/>
        </w:rPr>
        <w:t xml:space="preserve"> janvier 2021</w:t>
      </w:r>
      <w:r>
        <w:tab/>
      </w:r>
      <w:r>
        <w:tab/>
        <w:t>15</w:t>
      </w:r>
    </w:p>
    <w:p w14:paraId="0E753947" w14:textId="77777777" w:rsidR="00192446" w:rsidRDefault="00192446" w:rsidP="00192446">
      <w:pPr>
        <w:tabs>
          <w:tab w:val="right" w:pos="850"/>
          <w:tab w:val="right" w:leader="dot" w:pos="8929"/>
          <w:tab w:val="right" w:pos="9638"/>
        </w:tabs>
        <w:spacing w:after="120"/>
        <w:ind w:left="1134" w:hanging="1134"/>
      </w:pPr>
      <w:r>
        <w:tab/>
        <w:t>II.</w:t>
      </w:r>
      <w:r>
        <w:tab/>
      </w:r>
      <w:r w:rsidRPr="00883CD1">
        <w:rPr>
          <w:lang w:val="fr-FR"/>
        </w:rPr>
        <w:t xml:space="preserve">Ligne directrice pour l’application de la norme EN 12972 (Citernes destinées au transport </w:t>
      </w:r>
      <w:r>
        <w:rPr>
          <w:lang w:val="fr-FR"/>
        </w:rPr>
        <w:br/>
      </w:r>
      <w:r w:rsidRPr="00883CD1">
        <w:rPr>
          <w:lang w:val="fr-FR"/>
        </w:rPr>
        <w:t xml:space="preserve">des matières dangereuses − Épreuve, contrôle et marquage des citernes métalliques) </w:t>
      </w:r>
      <w:r>
        <w:rPr>
          <w:lang w:val="fr-FR"/>
        </w:rPr>
        <w:br/>
      </w:r>
      <w:r w:rsidRPr="00883CD1">
        <w:rPr>
          <w:lang w:val="fr-FR"/>
        </w:rPr>
        <w:t>afin de respecter les prescriptions du RID et de l’ADR</w:t>
      </w:r>
      <w:r>
        <w:tab/>
      </w:r>
      <w:r>
        <w:tab/>
        <w:t>20</w:t>
      </w:r>
    </w:p>
    <w:p w14:paraId="4223200D" w14:textId="77777777" w:rsidR="00047D1A" w:rsidRPr="00047D1A" w:rsidRDefault="00083179" w:rsidP="0012735B">
      <w:pPr>
        <w:pStyle w:val="HChG"/>
      </w:pPr>
      <w:r>
        <w:br w:type="page"/>
      </w:r>
      <w:bookmarkStart w:id="2" w:name="_Toc499903629"/>
      <w:r w:rsidR="00047D1A" w:rsidRPr="00047D1A">
        <w:rPr>
          <w:lang w:val="fr-FR"/>
        </w:rPr>
        <w:lastRenderedPageBreak/>
        <w:tab/>
        <w:t>I.</w:t>
      </w:r>
      <w:r w:rsidR="00047D1A" w:rsidRPr="00047D1A">
        <w:rPr>
          <w:lang w:val="fr-FR"/>
        </w:rPr>
        <w:tab/>
      </w:r>
      <w:bookmarkStart w:id="3" w:name="_Hlk6316881"/>
      <w:r w:rsidR="00047D1A" w:rsidRPr="00047D1A">
        <w:rPr>
          <w:lang w:val="fr-FR"/>
        </w:rPr>
        <w:t>Participation</w:t>
      </w:r>
      <w:bookmarkEnd w:id="2"/>
      <w:bookmarkEnd w:id="3"/>
    </w:p>
    <w:p w14:paraId="58916298" w14:textId="77777777" w:rsidR="00047D1A" w:rsidRPr="00047D1A" w:rsidRDefault="00047D1A" w:rsidP="00047D1A">
      <w:pPr>
        <w:pStyle w:val="SingleTxtG"/>
      </w:pPr>
      <w:r w:rsidRPr="00047D1A">
        <w:rPr>
          <w:lang w:val="fr-FR"/>
        </w:rPr>
        <w:t>1.</w:t>
      </w:r>
      <w:r w:rsidRPr="00047D1A">
        <w:rPr>
          <w:lang w:val="fr-FR"/>
        </w:rPr>
        <w:tab/>
        <w:t>Le Groupe de travail des transports de marchandises dangereuses a tenu sa 105</w:t>
      </w:r>
      <w:r w:rsidRPr="0012735B">
        <w:rPr>
          <w:vertAlign w:val="superscript"/>
          <w:lang w:val="fr-FR"/>
        </w:rPr>
        <w:t>e</w:t>
      </w:r>
      <w:r w:rsidR="0012735B">
        <w:rPr>
          <w:lang w:val="fr-FR"/>
        </w:rPr>
        <w:t> </w:t>
      </w:r>
      <w:r w:rsidRPr="00047D1A">
        <w:rPr>
          <w:lang w:val="fr-FR"/>
        </w:rPr>
        <w:t>session du 6 au 9 novembre 2018 sous la présidence de M.</w:t>
      </w:r>
      <w:r w:rsidR="0012735B">
        <w:rPr>
          <w:lang w:val="fr-FR"/>
        </w:rPr>
        <w:t> </w:t>
      </w:r>
      <w:r w:rsidRPr="00047D1A">
        <w:rPr>
          <w:lang w:val="fr-FR"/>
        </w:rPr>
        <w:t>J.</w:t>
      </w:r>
      <w:r w:rsidR="0012735B">
        <w:rPr>
          <w:lang w:val="fr-FR"/>
        </w:rPr>
        <w:t> </w:t>
      </w:r>
      <w:r w:rsidRPr="00047D1A">
        <w:rPr>
          <w:lang w:val="fr-FR"/>
        </w:rPr>
        <w:t xml:space="preserve">A. Franco (Portugal) et la vice-présidence de </w:t>
      </w:r>
      <w:r w:rsidR="0012735B" w:rsidRPr="0012735B">
        <w:rPr>
          <w:lang w:val="fr-FR"/>
        </w:rPr>
        <w:t>M</w:t>
      </w:r>
      <w:r w:rsidR="0012735B" w:rsidRPr="0012735B">
        <w:rPr>
          <w:vertAlign w:val="superscript"/>
          <w:lang w:val="fr-FR"/>
        </w:rPr>
        <w:t>me</w:t>
      </w:r>
      <w:r w:rsidR="0012735B" w:rsidRPr="0012735B">
        <w:rPr>
          <w:lang w:val="fr-FR"/>
        </w:rPr>
        <w:t> </w:t>
      </w:r>
      <w:r w:rsidRPr="00047D1A">
        <w:rPr>
          <w:lang w:val="fr-FR"/>
        </w:rPr>
        <w:t>A.</w:t>
      </w:r>
      <w:r w:rsidR="0012735B">
        <w:rPr>
          <w:lang w:val="fr-FR"/>
        </w:rPr>
        <w:t> </w:t>
      </w:r>
      <w:r w:rsidRPr="00047D1A">
        <w:rPr>
          <w:lang w:val="fr-FR"/>
        </w:rPr>
        <w:t>Roumier (France).</w:t>
      </w:r>
    </w:p>
    <w:p w14:paraId="5C80532F" w14:textId="77777777" w:rsidR="00047D1A" w:rsidRPr="00047D1A" w:rsidRDefault="00047D1A" w:rsidP="00047D1A">
      <w:pPr>
        <w:pStyle w:val="SingleTxtG"/>
      </w:pPr>
      <w:r w:rsidRPr="00047D1A">
        <w:rPr>
          <w:lang w:val="fr-FR"/>
        </w:rPr>
        <w:t>2.</w:t>
      </w:r>
      <w:r w:rsidRPr="00047D1A">
        <w:rPr>
          <w:lang w:val="fr-FR"/>
        </w:rPr>
        <w:tab/>
        <w:t>Ont pris part à la session des représentants des pays suivants</w:t>
      </w:r>
      <w:r w:rsidR="0012735B">
        <w:rPr>
          <w:lang w:val="fr-FR"/>
        </w:rPr>
        <w:t> </w:t>
      </w:r>
      <w:r w:rsidRPr="00047D1A">
        <w:rPr>
          <w:lang w:val="fr-FR"/>
        </w:rPr>
        <w:t>: Allemagne, Autriche, Bélarus, Belgique, Danemark, Espagne, Fédération de Russie, Finlande, France, Géorgie, Grèce, Hongrie, Italie, Lettonie, Luxembourg, Malte, Pays-Bas, Pologne, Portugal, Roumanie, Royaume-Uni, Slovaquie, Suède, Suisse, Tchéquie et Turquie.</w:t>
      </w:r>
    </w:p>
    <w:p w14:paraId="4204167A" w14:textId="77777777" w:rsidR="00047D1A" w:rsidRPr="00047D1A" w:rsidRDefault="00047D1A" w:rsidP="00047D1A">
      <w:pPr>
        <w:pStyle w:val="SingleTxtG"/>
      </w:pPr>
      <w:r w:rsidRPr="00047D1A">
        <w:rPr>
          <w:lang w:val="fr-FR"/>
        </w:rPr>
        <w:t>3.</w:t>
      </w:r>
      <w:r w:rsidRPr="00047D1A">
        <w:rPr>
          <w:lang w:val="fr-FR"/>
        </w:rPr>
        <w:tab/>
        <w:t>Des représentants de l’Algérie, de l’Égypte, de l’État de Palestine, de la Jordanie, du Liban, du Maroc et de la Tunisie ont participé à la session conformément aux dispositions du paragraphe 11 du mandat de la Commission économique pour l’Europe. La Tunisie et le Maroc ont pris part de plein droit à la session pour les questions relatives à l’Accord européen relatif au transport international des marchandises dangereuses par route (ADR), conformément à l’article premier, alinéa b), du règlement intérieur du Groupe de travail.</w:t>
      </w:r>
    </w:p>
    <w:p w14:paraId="31DF2F72" w14:textId="77777777" w:rsidR="00047D1A" w:rsidRPr="00047D1A" w:rsidRDefault="00047D1A" w:rsidP="00047D1A">
      <w:pPr>
        <w:pStyle w:val="SingleTxtG"/>
      </w:pPr>
      <w:r w:rsidRPr="00047D1A">
        <w:rPr>
          <w:lang w:val="fr-FR"/>
        </w:rPr>
        <w:t>4.</w:t>
      </w:r>
      <w:r w:rsidRPr="00047D1A">
        <w:rPr>
          <w:lang w:val="fr-FR"/>
        </w:rPr>
        <w:tab/>
        <w:t>L’Union européenne était représentée.</w:t>
      </w:r>
    </w:p>
    <w:p w14:paraId="5A2BFC2F" w14:textId="77777777" w:rsidR="00047D1A" w:rsidRPr="00047D1A" w:rsidRDefault="00047D1A" w:rsidP="00047D1A">
      <w:pPr>
        <w:pStyle w:val="SingleTxtG"/>
      </w:pPr>
      <w:r w:rsidRPr="00047D1A">
        <w:rPr>
          <w:lang w:val="fr-FR"/>
        </w:rPr>
        <w:t>5.</w:t>
      </w:r>
      <w:r w:rsidRPr="00047D1A">
        <w:rPr>
          <w:lang w:val="fr-FR"/>
        </w:rPr>
        <w:tab/>
        <w:t>L’organisation intergouvernementale suivante était représentée</w:t>
      </w:r>
      <w:r w:rsidR="006C28AF">
        <w:rPr>
          <w:lang w:val="fr-FR"/>
        </w:rPr>
        <w:t> </w:t>
      </w:r>
      <w:r w:rsidRPr="00047D1A">
        <w:rPr>
          <w:lang w:val="fr-FR"/>
        </w:rPr>
        <w:t>: Organisation intergouvernementale pour les transports internationaux ferroviaires (OTIF).</w:t>
      </w:r>
    </w:p>
    <w:p w14:paraId="647673C2" w14:textId="77777777" w:rsidR="00047D1A" w:rsidRPr="00047D1A" w:rsidRDefault="00047D1A" w:rsidP="00047D1A">
      <w:pPr>
        <w:pStyle w:val="SingleTxtG"/>
      </w:pPr>
      <w:r w:rsidRPr="00047D1A">
        <w:rPr>
          <w:lang w:val="fr-FR"/>
        </w:rPr>
        <w:t>6.</w:t>
      </w:r>
      <w:r w:rsidRPr="00047D1A">
        <w:rPr>
          <w:lang w:val="fr-FR"/>
        </w:rPr>
        <w:tab/>
        <w:t>Les organisations non gouvernementales suivantes étaient représentées</w:t>
      </w:r>
      <w:r w:rsidR="006C28AF">
        <w:rPr>
          <w:lang w:val="fr-FR"/>
        </w:rPr>
        <w:t> </w:t>
      </w:r>
      <w:r w:rsidRPr="00047D1A">
        <w:rPr>
          <w:lang w:val="fr-FR"/>
        </w:rPr>
        <w:t xml:space="preserve">: la Conférence européenne des négociants en combustibles et carburants (CENCC), le Conseil européen de l’industrie chimique (CEFIC) et l’Union internationale des transports routiers (IRU). Le projet EuroMed était également représenté. </w:t>
      </w:r>
    </w:p>
    <w:p w14:paraId="2F43CDC4" w14:textId="77777777" w:rsidR="00047D1A" w:rsidRPr="00047D1A" w:rsidRDefault="00047D1A" w:rsidP="0051709D">
      <w:pPr>
        <w:pStyle w:val="HChG"/>
      </w:pPr>
      <w:r w:rsidRPr="00047D1A">
        <w:rPr>
          <w:lang w:val="fr-FR"/>
        </w:rPr>
        <w:tab/>
        <w:t>II.</w:t>
      </w:r>
      <w:r w:rsidRPr="00047D1A">
        <w:rPr>
          <w:lang w:val="fr-FR"/>
        </w:rPr>
        <w:tab/>
      </w:r>
      <w:bookmarkStart w:id="4" w:name="_Hlk6316889"/>
      <w:r w:rsidRPr="00047D1A">
        <w:rPr>
          <w:lang w:val="fr-FR"/>
        </w:rPr>
        <w:t>Adoption de l’ordre du jour (point 1 de l’ordre du jour)</w:t>
      </w:r>
      <w:bookmarkStart w:id="5" w:name="_Toc499903630"/>
      <w:bookmarkEnd w:id="5"/>
      <w:bookmarkEnd w:id="4"/>
    </w:p>
    <w:p w14:paraId="5739AE72" w14:textId="77777777" w:rsidR="00047D1A" w:rsidRPr="00047D1A" w:rsidRDefault="00047D1A" w:rsidP="0051709D">
      <w:pPr>
        <w:pStyle w:val="SingleTxtG"/>
        <w:ind w:left="3402" w:hanging="2268"/>
      </w:pPr>
      <w:r w:rsidRPr="00047D1A">
        <w:rPr>
          <w:i/>
          <w:iCs/>
          <w:lang w:val="fr-FR"/>
        </w:rPr>
        <w:t>Documents</w:t>
      </w:r>
      <w:r w:rsidR="0051709D">
        <w:rPr>
          <w:i/>
          <w:iCs/>
          <w:lang w:val="fr-FR"/>
        </w:rPr>
        <w:t> </w:t>
      </w:r>
      <w:r w:rsidRPr="00F871EF">
        <w:rPr>
          <w:iCs/>
          <w:lang w:val="fr-FR"/>
        </w:rPr>
        <w:t>:</w:t>
      </w:r>
      <w:r w:rsidRPr="00047D1A">
        <w:rPr>
          <w:lang w:val="fr-FR"/>
        </w:rPr>
        <w:tab/>
        <w:t>ECE/TRANS/WP.15/243 et Add.1 (secrétariat).</w:t>
      </w:r>
    </w:p>
    <w:p w14:paraId="5AE627E0" w14:textId="77777777" w:rsidR="00047D1A" w:rsidRPr="00047D1A" w:rsidRDefault="00047D1A" w:rsidP="0051709D">
      <w:pPr>
        <w:pStyle w:val="SingleTxtG"/>
        <w:ind w:left="3402" w:hanging="2268"/>
      </w:pPr>
      <w:r w:rsidRPr="00047D1A">
        <w:rPr>
          <w:i/>
          <w:iCs/>
          <w:lang w:val="fr-FR"/>
        </w:rPr>
        <w:t>Documents informels</w:t>
      </w:r>
      <w:r w:rsidR="0051709D">
        <w:rPr>
          <w:i/>
          <w:iCs/>
          <w:lang w:val="fr-FR"/>
        </w:rPr>
        <w:t> </w:t>
      </w:r>
      <w:r w:rsidRPr="00047D1A">
        <w:rPr>
          <w:lang w:val="fr-FR"/>
        </w:rPr>
        <w:t>:</w:t>
      </w:r>
      <w:r w:rsidRPr="00047D1A">
        <w:rPr>
          <w:lang w:val="fr-FR"/>
        </w:rPr>
        <w:tab/>
        <w:t>INF.1 et INF.2 (secrétariat).</w:t>
      </w:r>
    </w:p>
    <w:p w14:paraId="4A949BC2" w14:textId="77777777" w:rsidR="00047D1A" w:rsidRPr="00047D1A" w:rsidRDefault="00047D1A" w:rsidP="00047D1A">
      <w:pPr>
        <w:pStyle w:val="SingleTxtG"/>
      </w:pPr>
      <w:r w:rsidRPr="00047D1A">
        <w:rPr>
          <w:lang w:val="fr-FR"/>
        </w:rPr>
        <w:t>7.</w:t>
      </w:r>
      <w:r w:rsidRPr="00047D1A">
        <w:rPr>
          <w:lang w:val="fr-FR"/>
        </w:rPr>
        <w:tab/>
        <w:t>Le Groupe de travail a adopté l’ordre du jour provisoire établi par le secrétariat, tel que modifié par le document informel INF.2 pour tenir compte des documents informels INF.1 à INF.33.</w:t>
      </w:r>
    </w:p>
    <w:p w14:paraId="42284415" w14:textId="77777777" w:rsidR="00047D1A" w:rsidRPr="00047D1A" w:rsidRDefault="00047D1A" w:rsidP="0051709D">
      <w:pPr>
        <w:pStyle w:val="HChG"/>
      </w:pPr>
      <w:r w:rsidRPr="00047D1A">
        <w:rPr>
          <w:lang w:val="fr-FR"/>
        </w:rPr>
        <w:tab/>
        <w:t>III.</w:t>
      </w:r>
      <w:r w:rsidRPr="00047D1A">
        <w:rPr>
          <w:lang w:val="fr-FR"/>
        </w:rPr>
        <w:tab/>
      </w:r>
      <w:bookmarkStart w:id="6" w:name="_Hlk6316904"/>
      <w:r w:rsidRPr="00047D1A">
        <w:rPr>
          <w:lang w:val="fr-FR"/>
        </w:rPr>
        <w:t>Quatre-vingtième session du Comité des transports intérieurs (point 2 de l’ordre du jour)</w:t>
      </w:r>
      <w:bookmarkStart w:id="7" w:name="_Toc499903631"/>
      <w:bookmarkEnd w:id="7"/>
      <w:bookmarkEnd w:id="6"/>
    </w:p>
    <w:p w14:paraId="1DC8B4F8" w14:textId="77777777" w:rsidR="00047D1A" w:rsidRPr="00047D1A" w:rsidRDefault="00047D1A" w:rsidP="0051709D">
      <w:pPr>
        <w:pStyle w:val="SingleTxtG"/>
        <w:ind w:left="3402" w:hanging="2268"/>
      </w:pPr>
      <w:r w:rsidRPr="00047D1A">
        <w:rPr>
          <w:i/>
          <w:iCs/>
          <w:lang w:val="fr-FR"/>
        </w:rPr>
        <w:t>Document</w:t>
      </w:r>
      <w:r w:rsidR="0051709D">
        <w:rPr>
          <w:i/>
          <w:iCs/>
          <w:lang w:val="fr-FR"/>
        </w:rPr>
        <w:t> </w:t>
      </w:r>
      <w:r w:rsidRPr="00047D1A">
        <w:rPr>
          <w:lang w:val="fr-FR"/>
        </w:rPr>
        <w:t>:</w:t>
      </w:r>
      <w:r w:rsidRPr="00047D1A">
        <w:rPr>
          <w:lang w:val="fr-FR"/>
        </w:rPr>
        <w:tab/>
      </w:r>
      <w:r w:rsidRPr="00047D1A">
        <w:rPr>
          <w:lang w:val="fr-FR"/>
        </w:rPr>
        <w:tab/>
        <w:t>ECE/TRANS/274 (secrétariat).</w:t>
      </w:r>
    </w:p>
    <w:p w14:paraId="37D351AE" w14:textId="77777777" w:rsidR="00047D1A" w:rsidRPr="00047D1A" w:rsidRDefault="00047D1A" w:rsidP="00047D1A">
      <w:pPr>
        <w:pStyle w:val="SingleTxtG"/>
      </w:pPr>
      <w:r w:rsidRPr="00047D1A">
        <w:rPr>
          <w:lang w:val="fr-FR"/>
        </w:rPr>
        <w:t>8.</w:t>
      </w:r>
      <w:r w:rsidRPr="00047D1A">
        <w:rPr>
          <w:lang w:val="fr-FR"/>
        </w:rPr>
        <w:tab/>
        <w:t>Le Groupe de travail a noté que le Bureau du Comité des transports intérieurs examinerait, durant sa prochaine session, les 29 et 30 novembre 2018, les observations reçues au sujet du projet de stratégie du Comité jusqu’en 2030. Une fois qu’il aura été approuvé par le Bureau, le projet de stratégie sera soumis au Comité en session restreinte, prévue le 19 février 2019, en vue d’une décision. Il a été noté que le secrétariat s’attendait à une participation élevée à cette session d’appui à la stratégie du Comité.</w:t>
      </w:r>
    </w:p>
    <w:p w14:paraId="40F153E8" w14:textId="77777777" w:rsidR="00047D1A" w:rsidRPr="00047D1A" w:rsidRDefault="00047D1A" w:rsidP="00047D1A">
      <w:pPr>
        <w:pStyle w:val="SingleTxtG"/>
      </w:pPr>
      <w:r w:rsidRPr="00047D1A">
        <w:rPr>
          <w:lang w:val="fr-FR"/>
        </w:rPr>
        <w:t>9.</w:t>
      </w:r>
      <w:r w:rsidRPr="00047D1A">
        <w:rPr>
          <w:lang w:val="fr-FR"/>
        </w:rPr>
        <w:tab/>
        <w:t>Le Groupe de travail a également noté qu’en raison de la réforme dont faisait l’objet le cycle budgétaire et de planification de l’ONU, il fallait s’attendre à un certain nombre de changements à compter de 2020, aussi bien sur le plan de la structure que sur celui du contenu. Par exemple, le plan-programme serait établi chaque année (et non tous les deux ans, comme c’était le cas jusque-là), indiquerait les ressources nécessaires pour les postes et les objets de dépense autres que les postes, et serait axé sur les produits et services rendus (plutôt que sur les «</w:t>
      </w:r>
      <w:r w:rsidR="00516415">
        <w:rPr>
          <w:lang w:val="fr-FR"/>
        </w:rPr>
        <w:t> </w:t>
      </w:r>
      <w:r w:rsidRPr="00047D1A">
        <w:rPr>
          <w:lang w:val="fr-FR"/>
        </w:rPr>
        <w:t>réalisations escomptées et les indicateurs de succès</w:t>
      </w:r>
      <w:r w:rsidR="00516415">
        <w:rPr>
          <w:lang w:val="fr-FR"/>
        </w:rPr>
        <w:t> </w:t>
      </w:r>
      <w:r w:rsidRPr="00047D1A">
        <w:rPr>
          <w:lang w:val="fr-FR"/>
        </w:rPr>
        <w:t>»), de façon à mieux évaluer les réalisations. Le secrétariat continuerait de tenir le Groupe de travail informé des faits nouveaux sur cette question.</w:t>
      </w:r>
    </w:p>
    <w:p w14:paraId="052CC101" w14:textId="77777777" w:rsidR="00047D1A" w:rsidRPr="00047D1A" w:rsidRDefault="00047D1A" w:rsidP="00047D1A">
      <w:pPr>
        <w:pStyle w:val="SingleTxtG"/>
      </w:pPr>
      <w:r w:rsidRPr="00047D1A">
        <w:rPr>
          <w:lang w:val="fr-FR"/>
        </w:rPr>
        <w:lastRenderedPageBreak/>
        <w:t>10.</w:t>
      </w:r>
      <w:r w:rsidRPr="00047D1A">
        <w:rPr>
          <w:lang w:val="fr-FR"/>
        </w:rPr>
        <w:tab/>
        <w:t xml:space="preserve">Le Groupe de travail a appris que le rapport du Comité des transports intérieurs sur sa quatre-vingtième session était disponible sur le site Web de la CEE en anglais, français et russe. </w:t>
      </w:r>
    </w:p>
    <w:p w14:paraId="20F4EF0C" w14:textId="77777777" w:rsidR="00047D1A" w:rsidRPr="00047D1A" w:rsidRDefault="00047D1A" w:rsidP="00516415">
      <w:pPr>
        <w:pStyle w:val="HChG"/>
      </w:pPr>
      <w:r w:rsidRPr="00047D1A">
        <w:rPr>
          <w:lang w:val="fr-FR"/>
        </w:rPr>
        <w:tab/>
        <w:t>IV.</w:t>
      </w:r>
      <w:r w:rsidRPr="00047D1A">
        <w:rPr>
          <w:lang w:val="fr-FR"/>
        </w:rPr>
        <w:tab/>
      </w:r>
      <w:bookmarkStart w:id="8" w:name="_Hlk6316924"/>
      <w:r w:rsidRPr="00047D1A">
        <w:rPr>
          <w:lang w:val="fr-FR"/>
        </w:rPr>
        <w:t>État de l’Accord européen relatif au transport international des marchandises dangereuses par route (ADR) et questions connexes (point 3 de l’ordre du jour)</w:t>
      </w:r>
      <w:bookmarkStart w:id="9" w:name="_Toc499903632"/>
      <w:bookmarkEnd w:id="9"/>
      <w:bookmarkEnd w:id="8"/>
    </w:p>
    <w:p w14:paraId="6F83753A" w14:textId="77777777" w:rsidR="00047D1A" w:rsidRPr="00047D1A" w:rsidRDefault="00047D1A" w:rsidP="00516415">
      <w:pPr>
        <w:pStyle w:val="H1G"/>
      </w:pPr>
      <w:r w:rsidRPr="00047D1A">
        <w:rPr>
          <w:lang w:val="fr-FR"/>
        </w:rPr>
        <w:tab/>
        <w:t>A.</w:t>
      </w:r>
      <w:r w:rsidRPr="00047D1A">
        <w:rPr>
          <w:lang w:val="fr-FR"/>
        </w:rPr>
        <w:tab/>
      </w:r>
      <w:bookmarkStart w:id="10" w:name="_Hlk6316931"/>
      <w:r w:rsidRPr="00047D1A">
        <w:rPr>
          <w:lang w:val="fr-FR"/>
        </w:rPr>
        <w:t>État de l’Accord et du Protocole d’amendement de 1993</w:t>
      </w:r>
      <w:bookmarkEnd w:id="10"/>
    </w:p>
    <w:p w14:paraId="2135120E" w14:textId="77777777" w:rsidR="00047D1A" w:rsidRPr="00047D1A" w:rsidRDefault="00047D1A" w:rsidP="00516415">
      <w:pPr>
        <w:pStyle w:val="SingleTxtG"/>
        <w:ind w:left="3402" w:hanging="2268"/>
      </w:pPr>
      <w:r w:rsidRPr="00047D1A">
        <w:rPr>
          <w:i/>
          <w:iCs/>
          <w:lang w:val="fr-FR"/>
        </w:rPr>
        <w:t>Documents informels</w:t>
      </w:r>
      <w:r w:rsidR="00516415">
        <w:rPr>
          <w:i/>
          <w:iCs/>
          <w:lang w:val="fr-FR"/>
        </w:rPr>
        <w:t> </w:t>
      </w:r>
      <w:r w:rsidRPr="00047D1A">
        <w:rPr>
          <w:i/>
          <w:iCs/>
          <w:lang w:val="fr-FR"/>
        </w:rPr>
        <w:t>:</w:t>
      </w:r>
      <w:r w:rsidRPr="00047D1A">
        <w:rPr>
          <w:lang w:val="fr-FR"/>
        </w:rPr>
        <w:tab/>
        <w:t>INF.15 et INF.16 (secrétariat).</w:t>
      </w:r>
    </w:p>
    <w:p w14:paraId="0C0270CA" w14:textId="77777777" w:rsidR="00047D1A" w:rsidRPr="00047D1A" w:rsidRDefault="00047D1A" w:rsidP="00047D1A">
      <w:pPr>
        <w:pStyle w:val="SingleTxtG"/>
      </w:pPr>
      <w:r w:rsidRPr="00047D1A">
        <w:rPr>
          <w:lang w:val="fr-FR"/>
        </w:rPr>
        <w:t>11.</w:t>
      </w:r>
      <w:r w:rsidRPr="00047D1A">
        <w:rPr>
          <w:lang w:val="fr-FR"/>
        </w:rPr>
        <w:tab/>
        <w:t>Le Groupe de travail s’est félicité de l’adhésion du Nigéria à l’ADR (notification dépositaire C.N.506.2018.TREATIES-XI.B.14), portant ainsi le nombre de Parties contractantes à 51.</w:t>
      </w:r>
    </w:p>
    <w:p w14:paraId="54ADB6B8" w14:textId="77777777" w:rsidR="00047D1A" w:rsidRPr="00047D1A" w:rsidRDefault="00047D1A" w:rsidP="00047D1A">
      <w:pPr>
        <w:pStyle w:val="SingleTxtG"/>
      </w:pPr>
      <w:r w:rsidRPr="00047D1A">
        <w:rPr>
          <w:lang w:val="fr-FR"/>
        </w:rPr>
        <w:t>12.</w:t>
      </w:r>
      <w:r w:rsidRPr="00047D1A">
        <w:rPr>
          <w:lang w:val="fr-FR"/>
        </w:rPr>
        <w:tab/>
        <w:t>Le Groupe de travail a noté que les amendements adoptés au cours des deux dernières années (ECE/TRANS/WP.15/240 et Corr.1 et ECE/TRANS/WP.15/240/Add.1) avaient été proposés aux Parties contractantes par le Gouvernement du Portugal et étaient réputés acceptés pour entrée en vigueur le 1</w:t>
      </w:r>
      <w:r w:rsidRPr="00516415">
        <w:rPr>
          <w:vertAlign w:val="superscript"/>
          <w:lang w:val="fr-FR"/>
        </w:rPr>
        <w:t>er</w:t>
      </w:r>
      <w:r w:rsidR="00516415">
        <w:rPr>
          <w:lang w:val="fr-FR"/>
        </w:rPr>
        <w:t> </w:t>
      </w:r>
      <w:r w:rsidRPr="00047D1A">
        <w:rPr>
          <w:lang w:val="fr-FR"/>
        </w:rPr>
        <w:t xml:space="preserve">janvier 2019 (notifications dépositaires </w:t>
      </w:r>
      <w:r w:rsidRPr="00516415">
        <w:rPr>
          <w:spacing w:val="-2"/>
          <w:lang w:val="fr-FR"/>
        </w:rPr>
        <w:t>C.N.304.2018.TREATIES-XI.B.14 du 1</w:t>
      </w:r>
      <w:r w:rsidRPr="00516415">
        <w:rPr>
          <w:spacing w:val="-2"/>
          <w:vertAlign w:val="superscript"/>
          <w:lang w:val="fr-FR"/>
        </w:rPr>
        <w:t>er</w:t>
      </w:r>
      <w:r w:rsidR="00516415" w:rsidRPr="00516415">
        <w:rPr>
          <w:spacing w:val="-2"/>
          <w:lang w:val="fr-FR"/>
        </w:rPr>
        <w:t> </w:t>
      </w:r>
      <w:r w:rsidRPr="00516415">
        <w:rPr>
          <w:spacing w:val="-2"/>
          <w:lang w:val="fr-FR"/>
        </w:rPr>
        <w:t>juillet 2018 et C.N.488.2018.TREATIES-XI-B.14</w:t>
      </w:r>
      <w:r w:rsidRPr="00047D1A">
        <w:rPr>
          <w:lang w:val="fr-FR"/>
        </w:rPr>
        <w:t xml:space="preserve"> du 14 octobre 2018).</w:t>
      </w:r>
    </w:p>
    <w:p w14:paraId="274799AC" w14:textId="77777777" w:rsidR="00047D1A" w:rsidRPr="00047D1A" w:rsidRDefault="00047D1A" w:rsidP="00047D1A">
      <w:pPr>
        <w:pStyle w:val="SingleTxtG"/>
      </w:pPr>
      <w:r w:rsidRPr="00047D1A">
        <w:rPr>
          <w:lang w:val="fr-FR"/>
        </w:rPr>
        <w:t>13.</w:t>
      </w:r>
      <w:r w:rsidRPr="00047D1A">
        <w:rPr>
          <w:lang w:val="fr-FR"/>
        </w:rPr>
        <w:tab/>
        <w:t>Le Groupe de travail a encouragé les pays qui n’avaient pas encore déposé les instruments juridiques nécessaires pour l’entrée en vigueur du Protocole (Azerbaïdjan, Bélarus, Bosnie-Herzégovine, Croatie, ex-République yougoslave de Macédoine, Géorgie, Islande, Kazakhstan, Malte, Maroc, Monténégro, Nigéria, Saint-Marin, Tadjikistan et Tunisie) à prendre les mesures requises pour ratifier ce dernier ou y adhérer, afin qu’il puisse prendre effet.</w:t>
      </w:r>
    </w:p>
    <w:p w14:paraId="00DF1363" w14:textId="77777777" w:rsidR="00047D1A" w:rsidRPr="00047D1A" w:rsidRDefault="00047D1A" w:rsidP="00081098">
      <w:pPr>
        <w:pStyle w:val="H1G"/>
      </w:pPr>
      <w:r w:rsidRPr="00047D1A">
        <w:rPr>
          <w:lang w:val="fr-FR"/>
        </w:rPr>
        <w:tab/>
        <w:t>B.</w:t>
      </w:r>
      <w:r w:rsidRPr="00047D1A">
        <w:rPr>
          <w:lang w:val="fr-FR"/>
        </w:rPr>
        <w:tab/>
      </w:r>
      <w:bookmarkStart w:id="11" w:name="_Hlk6316954"/>
      <w:r w:rsidRPr="00047D1A">
        <w:rPr>
          <w:lang w:val="fr-FR"/>
        </w:rPr>
        <w:t>Révision du titre actuel de l’ADR</w:t>
      </w:r>
      <w:bookmarkEnd w:id="11"/>
    </w:p>
    <w:p w14:paraId="08F75D6A" w14:textId="77777777" w:rsidR="00047D1A" w:rsidRPr="00047D1A" w:rsidRDefault="00047D1A" w:rsidP="00081098">
      <w:pPr>
        <w:pStyle w:val="SingleTxtG"/>
        <w:ind w:left="3402" w:hanging="2268"/>
      </w:pPr>
      <w:r w:rsidRPr="00047D1A">
        <w:rPr>
          <w:i/>
          <w:iCs/>
          <w:lang w:val="fr-FR"/>
        </w:rPr>
        <w:t>Documents informels</w:t>
      </w:r>
      <w:r w:rsidR="00081098">
        <w:rPr>
          <w:i/>
          <w:iCs/>
          <w:lang w:val="fr-FR"/>
        </w:rPr>
        <w:t> </w:t>
      </w:r>
      <w:r w:rsidRPr="00047D1A">
        <w:rPr>
          <w:i/>
          <w:iCs/>
          <w:lang w:val="fr-FR"/>
        </w:rPr>
        <w:t>:</w:t>
      </w:r>
      <w:r w:rsidRPr="00047D1A">
        <w:rPr>
          <w:lang w:val="fr-FR"/>
        </w:rPr>
        <w:tab/>
        <w:t xml:space="preserve">INF.19 (Autriche) et INF.24 (secrétariat). </w:t>
      </w:r>
    </w:p>
    <w:p w14:paraId="14C75193" w14:textId="77777777" w:rsidR="00047D1A" w:rsidRPr="00047D1A" w:rsidRDefault="00047D1A" w:rsidP="00047D1A">
      <w:pPr>
        <w:pStyle w:val="SingleTxtG"/>
      </w:pPr>
      <w:r w:rsidRPr="00047D1A">
        <w:rPr>
          <w:lang w:val="fr-FR"/>
        </w:rPr>
        <w:t>14.</w:t>
      </w:r>
      <w:r w:rsidRPr="00047D1A">
        <w:rPr>
          <w:lang w:val="fr-FR"/>
        </w:rPr>
        <w:tab/>
        <w:t>Le Groupe de travail a été informé que, comme suite aux discussions qui avaient eu lieu au cours de la 104</w:t>
      </w:r>
      <w:r w:rsidRPr="00081098">
        <w:rPr>
          <w:vertAlign w:val="superscript"/>
          <w:lang w:val="fr-FR"/>
        </w:rPr>
        <w:t>e</w:t>
      </w:r>
      <w:r w:rsidR="00081098">
        <w:rPr>
          <w:lang w:val="fr-FR"/>
        </w:rPr>
        <w:t xml:space="preserve"> </w:t>
      </w:r>
      <w:r w:rsidRPr="00047D1A">
        <w:rPr>
          <w:lang w:val="fr-FR"/>
        </w:rPr>
        <w:t>session au sujet de la révision du titre actuel de l’ADR (voir ECE/TRANS/WP.15/242, par. 45 à 49), le Gouvernement du Portugal avait demandé au Secrétaire général de l’ONU, conformément au paragraphe 1 de l’article 13 de l’Accord, de convoquer une Conférence des Parties contractantes à l’ADR, qui se tiendrait durant la 106</w:t>
      </w:r>
      <w:r w:rsidRPr="00081098">
        <w:rPr>
          <w:vertAlign w:val="superscript"/>
          <w:lang w:val="fr-FR"/>
        </w:rPr>
        <w:t>e</w:t>
      </w:r>
      <w:r w:rsidR="00081098">
        <w:rPr>
          <w:lang w:val="fr-FR"/>
        </w:rPr>
        <w:t> </w:t>
      </w:r>
      <w:r w:rsidRPr="00047D1A">
        <w:rPr>
          <w:lang w:val="fr-FR"/>
        </w:rPr>
        <w:t>session du Groupe de travail (13-17 mai 2019).</w:t>
      </w:r>
    </w:p>
    <w:p w14:paraId="3D913DDF" w14:textId="77777777" w:rsidR="00047D1A" w:rsidRPr="00047D1A" w:rsidRDefault="00047D1A" w:rsidP="00047D1A">
      <w:pPr>
        <w:pStyle w:val="SingleTxtG"/>
      </w:pPr>
      <w:r w:rsidRPr="00047D1A">
        <w:rPr>
          <w:lang w:val="fr-FR"/>
        </w:rPr>
        <w:t>15.</w:t>
      </w:r>
      <w:r w:rsidRPr="00047D1A">
        <w:rPr>
          <w:lang w:val="fr-FR"/>
        </w:rPr>
        <w:tab/>
        <w:t>Il a été noté que le secrétariat avait transmis la demande du Portugal à toutes les Parties contractantes et que la convocation de cette Conférence était soumise à l’approbation d’au moins un quart desdites Parties (soit 13 Parties contractantes) dans un délai de quatre mois à compter de la notification par le secrétariat. Pour des raisons pratiques, et afin de pouvoir convoquer la Conférence durant la 106</w:t>
      </w:r>
      <w:r w:rsidRPr="00081098">
        <w:rPr>
          <w:vertAlign w:val="superscript"/>
          <w:lang w:val="fr-FR"/>
        </w:rPr>
        <w:t>e</w:t>
      </w:r>
      <w:r w:rsidR="00081098">
        <w:rPr>
          <w:lang w:val="fr-FR"/>
        </w:rPr>
        <w:t xml:space="preserve"> </w:t>
      </w:r>
      <w:r w:rsidRPr="00047D1A">
        <w:rPr>
          <w:lang w:val="fr-FR"/>
        </w:rPr>
        <w:t>session du Groupe de travail, le secrétariat avait invité les pays en faveur de la proposition à envoyer leur lettre d’approbation dès que possible et dans tous les cas le 13 février 2019 au plus tard.</w:t>
      </w:r>
    </w:p>
    <w:p w14:paraId="07FF5E75" w14:textId="77777777" w:rsidR="00047D1A" w:rsidRPr="00047D1A" w:rsidRDefault="00047D1A" w:rsidP="00047D1A">
      <w:pPr>
        <w:pStyle w:val="SingleTxtG"/>
      </w:pPr>
      <w:r w:rsidRPr="00047D1A">
        <w:rPr>
          <w:lang w:val="fr-FR"/>
        </w:rPr>
        <w:t>16.</w:t>
      </w:r>
      <w:r w:rsidRPr="00047D1A">
        <w:rPr>
          <w:lang w:val="fr-FR"/>
        </w:rPr>
        <w:tab/>
        <w:t>Le Groupe de travail a pris note des préoccupations exprimées par l’Autriche dans le document informel INF.19, mais n’a pas appuyé la proposition visant à reporter le processus de révision du titre de l’ADR. Il a été noté que l’Accord était ouvert à l’adhésion des pays qui ne faisaient pas partie de la CEE et que la suppression du mot «</w:t>
      </w:r>
      <w:r w:rsidR="00081098">
        <w:rPr>
          <w:lang w:val="fr-FR"/>
        </w:rPr>
        <w:t> </w:t>
      </w:r>
      <w:r w:rsidRPr="00047D1A">
        <w:rPr>
          <w:lang w:val="fr-FR"/>
        </w:rPr>
        <w:t>européen</w:t>
      </w:r>
      <w:r w:rsidR="00081098">
        <w:rPr>
          <w:lang w:val="fr-FR"/>
        </w:rPr>
        <w:t> </w:t>
      </w:r>
      <w:r w:rsidRPr="00047D1A">
        <w:rPr>
          <w:lang w:val="fr-FR"/>
        </w:rPr>
        <w:t>» figurant dans son titre serait cohérente avec cette réalité et faciliterait l’adhésion des pays pour lesquels ce qualificatif représentait un obstacle. Il a également été noté que l’Assemblée générale, dans sa résolution A/RES/72/271 du 12 avril 2018 sur l’amélioration de la sécurité routière, réaffirmait le rôle important que jouait l’ADR, parmi les instruments juridiques des Nations Unies, dans la promotion de la sécurité routière aux niveaux mondial, régional et national, et encourageait les États Membres qui ne l’avaient pas encore fait à envisager de devenir Parties contractantes.</w:t>
      </w:r>
    </w:p>
    <w:p w14:paraId="6AD76067" w14:textId="77777777" w:rsidR="00047D1A" w:rsidRPr="00047D1A" w:rsidRDefault="00047D1A" w:rsidP="00047D1A">
      <w:pPr>
        <w:pStyle w:val="SingleTxtG"/>
      </w:pPr>
      <w:r w:rsidRPr="00047D1A">
        <w:rPr>
          <w:lang w:val="fr-FR"/>
        </w:rPr>
        <w:lastRenderedPageBreak/>
        <w:t>17.</w:t>
      </w:r>
      <w:r w:rsidRPr="00047D1A">
        <w:rPr>
          <w:lang w:val="fr-FR"/>
        </w:rPr>
        <w:tab/>
        <w:t>S’agissant des préoccupations exprimées par l’Autriche au sujet de la prise de décisions au sein du WP.15, le Groupe de travail a estimé que l’article 35 du règlement intérieur pouvait être révisé à tout moment si cela était jugé nécessaire.</w:t>
      </w:r>
    </w:p>
    <w:p w14:paraId="639A4E92" w14:textId="77777777" w:rsidR="00047D1A" w:rsidRPr="00047D1A" w:rsidRDefault="00047D1A" w:rsidP="003F57EC">
      <w:pPr>
        <w:pStyle w:val="H1G"/>
      </w:pPr>
      <w:r w:rsidRPr="00047D1A">
        <w:rPr>
          <w:lang w:val="fr-FR"/>
        </w:rPr>
        <w:tab/>
        <w:t>C.</w:t>
      </w:r>
      <w:r w:rsidRPr="00047D1A">
        <w:rPr>
          <w:lang w:val="fr-FR"/>
        </w:rPr>
        <w:tab/>
      </w:r>
      <w:bookmarkStart w:id="12" w:name="_Hlk6316967"/>
      <w:r w:rsidRPr="00047D1A">
        <w:rPr>
          <w:lang w:val="fr-FR"/>
        </w:rPr>
        <w:t>Projet de transport EuroMed</w:t>
      </w:r>
      <w:bookmarkEnd w:id="12"/>
    </w:p>
    <w:p w14:paraId="31C51A52" w14:textId="77777777" w:rsidR="00047D1A" w:rsidRPr="00047D1A" w:rsidRDefault="00047D1A" w:rsidP="003F57EC">
      <w:pPr>
        <w:pStyle w:val="SingleTxtG"/>
        <w:ind w:left="3402" w:hanging="2268"/>
      </w:pPr>
      <w:r w:rsidRPr="00047D1A">
        <w:rPr>
          <w:i/>
          <w:iCs/>
          <w:lang w:val="fr-FR"/>
        </w:rPr>
        <w:t>Document informel</w:t>
      </w:r>
      <w:r w:rsidR="003F57EC">
        <w:rPr>
          <w:i/>
          <w:iCs/>
          <w:lang w:val="fr-FR"/>
        </w:rPr>
        <w:t> </w:t>
      </w:r>
      <w:r w:rsidRPr="00047D1A">
        <w:rPr>
          <w:i/>
          <w:iCs/>
          <w:lang w:val="fr-FR"/>
        </w:rPr>
        <w:t>:</w:t>
      </w:r>
      <w:r w:rsidRPr="00047D1A">
        <w:rPr>
          <w:lang w:val="fr-FR"/>
        </w:rPr>
        <w:tab/>
      </w:r>
      <w:r w:rsidRPr="00047D1A">
        <w:rPr>
          <w:lang w:val="fr-FR"/>
        </w:rPr>
        <w:tab/>
        <w:t>INF.33 (EuroMed).</w:t>
      </w:r>
    </w:p>
    <w:p w14:paraId="718F891D" w14:textId="77777777" w:rsidR="00047D1A" w:rsidRPr="00047D1A" w:rsidRDefault="00047D1A" w:rsidP="00047D1A">
      <w:pPr>
        <w:pStyle w:val="SingleTxtG"/>
      </w:pPr>
      <w:r w:rsidRPr="00047D1A">
        <w:rPr>
          <w:lang w:val="fr-FR"/>
        </w:rPr>
        <w:t>18.</w:t>
      </w:r>
      <w:r w:rsidRPr="00047D1A">
        <w:rPr>
          <w:lang w:val="fr-FR"/>
        </w:rPr>
        <w:tab/>
        <w:t>Le représentant du projet EuroMed a présenté les diverses activités menées pour harmoniser les règlements nationaux et internationaux des pays partenaires sur le modèle de l’ADR.</w:t>
      </w:r>
    </w:p>
    <w:p w14:paraId="2A8C08C2" w14:textId="77777777" w:rsidR="00047D1A" w:rsidRPr="00047D1A" w:rsidRDefault="00047D1A" w:rsidP="00047D1A">
      <w:pPr>
        <w:pStyle w:val="SingleTxtG"/>
      </w:pPr>
      <w:r w:rsidRPr="00047D1A">
        <w:rPr>
          <w:lang w:val="fr-FR"/>
        </w:rPr>
        <w:t>19.</w:t>
      </w:r>
      <w:r w:rsidRPr="00047D1A">
        <w:rPr>
          <w:lang w:val="fr-FR"/>
        </w:rPr>
        <w:tab/>
        <w:t>Les représentants de l’Algérie, de l’Égypte, de l’État de Palestine, de la Jordanie et du Liban ont présenté les activités menées dans leurs pays respectifs en vue d’une future adhésion à l’ADR. Les représentants de la Tunisie et du Maroc ont donné des informations actualisées sur la mise en œuvre de l’Accord dans leur pays.</w:t>
      </w:r>
    </w:p>
    <w:p w14:paraId="5938D19E" w14:textId="77777777" w:rsidR="00047D1A" w:rsidRPr="00047D1A" w:rsidRDefault="00047D1A" w:rsidP="00047D1A">
      <w:pPr>
        <w:pStyle w:val="SingleTxtG"/>
      </w:pPr>
      <w:r w:rsidRPr="00047D1A">
        <w:rPr>
          <w:lang w:val="fr-FR"/>
        </w:rPr>
        <w:t>20.</w:t>
      </w:r>
      <w:r w:rsidRPr="00047D1A">
        <w:rPr>
          <w:lang w:val="fr-FR"/>
        </w:rPr>
        <w:tab/>
        <w:t>Le Groupe de travail a noté avec satisfaction les efforts accomplis par les pays qui participaient au projet et s’est félicité de l’appui fourni dans le cadre du projet pour les aider à adhérer à l’ADR et à le mettre en œuvre. Il a aussi été noté que l’absence d’une version arabe de l’Accord était un obstacle de taille à l’adhésion dans certains pays. Le Groupe de travail a pris note à ce sujet des discussions en cours entre les représentants du projet EuroMed, de la Commission économique et sociale pour l’Asie occidentale (CESAO) et des services linguistiques de l’Office des Nations Unies à Genève en vue d’un accord concernant la traduction en arabe de l’ADR et s’est félicité de cette initiative, qui faciliterait l’adhésion de certains pays.</w:t>
      </w:r>
    </w:p>
    <w:p w14:paraId="73CE7DC0" w14:textId="77777777" w:rsidR="00047D1A" w:rsidRPr="00047D1A" w:rsidRDefault="00047D1A" w:rsidP="00FD58E7">
      <w:pPr>
        <w:pStyle w:val="HChG"/>
      </w:pPr>
      <w:r w:rsidRPr="00047D1A">
        <w:rPr>
          <w:lang w:val="fr-FR"/>
        </w:rPr>
        <w:tab/>
        <w:t>V.</w:t>
      </w:r>
      <w:r w:rsidRPr="00047D1A">
        <w:rPr>
          <w:lang w:val="fr-FR"/>
        </w:rPr>
        <w:tab/>
      </w:r>
      <w:bookmarkStart w:id="13" w:name="_Hlk6316980"/>
      <w:r w:rsidRPr="00047D1A">
        <w:rPr>
          <w:lang w:val="fr-FR"/>
        </w:rPr>
        <w:t xml:space="preserve">Travaux de la Réunion commune RID/ADR/ADN </w:t>
      </w:r>
      <w:r w:rsidR="00FD58E7">
        <w:rPr>
          <w:lang w:val="fr-FR"/>
        </w:rPr>
        <w:br/>
      </w:r>
      <w:r w:rsidRPr="00047D1A">
        <w:rPr>
          <w:lang w:val="fr-FR"/>
        </w:rPr>
        <w:t>(point 4 de l’ordre du jour)</w:t>
      </w:r>
      <w:bookmarkStart w:id="14" w:name="_Toc499903635"/>
      <w:bookmarkEnd w:id="14"/>
      <w:bookmarkEnd w:id="13"/>
    </w:p>
    <w:p w14:paraId="53BB2968" w14:textId="77777777" w:rsidR="00047D1A" w:rsidRPr="00047D1A" w:rsidRDefault="00047D1A" w:rsidP="00FD58E7">
      <w:pPr>
        <w:pStyle w:val="H1G"/>
      </w:pPr>
      <w:r w:rsidRPr="00047D1A">
        <w:rPr>
          <w:lang w:val="fr-FR"/>
        </w:rPr>
        <w:tab/>
        <w:t>A.</w:t>
      </w:r>
      <w:r w:rsidRPr="00047D1A">
        <w:rPr>
          <w:lang w:val="fr-FR"/>
        </w:rPr>
        <w:tab/>
      </w:r>
      <w:bookmarkStart w:id="15" w:name="_Hlk6316992"/>
      <w:r w:rsidRPr="00047D1A">
        <w:rPr>
          <w:lang w:val="fr-FR"/>
        </w:rPr>
        <w:t xml:space="preserve">Amendements proposés par la Réunion commune à ses sessions </w:t>
      </w:r>
      <w:r w:rsidR="00FD58E7">
        <w:rPr>
          <w:lang w:val="fr-FR"/>
        </w:rPr>
        <w:br/>
      </w:r>
      <w:r w:rsidRPr="00047D1A">
        <w:rPr>
          <w:lang w:val="fr-FR"/>
        </w:rPr>
        <w:t>de printemps et d’automne 2018</w:t>
      </w:r>
      <w:bookmarkEnd w:id="15"/>
    </w:p>
    <w:p w14:paraId="4E3061F5" w14:textId="77777777" w:rsidR="00047D1A" w:rsidRPr="00047D1A" w:rsidRDefault="00047D1A" w:rsidP="00FD58E7">
      <w:pPr>
        <w:pStyle w:val="SingleTxtG"/>
        <w:ind w:left="3402" w:hanging="2268"/>
      </w:pPr>
      <w:r w:rsidRPr="00047D1A">
        <w:rPr>
          <w:i/>
          <w:iCs/>
          <w:lang w:val="fr-FR"/>
        </w:rPr>
        <w:t>Documents</w:t>
      </w:r>
      <w:r w:rsidR="00FD58E7">
        <w:rPr>
          <w:i/>
          <w:iCs/>
          <w:lang w:val="fr-FR"/>
        </w:rPr>
        <w:t> </w:t>
      </w:r>
      <w:r w:rsidRPr="00047D1A">
        <w:rPr>
          <w:lang w:val="fr-FR"/>
        </w:rPr>
        <w:t>:</w:t>
      </w:r>
      <w:r w:rsidRPr="00047D1A">
        <w:rPr>
          <w:lang w:val="fr-FR"/>
        </w:rPr>
        <w:tab/>
      </w:r>
      <w:r w:rsidRPr="00047D1A">
        <w:rPr>
          <w:lang w:val="fr-FR"/>
        </w:rPr>
        <w:tab/>
        <w:t>ECE/TRANS/WP.15/AC.1/150, annexe IV (secrétariat)</w:t>
      </w:r>
      <w:r w:rsidR="00FD58E7">
        <w:rPr>
          <w:lang w:val="fr-FR"/>
        </w:rPr>
        <w:t> </w:t>
      </w:r>
      <w:r w:rsidRPr="00047D1A">
        <w:rPr>
          <w:lang w:val="fr-FR"/>
        </w:rPr>
        <w:t>;</w:t>
      </w:r>
      <w:r w:rsidR="00FD58E7">
        <w:rPr>
          <w:lang w:val="fr-FR"/>
        </w:rPr>
        <w:br/>
      </w:r>
      <w:r w:rsidRPr="00047D1A">
        <w:rPr>
          <w:lang w:val="fr-FR"/>
        </w:rPr>
        <w:tab/>
        <w:t>ECE/TRANS/WP.15/AC.1/152 et Add.1 (secrétariat).</w:t>
      </w:r>
    </w:p>
    <w:p w14:paraId="312AD26A" w14:textId="77777777" w:rsidR="00047D1A" w:rsidRPr="00047D1A" w:rsidRDefault="00047D1A" w:rsidP="00FD58E7">
      <w:pPr>
        <w:pStyle w:val="SingleTxtG"/>
        <w:ind w:left="3402" w:hanging="2268"/>
      </w:pPr>
      <w:r w:rsidRPr="00047D1A">
        <w:rPr>
          <w:i/>
          <w:iCs/>
          <w:lang w:val="fr-FR"/>
        </w:rPr>
        <w:t>Documents informels</w:t>
      </w:r>
      <w:r w:rsidR="00FD58E7">
        <w:rPr>
          <w:i/>
          <w:iCs/>
          <w:lang w:val="fr-FR"/>
        </w:rPr>
        <w:t> </w:t>
      </w:r>
      <w:r w:rsidRPr="00047D1A">
        <w:rPr>
          <w:i/>
          <w:iCs/>
          <w:lang w:val="fr-FR"/>
        </w:rPr>
        <w:t>:</w:t>
      </w:r>
      <w:r w:rsidRPr="00047D1A">
        <w:rPr>
          <w:lang w:val="fr-FR"/>
        </w:rPr>
        <w:tab/>
        <w:t>INF.21 et Add.1 (secrétariat).</w:t>
      </w:r>
    </w:p>
    <w:p w14:paraId="52D70140" w14:textId="77777777" w:rsidR="00047D1A" w:rsidRPr="00047D1A" w:rsidRDefault="00047D1A" w:rsidP="00047D1A">
      <w:pPr>
        <w:pStyle w:val="SingleTxtG"/>
      </w:pPr>
      <w:r w:rsidRPr="00047D1A">
        <w:rPr>
          <w:lang w:val="fr-FR"/>
        </w:rPr>
        <w:t>21.</w:t>
      </w:r>
      <w:r w:rsidRPr="00047D1A">
        <w:rPr>
          <w:lang w:val="fr-FR"/>
        </w:rPr>
        <w:tab/>
        <w:t>L’amendement se rapportant au chapitre 6.8 dans l’annexe IV du document ECE/TRANS/WP.15/AC.1/150 a été adopté entre crochets pour entrée en vigueur le 1</w:t>
      </w:r>
      <w:r w:rsidRPr="00FD58E7">
        <w:rPr>
          <w:vertAlign w:val="superscript"/>
          <w:lang w:val="fr-FR"/>
        </w:rPr>
        <w:t>er</w:t>
      </w:r>
      <w:r w:rsidR="00FD58E7">
        <w:rPr>
          <w:lang w:val="fr-FR"/>
        </w:rPr>
        <w:t> </w:t>
      </w:r>
      <w:r w:rsidRPr="00047D1A">
        <w:rPr>
          <w:lang w:val="fr-FR"/>
        </w:rPr>
        <w:t xml:space="preserve">janvier 2021, moyennant une correction de la référence de la note de bas de page afin de tenir compte de la numérotation dans l’édition 2019 de l’ADR (voir l’annexe </w:t>
      </w:r>
      <w:r w:rsidR="00FD58E7">
        <w:rPr>
          <w:lang w:val="fr-FR"/>
        </w:rPr>
        <w:t>I</w:t>
      </w:r>
      <w:r w:rsidRPr="00047D1A">
        <w:rPr>
          <w:lang w:val="fr-FR"/>
        </w:rPr>
        <w:t xml:space="preserve">). Ayant noté que les travaux sur les normes en rapport avec le 6.8.2.1.18 se poursuivaient, le Groupe de travail a considéré qu’une adoption entre crochets était préférable à ce stade. </w:t>
      </w:r>
    </w:p>
    <w:p w14:paraId="1D57DECD" w14:textId="77777777" w:rsidR="00047D1A" w:rsidRPr="00047D1A" w:rsidRDefault="00047D1A" w:rsidP="00047D1A">
      <w:pPr>
        <w:pStyle w:val="SingleTxtG"/>
      </w:pPr>
      <w:r w:rsidRPr="00047D1A">
        <w:rPr>
          <w:lang w:val="fr-FR"/>
        </w:rPr>
        <w:t>22.</w:t>
      </w:r>
      <w:r w:rsidRPr="00047D1A">
        <w:rPr>
          <w:lang w:val="fr-FR"/>
        </w:rPr>
        <w:tab/>
        <w:t>Le Groupe de travail a adopté les projets d’amendements pour les normes proposés par la Réunion commune pour entrée en vigueur le 1</w:t>
      </w:r>
      <w:r w:rsidRPr="00FD58E7">
        <w:rPr>
          <w:vertAlign w:val="superscript"/>
          <w:lang w:val="fr-FR"/>
        </w:rPr>
        <w:t>er</w:t>
      </w:r>
      <w:r w:rsidR="00FD58E7">
        <w:rPr>
          <w:lang w:val="fr-FR"/>
        </w:rPr>
        <w:t> </w:t>
      </w:r>
      <w:r w:rsidRPr="00047D1A">
        <w:rPr>
          <w:lang w:val="fr-FR"/>
        </w:rPr>
        <w:t>janvier 2021, tels qu’ils sont présentés à l’annexe I du document informel INF.21/Add.1 (voir l’annexe I).</w:t>
      </w:r>
    </w:p>
    <w:p w14:paraId="4F0B1D30" w14:textId="77777777" w:rsidR="00047D1A" w:rsidRPr="00047D1A" w:rsidRDefault="00047D1A" w:rsidP="00047D1A">
      <w:pPr>
        <w:pStyle w:val="SingleTxtG"/>
      </w:pPr>
      <w:r w:rsidRPr="00047D1A">
        <w:rPr>
          <w:lang w:val="fr-FR"/>
        </w:rPr>
        <w:t>23.</w:t>
      </w:r>
      <w:r w:rsidRPr="00047D1A">
        <w:rPr>
          <w:lang w:val="fr-FR"/>
        </w:rPr>
        <w:tab/>
        <w:t xml:space="preserve">La Ligne directrice pour l’application de la norme EN 12972 proposée par la Réunion commune et reproduite dans l’annexe II du document informel INF.21/Add.1 a été adoptée (voir l’annexe II). Le Groupe de travail a prié le secrétariat de la publier sur le site </w:t>
      </w:r>
      <w:r w:rsidRPr="008255BA">
        <w:rPr>
          <w:spacing w:val="-4"/>
          <w:lang w:val="fr-FR"/>
        </w:rPr>
        <w:t>Web de la CEE afin d’encourager l’application des dispositions de la norme (EN 12972:2018)</w:t>
      </w:r>
      <w:r w:rsidRPr="00047D1A">
        <w:rPr>
          <w:lang w:val="fr-FR"/>
        </w:rPr>
        <w:t xml:space="preserve"> au plus tôt. </w:t>
      </w:r>
    </w:p>
    <w:p w14:paraId="786B958C" w14:textId="77777777" w:rsidR="00047D1A" w:rsidRPr="00047D1A" w:rsidRDefault="00047D1A" w:rsidP="00047D1A">
      <w:pPr>
        <w:pStyle w:val="SingleTxtG"/>
      </w:pPr>
      <w:r w:rsidRPr="00047D1A">
        <w:rPr>
          <w:lang w:val="fr-FR"/>
        </w:rPr>
        <w:t>24.</w:t>
      </w:r>
      <w:r w:rsidRPr="00047D1A">
        <w:rPr>
          <w:lang w:val="fr-FR"/>
        </w:rPr>
        <w:tab/>
        <w:t>Le Groupe de travail a également adopté les projets d’amendements présentés à l’annexe III du document informel INF.21/Add.1, déjà adoptés par la Réunion commune pour entrée en vigueur le 1</w:t>
      </w:r>
      <w:r w:rsidRPr="008255BA">
        <w:rPr>
          <w:vertAlign w:val="superscript"/>
          <w:lang w:val="fr-FR"/>
        </w:rPr>
        <w:t>er</w:t>
      </w:r>
      <w:r w:rsidR="008255BA">
        <w:rPr>
          <w:lang w:val="fr-FR"/>
        </w:rPr>
        <w:t> </w:t>
      </w:r>
      <w:r w:rsidRPr="00047D1A">
        <w:rPr>
          <w:lang w:val="fr-FR"/>
        </w:rPr>
        <w:t>janvier 2021 (voir l’annexe I).</w:t>
      </w:r>
    </w:p>
    <w:p w14:paraId="52551744" w14:textId="77777777" w:rsidR="00047D1A" w:rsidRPr="00047D1A" w:rsidRDefault="00047D1A" w:rsidP="008255BA">
      <w:pPr>
        <w:pStyle w:val="H1G"/>
      </w:pPr>
      <w:r w:rsidRPr="00047D1A">
        <w:rPr>
          <w:lang w:val="fr-FR"/>
        </w:rPr>
        <w:lastRenderedPageBreak/>
        <w:tab/>
        <w:t>B.</w:t>
      </w:r>
      <w:r w:rsidRPr="00047D1A">
        <w:rPr>
          <w:lang w:val="fr-FR"/>
        </w:rPr>
        <w:tab/>
      </w:r>
      <w:bookmarkStart w:id="16" w:name="_Hlk6317012"/>
      <w:r w:rsidRPr="00047D1A">
        <w:rPr>
          <w:lang w:val="fr-FR"/>
        </w:rPr>
        <w:t>Autres questions</w:t>
      </w:r>
      <w:bookmarkEnd w:id="16"/>
    </w:p>
    <w:p w14:paraId="256A6BD7" w14:textId="77777777" w:rsidR="00047D1A" w:rsidRPr="00047D1A" w:rsidRDefault="00047D1A" w:rsidP="008255BA">
      <w:pPr>
        <w:pStyle w:val="SingleTxtG"/>
        <w:ind w:left="3402" w:hanging="2268"/>
        <w:rPr>
          <w:i/>
          <w:iCs/>
        </w:rPr>
      </w:pPr>
      <w:r w:rsidRPr="00047D1A">
        <w:rPr>
          <w:i/>
          <w:iCs/>
          <w:lang w:val="fr-FR"/>
        </w:rPr>
        <w:t>Document</w:t>
      </w:r>
      <w:r w:rsidR="008255BA">
        <w:rPr>
          <w:i/>
          <w:iCs/>
          <w:lang w:val="fr-FR"/>
        </w:rPr>
        <w:t> </w:t>
      </w:r>
      <w:r w:rsidRPr="008255BA">
        <w:rPr>
          <w:iCs/>
          <w:lang w:val="fr-FR"/>
        </w:rPr>
        <w:t>:</w:t>
      </w:r>
      <w:r w:rsidRPr="00047D1A">
        <w:rPr>
          <w:lang w:val="fr-FR"/>
        </w:rPr>
        <w:tab/>
      </w:r>
      <w:r w:rsidRPr="00047D1A">
        <w:rPr>
          <w:lang w:val="fr-FR"/>
        </w:rPr>
        <w:tab/>
        <w:t>ECE/TRANS/WP.15/AC.1/152 (secrétariat).</w:t>
      </w:r>
    </w:p>
    <w:p w14:paraId="7EB7CC4D" w14:textId="77777777" w:rsidR="00047D1A" w:rsidRPr="00047D1A" w:rsidRDefault="00047D1A" w:rsidP="008255BA">
      <w:pPr>
        <w:pStyle w:val="SingleTxtG"/>
        <w:ind w:left="3402" w:hanging="2268"/>
        <w:rPr>
          <w:i/>
          <w:iCs/>
        </w:rPr>
      </w:pPr>
      <w:r w:rsidRPr="00047D1A">
        <w:rPr>
          <w:i/>
          <w:iCs/>
          <w:lang w:val="fr-FR"/>
        </w:rPr>
        <w:t>Documents informels</w:t>
      </w:r>
      <w:r w:rsidR="008255BA">
        <w:rPr>
          <w:i/>
          <w:iCs/>
          <w:lang w:val="fr-FR"/>
        </w:rPr>
        <w:t> </w:t>
      </w:r>
      <w:r w:rsidRPr="00047D1A">
        <w:rPr>
          <w:lang w:val="fr-FR"/>
        </w:rPr>
        <w:t>:</w:t>
      </w:r>
      <w:r w:rsidRPr="00047D1A">
        <w:rPr>
          <w:lang w:val="fr-FR"/>
        </w:rPr>
        <w:tab/>
      </w:r>
      <w:r w:rsidRPr="00047D1A">
        <w:rPr>
          <w:lang w:val="fr-FR"/>
        </w:rPr>
        <w:tab/>
        <w:t xml:space="preserve">INF.21 et INF.27 (secrétariat). </w:t>
      </w:r>
    </w:p>
    <w:p w14:paraId="6C25A4D3" w14:textId="77777777" w:rsidR="00047D1A" w:rsidRPr="00047D1A" w:rsidRDefault="00047D1A" w:rsidP="00047D1A">
      <w:pPr>
        <w:pStyle w:val="SingleTxtG"/>
      </w:pPr>
      <w:r w:rsidRPr="00047D1A">
        <w:rPr>
          <w:lang w:val="fr-FR"/>
        </w:rPr>
        <w:t>25.</w:t>
      </w:r>
      <w:r w:rsidRPr="00047D1A">
        <w:rPr>
          <w:lang w:val="fr-FR"/>
        </w:rPr>
        <w:tab/>
        <w:t>Le Groupe de travail a pris note des débats au sein de la Réunion commune tels qu’ils sont reproduits dans le document informel INF.21, notamment ceux se rapportant aux références à l’</w:t>
      </w:r>
      <w:r w:rsidR="002D48D6">
        <w:rPr>
          <w:lang w:val="fr-FR"/>
        </w:rPr>
        <w:t>« </w:t>
      </w:r>
      <w:r w:rsidRPr="00047D1A">
        <w:rPr>
          <w:lang w:val="fr-FR"/>
        </w:rPr>
        <w:t>autorité compétente</w:t>
      </w:r>
      <w:r w:rsidR="002D48D6">
        <w:rPr>
          <w:lang w:val="fr-FR"/>
        </w:rPr>
        <w:t> </w:t>
      </w:r>
      <w:r w:rsidRPr="00047D1A">
        <w:rPr>
          <w:lang w:val="fr-FR"/>
        </w:rPr>
        <w:t xml:space="preserve">», confiés à un groupe de travail informel. </w:t>
      </w:r>
    </w:p>
    <w:p w14:paraId="7B31206B" w14:textId="77777777" w:rsidR="00047D1A" w:rsidRPr="00047D1A" w:rsidRDefault="00047D1A" w:rsidP="00047D1A">
      <w:pPr>
        <w:pStyle w:val="SingleTxtG"/>
      </w:pPr>
      <w:r w:rsidRPr="00047D1A">
        <w:rPr>
          <w:lang w:val="fr-FR"/>
        </w:rPr>
        <w:t>26.</w:t>
      </w:r>
      <w:r w:rsidRPr="00047D1A">
        <w:rPr>
          <w:lang w:val="fr-FR"/>
        </w:rPr>
        <w:tab/>
        <w:t xml:space="preserve">Notant que les parties 8 et 9 se rapportaient spécifiquement à l’ADR, le Groupe de travail a estimé que les travaux sur les références pour lesdites parties devaient se poursuivre au sein du Groupe de travail, en tenant compte des résultats des travaux du groupe de travail informel de la Réunion commune. </w:t>
      </w:r>
    </w:p>
    <w:p w14:paraId="26B5AD1F" w14:textId="77777777" w:rsidR="00047D1A" w:rsidRPr="00047D1A" w:rsidRDefault="00047D1A" w:rsidP="00047D1A">
      <w:pPr>
        <w:pStyle w:val="SingleTxtG"/>
      </w:pPr>
      <w:r w:rsidRPr="00047D1A">
        <w:rPr>
          <w:lang w:val="fr-FR"/>
        </w:rPr>
        <w:t>27.</w:t>
      </w:r>
      <w:r w:rsidRPr="00047D1A">
        <w:rPr>
          <w:lang w:val="fr-FR"/>
        </w:rPr>
        <w:tab/>
        <w:t xml:space="preserve">Le Groupe de travail a demandé au secrétariat de soumettre le document informel INF.27 en tant que document officiel en vue de la prochaine session. </w:t>
      </w:r>
    </w:p>
    <w:p w14:paraId="22BF48AB" w14:textId="77777777" w:rsidR="00047D1A" w:rsidRPr="00C13393" w:rsidRDefault="00047D1A" w:rsidP="002D48D6">
      <w:pPr>
        <w:pStyle w:val="HChG"/>
      </w:pPr>
      <w:r w:rsidRPr="00047D1A">
        <w:rPr>
          <w:lang w:val="fr-FR"/>
        </w:rPr>
        <w:tab/>
      </w:r>
      <w:r w:rsidRPr="00C13393">
        <w:rPr>
          <w:lang w:val="fr-FR"/>
        </w:rPr>
        <w:t>VI.</w:t>
      </w:r>
      <w:r w:rsidRPr="00C13393">
        <w:rPr>
          <w:lang w:val="fr-FR"/>
        </w:rPr>
        <w:tab/>
      </w:r>
      <w:bookmarkStart w:id="17" w:name="_Hlk6317027"/>
      <w:r w:rsidRPr="00C13393">
        <w:rPr>
          <w:lang w:val="fr-FR"/>
        </w:rPr>
        <w:t>Propositions d’amendement aux annexes A et B de l’ADR (point 5 de l’ordre du jour)</w:t>
      </w:r>
      <w:bookmarkEnd w:id="17"/>
    </w:p>
    <w:p w14:paraId="1F5389C3" w14:textId="77777777" w:rsidR="00047D1A" w:rsidRPr="00C13393" w:rsidRDefault="00047D1A" w:rsidP="002D48D6">
      <w:pPr>
        <w:pStyle w:val="H1G"/>
      </w:pPr>
      <w:r w:rsidRPr="00C13393">
        <w:rPr>
          <w:lang w:val="fr-FR"/>
        </w:rPr>
        <w:tab/>
        <w:t>A.</w:t>
      </w:r>
      <w:r w:rsidRPr="00C13393">
        <w:rPr>
          <w:lang w:val="fr-FR"/>
        </w:rPr>
        <w:tab/>
      </w:r>
      <w:bookmarkStart w:id="18" w:name="_Hlk6317035"/>
      <w:r w:rsidRPr="00C13393">
        <w:rPr>
          <w:lang w:val="fr-FR"/>
        </w:rPr>
        <w:t>Construction et homologation des véhicules</w:t>
      </w:r>
      <w:bookmarkStart w:id="19" w:name="_Toc499903649"/>
      <w:bookmarkEnd w:id="19"/>
      <w:bookmarkEnd w:id="18"/>
    </w:p>
    <w:p w14:paraId="62D8B5CF" w14:textId="77777777" w:rsidR="00047D1A" w:rsidRPr="00C13393" w:rsidRDefault="00047D1A" w:rsidP="002D48D6">
      <w:pPr>
        <w:pStyle w:val="H23G"/>
      </w:pPr>
      <w:r w:rsidRPr="00C13393">
        <w:rPr>
          <w:lang w:val="fr-FR"/>
        </w:rPr>
        <w:tab/>
        <w:t>1.</w:t>
      </w:r>
      <w:r w:rsidRPr="00C13393">
        <w:rPr>
          <w:lang w:val="fr-FR"/>
        </w:rPr>
        <w:tab/>
      </w:r>
      <w:bookmarkStart w:id="20" w:name="_Hlk6317042"/>
      <w:r w:rsidRPr="00C13393">
        <w:rPr>
          <w:lang w:val="fr-FR"/>
        </w:rPr>
        <w:t xml:space="preserve">Dispense de première visite technique pour les véhicules EX/II, EX/III, FL et AT </w:t>
      </w:r>
      <w:r w:rsidR="00433E2B">
        <w:rPr>
          <w:lang w:val="fr-FR"/>
        </w:rPr>
        <w:br/>
      </w:r>
      <w:r w:rsidRPr="00C13393">
        <w:rPr>
          <w:lang w:val="fr-FR"/>
        </w:rPr>
        <w:t xml:space="preserve">et les MEMU homologués conformément au paragraphe 9.1.2.2 et pour lesquels </w:t>
      </w:r>
      <w:r w:rsidR="00433E2B">
        <w:rPr>
          <w:lang w:val="fr-FR"/>
        </w:rPr>
        <w:br/>
      </w:r>
      <w:r w:rsidRPr="00C13393">
        <w:rPr>
          <w:lang w:val="fr-FR"/>
        </w:rPr>
        <w:t xml:space="preserve">une déclaration de conformité aux prescriptions des chapitres 9.2 à 9.8 </w:t>
      </w:r>
      <w:r w:rsidR="00433E2B">
        <w:rPr>
          <w:lang w:val="fr-FR"/>
        </w:rPr>
        <w:br/>
      </w:r>
      <w:r w:rsidRPr="00C13393">
        <w:rPr>
          <w:lang w:val="fr-FR"/>
        </w:rPr>
        <w:t>a été délivrée</w:t>
      </w:r>
      <w:bookmarkEnd w:id="20"/>
    </w:p>
    <w:p w14:paraId="2EC3BA57" w14:textId="77777777" w:rsidR="00047D1A" w:rsidRPr="00047D1A" w:rsidRDefault="00047D1A" w:rsidP="00C13393">
      <w:pPr>
        <w:pStyle w:val="SingleTxtG"/>
        <w:ind w:left="3402" w:hanging="2268"/>
      </w:pPr>
      <w:r w:rsidRPr="00C13393">
        <w:rPr>
          <w:i/>
          <w:iCs/>
          <w:lang w:val="fr-FR"/>
        </w:rPr>
        <w:t>Document</w:t>
      </w:r>
      <w:r w:rsidR="00C13393">
        <w:rPr>
          <w:i/>
          <w:iCs/>
          <w:lang w:val="fr-FR"/>
        </w:rPr>
        <w:t> </w:t>
      </w:r>
      <w:r w:rsidRPr="00C13393">
        <w:rPr>
          <w:iCs/>
          <w:lang w:val="fr-FR"/>
        </w:rPr>
        <w:t>:</w:t>
      </w:r>
      <w:r w:rsidRPr="00C13393">
        <w:rPr>
          <w:lang w:val="fr-FR"/>
        </w:rPr>
        <w:tab/>
        <w:t>ECE/TRANS/WP.15/2018</w:t>
      </w:r>
      <w:r w:rsidRPr="00047D1A">
        <w:rPr>
          <w:lang w:val="fr-FR"/>
        </w:rPr>
        <w:t>/7 (Royaume-Uni).</w:t>
      </w:r>
    </w:p>
    <w:p w14:paraId="25D063EA" w14:textId="77777777" w:rsidR="00047D1A" w:rsidRPr="00047D1A" w:rsidRDefault="00047D1A" w:rsidP="00C13393">
      <w:pPr>
        <w:pStyle w:val="SingleTxtG"/>
        <w:ind w:left="3402" w:hanging="2268"/>
      </w:pPr>
      <w:r w:rsidRPr="00047D1A">
        <w:rPr>
          <w:i/>
          <w:iCs/>
          <w:lang w:val="fr-FR"/>
        </w:rPr>
        <w:t>Document informel</w:t>
      </w:r>
      <w:r w:rsidR="00C13393">
        <w:rPr>
          <w:i/>
          <w:iCs/>
          <w:lang w:val="fr-FR"/>
        </w:rPr>
        <w:t> </w:t>
      </w:r>
      <w:r w:rsidRPr="00C13393">
        <w:rPr>
          <w:iCs/>
          <w:lang w:val="fr-FR"/>
        </w:rPr>
        <w:t>:</w:t>
      </w:r>
      <w:r w:rsidRPr="00047D1A">
        <w:rPr>
          <w:lang w:val="fr-FR"/>
        </w:rPr>
        <w:tab/>
      </w:r>
      <w:r w:rsidRPr="00047D1A">
        <w:rPr>
          <w:lang w:val="fr-FR"/>
        </w:rPr>
        <w:tab/>
        <w:t>INF.25 (Royaume-Uni).</w:t>
      </w:r>
    </w:p>
    <w:p w14:paraId="4695C659" w14:textId="77777777" w:rsidR="00047D1A" w:rsidRPr="00047D1A" w:rsidRDefault="00047D1A" w:rsidP="00047D1A">
      <w:pPr>
        <w:pStyle w:val="SingleTxtG"/>
      </w:pPr>
      <w:r w:rsidRPr="00047D1A">
        <w:rPr>
          <w:lang w:val="fr-FR"/>
        </w:rPr>
        <w:t>28.</w:t>
      </w:r>
      <w:r w:rsidRPr="00047D1A">
        <w:rPr>
          <w:lang w:val="fr-FR"/>
        </w:rPr>
        <w:tab/>
        <w:t xml:space="preserve">Bien que les résultats des essais effectués au Royaume-Uni aient été positifs, les délégations qui ont pris la parole se sont opposées à ce que les autorités compétentes dispensent de première visite technique les véhicules EX, FL et AT ainsi que les unités mobiles de fabrication d’explosifs, comme c’est le cas pour les tracteurs de semi-remorques homologués pour lesquels une déclaration de conformité a été délivrée. La plupart des délégations ont estimé que la première visite technique permettait souvent de détecter et de corriger des défauts de non-conformité de l’équipement de ces véhicules. </w:t>
      </w:r>
    </w:p>
    <w:p w14:paraId="7AE722F7" w14:textId="77777777" w:rsidR="00047D1A" w:rsidRPr="00047D1A" w:rsidRDefault="00047D1A" w:rsidP="00047D1A">
      <w:pPr>
        <w:pStyle w:val="SingleTxtG"/>
      </w:pPr>
      <w:r w:rsidRPr="00047D1A">
        <w:rPr>
          <w:lang w:val="fr-FR"/>
        </w:rPr>
        <w:t>29.</w:t>
      </w:r>
      <w:r w:rsidRPr="00047D1A">
        <w:rPr>
          <w:lang w:val="fr-FR"/>
        </w:rPr>
        <w:tab/>
        <w:t>Compte tenu des observations faites, le représentant du Royaume-Uni a retiré sa proposition.</w:t>
      </w:r>
    </w:p>
    <w:p w14:paraId="10354762" w14:textId="77777777" w:rsidR="00047D1A" w:rsidRPr="00047D1A" w:rsidRDefault="00047D1A" w:rsidP="00433E2B">
      <w:pPr>
        <w:pStyle w:val="H23G"/>
      </w:pPr>
      <w:r w:rsidRPr="00047D1A">
        <w:rPr>
          <w:lang w:val="fr-FR"/>
        </w:rPr>
        <w:tab/>
        <w:t>2.</w:t>
      </w:r>
      <w:r w:rsidRPr="00047D1A">
        <w:rPr>
          <w:lang w:val="fr-FR"/>
        </w:rPr>
        <w:tab/>
      </w:r>
      <w:bookmarkStart w:id="21" w:name="_Hlk6317082"/>
      <w:r w:rsidRPr="00047D1A">
        <w:rPr>
          <w:lang w:val="fr-FR"/>
        </w:rPr>
        <w:t>Application des prescriptions du paragraphe 9.2.2.2.1 de l’ADR sur les câbles</w:t>
      </w:r>
      <w:bookmarkEnd w:id="21"/>
    </w:p>
    <w:p w14:paraId="67003292" w14:textId="77777777" w:rsidR="00047D1A" w:rsidRPr="00047D1A" w:rsidRDefault="00047D1A" w:rsidP="00433E2B">
      <w:pPr>
        <w:pStyle w:val="SingleTxtG"/>
        <w:ind w:left="3402" w:hanging="2268"/>
      </w:pPr>
      <w:r w:rsidRPr="00047D1A">
        <w:rPr>
          <w:i/>
          <w:iCs/>
          <w:lang w:val="fr-FR"/>
        </w:rPr>
        <w:t>Document</w:t>
      </w:r>
      <w:r w:rsidR="00433E2B">
        <w:rPr>
          <w:i/>
          <w:iCs/>
          <w:lang w:val="fr-FR"/>
        </w:rPr>
        <w:t> </w:t>
      </w:r>
      <w:r w:rsidRPr="00064611">
        <w:rPr>
          <w:iCs/>
          <w:lang w:val="fr-FR"/>
        </w:rPr>
        <w:t>:</w:t>
      </w:r>
      <w:r w:rsidR="00433E2B">
        <w:rPr>
          <w:lang w:val="fr-FR"/>
        </w:rPr>
        <w:tab/>
      </w:r>
      <w:r w:rsidRPr="00047D1A">
        <w:rPr>
          <w:lang w:val="fr-FR"/>
        </w:rPr>
        <w:t>ECE/TRANS/WP.15/2018/8 (France).</w:t>
      </w:r>
    </w:p>
    <w:p w14:paraId="0DA0FF2E" w14:textId="77777777" w:rsidR="00047D1A" w:rsidRPr="00047D1A" w:rsidRDefault="00047D1A" w:rsidP="00047D1A">
      <w:pPr>
        <w:pStyle w:val="SingleTxtG"/>
      </w:pPr>
      <w:r w:rsidRPr="00047D1A">
        <w:rPr>
          <w:lang w:val="fr-FR"/>
        </w:rPr>
        <w:t>30.</w:t>
      </w:r>
      <w:r w:rsidRPr="00047D1A">
        <w:rPr>
          <w:lang w:val="fr-FR"/>
        </w:rPr>
        <w:tab/>
        <w:t>Il a été noté que les normes ISO de conformité des câbles utilisés dans les différents circuits électriques introduites dans l’édition 2017 de l’ADR contribuaient à renforcer la sécurité des véhicules. Certaines délégations ont toutefois fait observer que ces normes posaient des problèmes de mise en œuvre parce qu’il pouvait être difficile de se procurer les câbles conformes dans certains pays et qu’il était difficile de vérifier la conformité des câbles certifiés lorsqu’ils ne portaient pas de marques. De plus, les câbles visés n’étaient pas utilisés dans tous les véhicules types convertis ultérieurement aux fins de l’ADR. D’autres représentants ont estimé que la période transitoire avait été suffisante pour l’application des dispositions concernées. Le Groupe de travail a regretté l’absence de représentants des fabricants dans le cadre de ce débat. Le représentant de la France a dit qu’il se mettrait en rapport avec les pays qui avaient des difficultés de mise en œuvre et qu’il pourrait soumettre une proposition ultérieurement.</w:t>
      </w:r>
    </w:p>
    <w:p w14:paraId="746A5004" w14:textId="77777777" w:rsidR="00047D1A" w:rsidRPr="00047D1A" w:rsidRDefault="00047D1A" w:rsidP="00064611">
      <w:pPr>
        <w:pStyle w:val="H23G"/>
      </w:pPr>
      <w:r w:rsidRPr="00047D1A">
        <w:rPr>
          <w:bCs/>
          <w:lang w:val="fr-FR"/>
        </w:rPr>
        <w:lastRenderedPageBreak/>
        <w:tab/>
        <w:t>3.</w:t>
      </w:r>
      <w:r w:rsidRPr="00047D1A">
        <w:rPr>
          <w:lang w:val="fr-FR"/>
        </w:rPr>
        <w:tab/>
      </w:r>
      <w:bookmarkStart w:id="22" w:name="_Hlk6317101"/>
      <w:r w:rsidRPr="00047D1A">
        <w:rPr>
          <w:lang w:val="fr-FR"/>
        </w:rPr>
        <w:t xml:space="preserve">Utilisation de véhicules électriques et de véhicules hybrides électriques </w:t>
      </w:r>
      <w:r w:rsidR="00064611">
        <w:rPr>
          <w:lang w:val="fr-FR"/>
        </w:rPr>
        <w:br/>
      </w:r>
      <w:r w:rsidRPr="00047D1A">
        <w:rPr>
          <w:lang w:val="fr-FR"/>
        </w:rPr>
        <w:t>pour le transport de marchandises dangereuses</w:t>
      </w:r>
      <w:bookmarkEnd w:id="22"/>
    </w:p>
    <w:p w14:paraId="2D8C8E28" w14:textId="77777777" w:rsidR="00047D1A" w:rsidRPr="00047D1A" w:rsidRDefault="00047D1A" w:rsidP="00064611">
      <w:pPr>
        <w:pStyle w:val="SingleTxtG"/>
        <w:ind w:left="3402" w:hanging="2268"/>
      </w:pPr>
      <w:r w:rsidRPr="00047D1A">
        <w:rPr>
          <w:i/>
          <w:iCs/>
          <w:lang w:val="fr-FR"/>
        </w:rPr>
        <w:t>Document informel</w:t>
      </w:r>
      <w:r w:rsidR="00064611">
        <w:rPr>
          <w:i/>
          <w:iCs/>
          <w:lang w:val="fr-FR"/>
        </w:rPr>
        <w:t> </w:t>
      </w:r>
      <w:r w:rsidRPr="00064611">
        <w:rPr>
          <w:iCs/>
          <w:lang w:val="fr-FR"/>
        </w:rPr>
        <w:t>:</w:t>
      </w:r>
      <w:r w:rsidRPr="00047D1A">
        <w:rPr>
          <w:lang w:val="fr-FR"/>
        </w:rPr>
        <w:tab/>
        <w:t>INF.13 (Pays-Bas).</w:t>
      </w:r>
    </w:p>
    <w:p w14:paraId="0436732B" w14:textId="77777777" w:rsidR="00047D1A" w:rsidRPr="00047D1A" w:rsidRDefault="00047D1A" w:rsidP="00047D1A">
      <w:pPr>
        <w:pStyle w:val="SingleTxtG"/>
      </w:pPr>
      <w:r w:rsidRPr="00047D1A">
        <w:rPr>
          <w:lang w:val="fr-FR"/>
        </w:rPr>
        <w:t>31.</w:t>
      </w:r>
      <w:r w:rsidRPr="00047D1A">
        <w:rPr>
          <w:lang w:val="fr-FR"/>
        </w:rPr>
        <w:tab/>
        <w:t xml:space="preserve">Le Groupe de travail a entièrement souscrit à l’analyse faite par le représentant des Pays-Bas dans le document informel INF.13 et l’a rejoint sur la nécessité de commencer à examiner les questions relatives à la production et l’utilisation croissantes des véhicules électriques. </w:t>
      </w:r>
    </w:p>
    <w:p w14:paraId="37ECFBE8" w14:textId="77777777" w:rsidR="00047D1A" w:rsidRPr="00047D1A" w:rsidRDefault="00047D1A" w:rsidP="00047D1A">
      <w:pPr>
        <w:pStyle w:val="SingleTxtG"/>
      </w:pPr>
      <w:r w:rsidRPr="00047D1A">
        <w:rPr>
          <w:lang w:val="fr-FR"/>
        </w:rPr>
        <w:t>32.</w:t>
      </w:r>
      <w:r w:rsidRPr="00047D1A">
        <w:rPr>
          <w:lang w:val="fr-FR"/>
        </w:rPr>
        <w:tab/>
        <w:t xml:space="preserve">Plusieurs délégations ont estimé que certaines des questions soulevées dans le document n’étaient pas du ressort du Groupe de travail et devraient être confiées au Forum mondial de l’harmonisation des Règlements concernant les véhicules (WP.29). En fonction des conclusions du WP.29, le Groupe de travail pourrait se demander s’il existe d’autres aspects particuliers concernant les véhicules destinés au transport de marchandises dangereuses qui devraient être examinés séparément. </w:t>
      </w:r>
    </w:p>
    <w:p w14:paraId="1988D178" w14:textId="77777777" w:rsidR="00047D1A" w:rsidRPr="00047D1A" w:rsidRDefault="00047D1A" w:rsidP="00047D1A">
      <w:pPr>
        <w:pStyle w:val="SingleTxtG"/>
      </w:pPr>
      <w:r w:rsidRPr="00047D1A">
        <w:rPr>
          <w:lang w:val="fr-FR"/>
        </w:rPr>
        <w:t>33.</w:t>
      </w:r>
      <w:r w:rsidRPr="00047D1A">
        <w:rPr>
          <w:lang w:val="fr-FR"/>
        </w:rPr>
        <w:tab/>
        <w:t xml:space="preserve">Le représentant des Pays-Bas a invité toutes les délégations à se prononcer sur les questions soulevées dans le document INF.13 et a ajouté qu’il continuerait à améliorer et mettre à jour les annexes à la lumière des observations formulées. </w:t>
      </w:r>
    </w:p>
    <w:p w14:paraId="30D8A86F" w14:textId="77777777" w:rsidR="00047D1A" w:rsidRPr="00047D1A" w:rsidRDefault="00047D1A" w:rsidP="00064611">
      <w:pPr>
        <w:pStyle w:val="H1G"/>
      </w:pPr>
      <w:bookmarkStart w:id="23" w:name="_Toc499903656"/>
      <w:r w:rsidRPr="00047D1A">
        <w:rPr>
          <w:lang w:val="fr-FR"/>
        </w:rPr>
        <w:tab/>
        <w:t>B.</w:t>
      </w:r>
      <w:r w:rsidRPr="00047D1A">
        <w:rPr>
          <w:lang w:val="fr-FR"/>
        </w:rPr>
        <w:tab/>
      </w:r>
      <w:bookmarkStart w:id="24" w:name="_Hlk6317120"/>
      <w:r w:rsidRPr="00047D1A">
        <w:rPr>
          <w:lang w:val="fr-FR"/>
        </w:rPr>
        <w:t>Propositions diverses</w:t>
      </w:r>
      <w:bookmarkEnd w:id="23"/>
      <w:bookmarkEnd w:id="24"/>
    </w:p>
    <w:p w14:paraId="02C27AE0" w14:textId="77777777" w:rsidR="00047D1A" w:rsidRPr="00047D1A" w:rsidRDefault="00047D1A" w:rsidP="00064611">
      <w:pPr>
        <w:pStyle w:val="H23G"/>
      </w:pPr>
      <w:r w:rsidRPr="00047D1A">
        <w:rPr>
          <w:lang w:val="fr-FR"/>
        </w:rPr>
        <w:tab/>
        <w:t>1.</w:t>
      </w:r>
      <w:r w:rsidRPr="00047D1A">
        <w:rPr>
          <w:lang w:val="fr-FR"/>
        </w:rPr>
        <w:tab/>
      </w:r>
      <w:bookmarkStart w:id="25" w:name="_Hlk6317127"/>
      <w:r w:rsidRPr="00047D1A">
        <w:rPr>
          <w:lang w:val="fr-FR"/>
        </w:rPr>
        <w:t>Correction de la note de bas de page b</w:t>
      </w:r>
      <w:r w:rsidR="00064611">
        <w:rPr>
          <w:lang w:val="fr-FR"/>
        </w:rPr>
        <w:t>)</w:t>
      </w:r>
      <w:r w:rsidRPr="00047D1A">
        <w:rPr>
          <w:lang w:val="fr-FR"/>
        </w:rPr>
        <w:t xml:space="preserve"> pour les consignes écrites (par.</w:t>
      </w:r>
      <w:r w:rsidR="00064611">
        <w:rPr>
          <w:lang w:val="fr-FR"/>
        </w:rPr>
        <w:t> </w:t>
      </w:r>
      <w:r w:rsidRPr="00047D1A">
        <w:rPr>
          <w:lang w:val="fr-FR"/>
        </w:rPr>
        <w:t>5.4.3.4)</w:t>
      </w:r>
      <w:bookmarkEnd w:id="25"/>
    </w:p>
    <w:p w14:paraId="79F0A0F6" w14:textId="77777777" w:rsidR="00047D1A" w:rsidRPr="00047D1A" w:rsidRDefault="00047D1A" w:rsidP="00064611">
      <w:pPr>
        <w:pStyle w:val="SingleTxtG"/>
        <w:ind w:left="3402" w:hanging="2268"/>
      </w:pPr>
      <w:r w:rsidRPr="00047D1A">
        <w:rPr>
          <w:i/>
          <w:iCs/>
          <w:lang w:val="fr-FR"/>
        </w:rPr>
        <w:t>Document</w:t>
      </w:r>
      <w:r w:rsidR="00064611">
        <w:rPr>
          <w:i/>
          <w:iCs/>
          <w:lang w:val="fr-FR"/>
        </w:rPr>
        <w:t> </w:t>
      </w:r>
      <w:r w:rsidRPr="00064611">
        <w:rPr>
          <w:iCs/>
          <w:lang w:val="fr-FR"/>
        </w:rPr>
        <w:t>:</w:t>
      </w:r>
      <w:r w:rsidRPr="00047D1A">
        <w:rPr>
          <w:lang w:val="fr-FR"/>
        </w:rPr>
        <w:tab/>
        <w:t>ECE/TRANS/WP.15/2018/5 (Allemagne).</w:t>
      </w:r>
    </w:p>
    <w:p w14:paraId="1F5C096A" w14:textId="77777777" w:rsidR="00047D1A" w:rsidRPr="00047D1A" w:rsidRDefault="00047D1A" w:rsidP="00047D1A">
      <w:pPr>
        <w:pStyle w:val="SingleTxtG"/>
      </w:pPr>
      <w:r w:rsidRPr="00047D1A">
        <w:rPr>
          <w:lang w:val="fr-FR"/>
        </w:rPr>
        <w:t>34.</w:t>
      </w:r>
      <w:r w:rsidRPr="00047D1A">
        <w:rPr>
          <w:lang w:val="fr-FR"/>
        </w:rPr>
        <w:tab/>
        <w:t>Plusieurs délégations ont appuyé la proposition. D’autres délégations ont estimé que les équipements énumérés dans la note b</w:t>
      </w:r>
      <w:r w:rsidR="00064611">
        <w:rPr>
          <w:lang w:val="fr-FR"/>
        </w:rPr>
        <w:t>)</w:t>
      </w:r>
      <w:r w:rsidRPr="00047D1A">
        <w:rPr>
          <w:lang w:val="fr-FR"/>
        </w:rPr>
        <w:t xml:space="preserve"> n’étaient peut-être pas nécessaires dans le cas des batteries au lithium. D’autres encore ont rappelé que lorsque les nouvelles consignes écrites avaient été insérées dans l’ADR, il avait été entendu qu’il serait préférable de ne pas les modifier trop fréquemment.</w:t>
      </w:r>
    </w:p>
    <w:p w14:paraId="28E1DE48" w14:textId="77777777" w:rsidR="00047D1A" w:rsidRPr="00047D1A" w:rsidRDefault="00047D1A" w:rsidP="00047D1A">
      <w:pPr>
        <w:pStyle w:val="SingleTxtG"/>
      </w:pPr>
      <w:r w:rsidRPr="00047D1A">
        <w:rPr>
          <w:lang w:val="fr-FR"/>
        </w:rPr>
        <w:t>35.</w:t>
      </w:r>
      <w:r w:rsidRPr="00047D1A">
        <w:rPr>
          <w:lang w:val="fr-FR"/>
        </w:rPr>
        <w:tab/>
        <w:t>Le représentant de la Roumanie a informé le Groupe de travail que le groupe de travail informel créé dans le cadre de la Réunion commune pour examiner les définitions des termes «</w:t>
      </w:r>
      <w:r w:rsidR="00064611">
        <w:rPr>
          <w:lang w:val="fr-FR"/>
        </w:rPr>
        <w:t> </w:t>
      </w:r>
      <w:r w:rsidRPr="00047D1A">
        <w:rPr>
          <w:lang w:val="fr-FR"/>
        </w:rPr>
        <w:t>risque</w:t>
      </w:r>
      <w:r w:rsidR="00064611">
        <w:rPr>
          <w:lang w:val="fr-FR"/>
        </w:rPr>
        <w:t> </w:t>
      </w:r>
      <w:r w:rsidRPr="00047D1A">
        <w:rPr>
          <w:lang w:val="fr-FR"/>
        </w:rPr>
        <w:t>» et «</w:t>
      </w:r>
      <w:r w:rsidR="00064611">
        <w:rPr>
          <w:lang w:val="fr-FR"/>
        </w:rPr>
        <w:t> </w:t>
      </w:r>
      <w:r w:rsidRPr="00047D1A">
        <w:rPr>
          <w:lang w:val="fr-FR"/>
        </w:rPr>
        <w:t>danger</w:t>
      </w:r>
      <w:r w:rsidR="00064611">
        <w:rPr>
          <w:lang w:val="fr-FR"/>
        </w:rPr>
        <w:t> </w:t>
      </w:r>
      <w:r w:rsidRPr="00047D1A">
        <w:rPr>
          <w:lang w:val="fr-FR"/>
        </w:rPr>
        <w:t xml:space="preserve">» présenterait un document officiel à la session du printemps 2019 de la Réunion commune, notamment des propositions d’amendements aux consignes écrites pour le RID, l’ADR et l’ADN. </w:t>
      </w:r>
    </w:p>
    <w:p w14:paraId="7C194186" w14:textId="77777777" w:rsidR="00047D1A" w:rsidRPr="00047D1A" w:rsidRDefault="00047D1A" w:rsidP="00047D1A">
      <w:pPr>
        <w:pStyle w:val="SingleTxtG"/>
      </w:pPr>
      <w:r w:rsidRPr="00047D1A">
        <w:rPr>
          <w:lang w:val="fr-FR"/>
        </w:rPr>
        <w:t>36.</w:t>
      </w:r>
      <w:r w:rsidRPr="00047D1A">
        <w:rPr>
          <w:lang w:val="fr-FR"/>
        </w:rPr>
        <w:tab/>
        <w:t xml:space="preserve">La représentante de l’Allemagne a pris note des observations faites et a informé le Groupe de travail qu’elle se concerterait avec la Roumanie et réfléchirait à la soumission d’une version révisée de la proposition. </w:t>
      </w:r>
    </w:p>
    <w:p w14:paraId="6FF3BBEB" w14:textId="77777777" w:rsidR="00047D1A" w:rsidRPr="00047D1A" w:rsidRDefault="00047D1A" w:rsidP="00695955">
      <w:pPr>
        <w:pStyle w:val="H23G"/>
      </w:pPr>
      <w:r w:rsidRPr="00047D1A">
        <w:rPr>
          <w:lang w:val="fr-FR"/>
        </w:rPr>
        <w:tab/>
        <w:t>2.</w:t>
      </w:r>
      <w:r w:rsidRPr="00047D1A">
        <w:rPr>
          <w:lang w:val="fr-FR"/>
        </w:rPr>
        <w:tab/>
      </w:r>
      <w:bookmarkStart w:id="26" w:name="_Hlk6317150"/>
      <w:r w:rsidRPr="00047D1A">
        <w:rPr>
          <w:lang w:val="fr-FR"/>
        </w:rPr>
        <w:t xml:space="preserve">Présentation du certificat de formation ADR conformément au 8.2.2.8.3 </w:t>
      </w:r>
      <w:r w:rsidR="00695955">
        <w:rPr>
          <w:lang w:val="fr-FR"/>
        </w:rPr>
        <w:br/>
      </w:r>
      <w:r w:rsidRPr="00047D1A">
        <w:rPr>
          <w:lang w:val="fr-FR"/>
        </w:rPr>
        <w:t>lu conjointement avec le 8.2.2.8.5 de l’ADR</w:t>
      </w:r>
      <w:r w:rsidR="00695955">
        <w:rPr>
          <w:lang w:val="fr-FR"/>
        </w:rPr>
        <w:t> </w:t>
      </w:r>
      <w:r w:rsidRPr="00047D1A">
        <w:rPr>
          <w:lang w:val="fr-FR"/>
        </w:rPr>
        <w:t xml:space="preserve">: Possibilité d’ajouter </w:t>
      </w:r>
      <w:r w:rsidR="00695955">
        <w:rPr>
          <w:lang w:val="fr-FR"/>
        </w:rPr>
        <w:br/>
      </w:r>
      <w:r w:rsidRPr="00047D1A">
        <w:rPr>
          <w:lang w:val="fr-FR"/>
        </w:rPr>
        <w:t>des informations au verso du certificat</w:t>
      </w:r>
      <w:bookmarkEnd w:id="26"/>
    </w:p>
    <w:p w14:paraId="747D2B84" w14:textId="77777777" w:rsidR="00047D1A" w:rsidRPr="00047D1A" w:rsidRDefault="00047D1A" w:rsidP="00695955">
      <w:pPr>
        <w:pStyle w:val="SingleTxtG"/>
        <w:ind w:left="3402" w:hanging="2268"/>
      </w:pPr>
      <w:r w:rsidRPr="00047D1A">
        <w:rPr>
          <w:i/>
          <w:iCs/>
          <w:lang w:val="fr-FR"/>
        </w:rPr>
        <w:t>Document</w:t>
      </w:r>
      <w:r w:rsidR="00695955">
        <w:rPr>
          <w:i/>
          <w:iCs/>
          <w:lang w:val="fr-FR"/>
        </w:rPr>
        <w:t> </w:t>
      </w:r>
      <w:r w:rsidRPr="00695955">
        <w:rPr>
          <w:iCs/>
          <w:lang w:val="fr-FR"/>
        </w:rPr>
        <w:t>:</w:t>
      </w:r>
      <w:r w:rsidRPr="00047D1A">
        <w:rPr>
          <w:lang w:val="fr-FR"/>
        </w:rPr>
        <w:tab/>
        <w:t>ECE/TRANS/WP.15/2018/6 (Allemagne).</w:t>
      </w:r>
    </w:p>
    <w:p w14:paraId="00FB5E9E" w14:textId="77777777" w:rsidR="00047D1A" w:rsidRPr="00047D1A" w:rsidRDefault="00047D1A" w:rsidP="00047D1A">
      <w:pPr>
        <w:pStyle w:val="SingleTxtG"/>
      </w:pPr>
      <w:r w:rsidRPr="00047D1A">
        <w:rPr>
          <w:lang w:val="fr-FR"/>
        </w:rPr>
        <w:t>37.</w:t>
      </w:r>
      <w:r w:rsidRPr="00047D1A">
        <w:rPr>
          <w:lang w:val="fr-FR"/>
        </w:rPr>
        <w:tab/>
        <w:t xml:space="preserve">Les deux options proposées par l’Allemagne ont reçu un appui, en particulier l’option 2. Certaines délégations ont préféré autoriser uniquement la répétition du numéro du certificat et interdire la possibilité d’inscrire des informations supplémentaires. Plusieurs délégations ont en outre souligné qu’il était important de prévoir une période transitoire suffisante pour l’application de cette nouvelle disposition, afin de donner la possibilité d’utiliser les certificats délivrés au cours de cette période jusqu’à la fin de leur période de validité de cinq ans. </w:t>
      </w:r>
    </w:p>
    <w:p w14:paraId="46698A05" w14:textId="77777777" w:rsidR="00047D1A" w:rsidRPr="00047D1A" w:rsidRDefault="00047D1A" w:rsidP="00047D1A">
      <w:pPr>
        <w:pStyle w:val="SingleTxtG"/>
      </w:pPr>
      <w:r w:rsidRPr="00047D1A">
        <w:rPr>
          <w:lang w:val="fr-FR"/>
        </w:rPr>
        <w:t>38.</w:t>
      </w:r>
      <w:r w:rsidRPr="00047D1A">
        <w:rPr>
          <w:lang w:val="fr-FR"/>
        </w:rPr>
        <w:tab/>
        <w:t xml:space="preserve">Le représentant de l’Autriche a indiqué qu’il appuierait la possibilité d’ajouter le point </w:t>
      </w:r>
      <w:r w:rsidR="00B758F6" w:rsidRPr="00B758F6">
        <w:rPr>
          <w:rFonts w:eastAsia="MS Mincho"/>
          <w:lang w:val="fr-FR"/>
        </w:rPr>
        <w:t>n</w:t>
      </w:r>
      <w:r w:rsidR="00B758F6" w:rsidRPr="00B758F6">
        <w:rPr>
          <w:rFonts w:eastAsia="MS Mincho"/>
          <w:vertAlign w:val="superscript"/>
          <w:lang w:val="fr-FR"/>
        </w:rPr>
        <w:t>o</w:t>
      </w:r>
      <w:r w:rsidR="00B758F6">
        <w:rPr>
          <w:lang w:val="fr-FR"/>
        </w:rPr>
        <w:t> </w:t>
      </w:r>
      <w:r w:rsidRPr="00047D1A">
        <w:rPr>
          <w:lang w:val="fr-FR"/>
        </w:rPr>
        <w:t>11 au verso du certificat uniquement s’il restait facultatif, auquel cas la période transitoire ne serait pas nécessaire.</w:t>
      </w:r>
    </w:p>
    <w:p w14:paraId="59E0CB9D" w14:textId="77777777" w:rsidR="00047D1A" w:rsidRPr="00047D1A" w:rsidRDefault="00047D1A" w:rsidP="00047D1A">
      <w:pPr>
        <w:pStyle w:val="SingleTxtG"/>
      </w:pPr>
      <w:r w:rsidRPr="00047D1A">
        <w:rPr>
          <w:lang w:val="fr-FR"/>
        </w:rPr>
        <w:t>39.</w:t>
      </w:r>
      <w:r w:rsidRPr="00047D1A">
        <w:rPr>
          <w:lang w:val="fr-FR"/>
        </w:rPr>
        <w:tab/>
        <w:t>La représentante de l’Allemagne s’est félicitée de l’appui apporté à la proposition et a dit qu’elle réviserait celle-ci en tenant compte des observations formulées et soumettrait un document officiel en vue de la 106</w:t>
      </w:r>
      <w:r w:rsidRPr="00B758F6">
        <w:rPr>
          <w:vertAlign w:val="superscript"/>
          <w:lang w:val="fr-FR"/>
        </w:rPr>
        <w:t>e</w:t>
      </w:r>
      <w:r w:rsidR="00B758F6">
        <w:rPr>
          <w:lang w:val="fr-FR"/>
        </w:rPr>
        <w:t xml:space="preserve"> </w:t>
      </w:r>
      <w:r w:rsidRPr="00047D1A">
        <w:rPr>
          <w:lang w:val="fr-FR"/>
        </w:rPr>
        <w:t>session.</w:t>
      </w:r>
    </w:p>
    <w:p w14:paraId="1FF03D9F" w14:textId="77777777" w:rsidR="00047D1A" w:rsidRPr="00047D1A" w:rsidRDefault="00047D1A" w:rsidP="00B758F6">
      <w:pPr>
        <w:pStyle w:val="H23G"/>
      </w:pPr>
      <w:r w:rsidRPr="00047D1A">
        <w:rPr>
          <w:lang w:val="fr-FR"/>
        </w:rPr>
        <w:lastRenderedPageBreak/>
        <w:tab/>
        <w:t>3.</w:t>
      </w:r>
      <w:r w:rsidRPr="00047D1A">
        <w:rPr>
          <w:lang w:val="fr-FR"/>
        </w:rPr>
        <w:tab/>
      </w:r>
      <w:bookmarkStart w:id="27" w:name="_Hlk6317178"/>
      <w:r w:rsidRPr="00047D1A">
        <w:rPr>
          <w:lang w:val="fr-FR"/>
        </w:rPr>
        <w:t>Modification du libellé du paragraphe 9.1.3.2</w:t>
      </w:r>
      <w:bookmarkEnd w:id="27"/>
    </w:p>
    <w:p w14:paraId="5E78D2B4" w14:textId="77777777" w:rsidR="00047D1A" w:rsidRPr="00047D1A" w:rsidRDefault="00047D1A" w:rsidP="00B758F6">
      <w:pPr>
        <w:pStyle w:val="SingleTxtG"/>
        <w:ind w:left="3402" w:hanging="2268"/>
      </w:pPr>
      <w:r w:rsidRPr="00047D1A">
        <w:rPr>
          <w:i/>
          <w:iCs/>
          <w:lang w:val="fr-FR"/>
        </w:rPr>
        <w:t>Document</w:t>
      </w:r>
      <w:r w:rsidR="00B758F6">
        <w:rPr>
          <w:i/>
          <w:iCs/>
          <w:lang w:val="fr-FR"/>
        </w:rPr>
        <w:t> </w:t>
      </w:r>
      <w:r w:rsidRPr="00B758F6">
        <w:rPr>
          <w:iCs/>
          <w:lang w:val="fr-FR"/>
        </w:rPr>
        <w:t>:</w:t>
      </w:r>
      <w:r w:rsidRPr="00047D1A">
        <w:rPr>
          <w:lang w:val="fr-FR"/>
        </w:rPr>
        <w:tab/>
        <w:t>ECE/TRANS/WP.15/2018/10 (Bélarus).</w:t>
      </w:r>
    </w:p>
    <w:p w14:paraId="5C382A57" w14:textId="77777777" w:rsidR="00047D1A" w:rsidRPr="00047D1A" w:rsidRDefault="00047D1A" w:rsidP="00047D1A">
      <w:pPr>
        <w:pStyle w:val="SingleTxtG"/>
      </w:pPr>
      <w:r w:rsidRPr="00047D1A">
        <w:rPr>
          <w:lang w:val="fr-FR"/>
        </w:rPr>
        <w:t>40.</w:t>
      </w:r>
      <w:r w:rsidRPr="00047D1A">
        <w:rPr>
          <w:lang w:val="fr-FR"/>
        </w:rPr>
        <w:tab/>
        <w:t>Le Groupe de travail a adopté les corrections au texte russe de l’ADR proposées par le Bélarus</w:t>
      </w:r>
      <w:r w:rsidRPr="00B758F6">
        <w:rPr>
          <w:rStyle w:val="FootnoteReference"/>
        </w:rPr>
        <w:footnoteReference w:id="2"/>
      </w:r>
      <w:r w:rsidRPr="00047D1A">
        <w:rPr>
          <w:lang w:val="fr-FR"/>
        </w:rPr>
        <w:t xml:space="preserve">. </w:t>
      </w:r>
    </w:p>
    <w:p w14:paraId="71BD3B78" w14:textId="77777777" w:rsidR="00047D1A" w:rsidRPr="00047D1A" w:rsidRDefault="00047D1A" w:rsidP="00B758F6">
      <w:pPr>
        <w:pStyle w:val="H23G"/>
      </w:pPr>
      <w:r w:rsidRPr="00047D1A">
        <w:rPr>
          <w:lang w:val="fr-FR"/>
        </w:rPr>
        <w:tab/>
        <w:t>4.</w:t>
      </w:r>
      <w:r w:rsidRPr="00047D1A">
        <w:rPr>
          <w:lang w:val="fr-FR"/>
        </w:rPr>
        <w:tab/>
      </w:r>
      <w:bookmarkStart w:id="29" w:name="_Hlk6317188"/>
      <w:r w:rsidRPr="00047D1A">
        <w:rPr>
          <w:lang w:val="fr-FR"/>
        </w:rPr>
        <w:t>Modification du texte du paragraphe 6.8.2.5.1</w:t>
      </w:r>
      <w:bookmarkEnd w:id="29"/>
    </w:p>
    <w:p w14:paraId="039F7211" w14:textId="77777777" w:rsidR="00047D1A" w:rsidRPr="00047D1A" w:rsidRDefault="00047D1A" w:rsidP="00B758F6">
      <w:pPr>
        <w:pStyle w:val="SingleTxtG"/>
        <w:ind w:left="3402" w:hanging="2268"/>
      </w:pPr>
      <w:r w:rsidRPr="00047D1A">
        <w:rPr>
          <w:i/>
          <w:iCs/>
          <w:lang w:val="fr-FR"/>
        </w:rPr>
        <w:t>Document</w:t>
      </w:r>
      <w:r w:rsidR="00B758F6">
        <w:rPr>
          <w:i/>
          <w:iCs/>
          <w:lang w:val="fr-FR"/>
        </w:rPr>
        <w:t> </w:t>
      </w:r>
      <w:r w:rsidRPr="00B758F6">
        <w:rPr>
          <w:iCs/>
          <w:lang w:val="fr-FR"/>
        </w:rPr>
        <w:t>:</w:t>
      </w:r>
      <w:r w:rsidRPr="00047D1A">
        <w:rPr>
          <w:lang w:val="fr-FR"/>
        </w:rPr>
        <w:tab/>
        <w:t>ECE/TRANS/WP.15/2018/11 (Bélarus).</w:t>
      </w:r>
    </w:p>
    <w:p w14:paraId="16E7B93D" w14:textId="77777777" w:rsidR="00047D1A" w:rsidRPr="00047D1A" w:rsidRDefault="00047D1A" w:rsidP="00047D1A">
      <w:pPr>
        <w:pStyle w:val="SingleTxtG"/>
      </w:pPr>
      <w:r w:rsidRPr="00047D1A">
        <w:rPr>
          <w:lang w:val="fr-FR"/>
        </w:rPr>
        <w:t>41.</w:t>
      </w:r>
      <w:r w:rsidRPr="00047D1A">
        <w:rPr>
          <w:lang w:val="fr-FR"/>
        </w:rPr>
        <w:tab/>
        <w:t>Plusieurs délégations ont souhaité que le débat sur la question soit suspendu au niveau du Groupe de travail afin d’être confié au Groupe de travail des citernes de la Réunion commune, car la modification s’appliquerait à tous les modes de transport. Le représentant du Bélarus a dit qu’il soumettrait une proposition à la Réunion commune à sa session de printemps 2019.</w:t>
      </w:r>
    </w:p>
    <w:p w14:paraId="52BA2270" w14:textId="77777777" w:rsidR="00047D1A" w:rsidRPr="00047D1A" w:rsidRDefault="00047D1A" w:rsidP="00B758F6">
      <w:pPr>
        <w:pStyle w:val="H23G"/>
      </w:pPr>
      <w:r w:rsidRPr="00047D1A">
        <w:rPr>
          <w:lang w:val="fr-FR"/>
        </w:rPr>
        <w:tab/>
        <w:t>5.</w:t>
      </w:r>
      <w:r w:rsidRPr="00047D1A">
        <w:rPr>
          <w:lang w:val="fr-FR"/>
        </w:rPr>
        <w:tab/>
      </w:r>
      <w:bookmarkStart w:id="30" w:name="_Hlk6317197"/>
      <w:r w:rsidRPr="00047D1A">
        <w:rPr>
          <w:lang w:val="fr-FR"/>
        </w:rPr>
        <w:t>Clarification du champ d’application du 9.1.3.4</w:t>
      </w:r>
      <w:bookmarkEnd w:id="30"/>
    </w:p>
    <w:p w14:paraId="49C81541" w14:textId="77777777" w:rsidR="00047D1A" w:rsidRPr="00047D1A" w:rsidRDefault="00047D1A" w:rsidP="00B758F6">
      <w:pPr>
        <w:pStyle w:val="SingleTxtG"/>
        <w:ind w:left="3402" w:hanging="2268"/>
      </w:pPr>
      <w:r w:rsidRPr="00047D1A">
        <w:rPr>
          <w:i/>
          <w:iCs/>
          <w:lang w:val="fr-FR"/>
        </w:rPr>
        <w:t>Document informel</w:t>
      </w:r>
      <w:r w:rsidR="00B758F6">
        <w:rPr>
          <w:i/>
          <w:iCs/>
          <w:lang w:val="fr-FR"/>
        </w:rPr>
        <w:t> </w:t>
      </w:r>
      <w:r w:rsidRPr="00B758F6">
        <w:rPr>
          <w:i/>
          <w:lang w:val="fr-FR"/>
        </w:rPr>
        <w:t>:</w:t>
      </w:r>
      <w:r w:rsidRPr="00047D1A">
        <w:rPr>
          <w:lang w:val="fr-FR"/>
        </w:rPr>
        <w:tab/>
      </w:r>
      <w:r w:rsidRPr="00047D1A">
        <w:rPr>
          <w:lang w:val="fr-FR"/>
        </w:rPr>
        <w:tab/>
        <w:t>INF.3 (Suisse).</w:t>
      </w:r>
    </w:p>
    <w:p w14:paraId="1BE42E0A" w14:textId="77777777" w:rsidR="00047D1A" w:rsidRPr="00047D1A" w:rsidRDefault="00047D1A" w:rsidP="00047D1A">
      <w:pPr>
        <w:pStyle w:val="SingleTxtG"/>
      </w:pPr>
      <w:r w:rsidRPr="00047D1A">
        <w:rPr>
          <w:lang w:val="fr-FR"/>
        </w:rPr>
        <w:t>42.</w:t>
      </w:r>
      <w:r w:rsidRPr="00047D1A">
        <w:rPr>
          <w:lang w:val="fr-FR"/>
        </w:rPr>
        <w:tab/>
        <w:t xml:space="preserve">Le Groupe de travail a examiné la proposition d’amendement de la Suisse, visant à clarifier le sens de la deuxième phrase du 9.1.3.4. Plusieurs délégations ont appuyé la proposition et suggéré de modifier la dernière phrase afin d’autoriser une période de deux mois, et non d’un seul mois comme c’est le cas actuellement, pour la visite technique avant la dernière date d’expiration nominale. Le représentant du Royaume-Uni s’est opposé à la proposition. D’autres représentants ont estimé qu’il pourrait être nécessaire d’étudier la question au sein de la Réunion commune. </w:t>
      </w:r>
    </w:p>
    <w:p w14:paraId="1BC6FDCB" w14:textId="77777777" w:rsidR="00047D1A" w:rsidRPr="00047D1A" w:rsidRDefault="00047D1A" w:rsidP="00047D1A">
      <w:pPr>
        <w:pStyle w:val="SingleTxtG"/>
      </w:pPr>
      <w:r w:rsidRPr="00047D1A">
        <w:rPr>
          <w:lang w:val="fr-FR"/>
        </w:rPr>
        <w:t>43.</w:t>
      </w:r>
      <w:r w:rsidRPr="00047D1A">
        <w:rPr>
          <w:lang w:val="fr-FR"/>
        </w:rPr>
        <w:tab/>
        <w:t>Le représentant de la Suisse a pris note des observations faites et a ajouté qu’il soumettrait une proposition révisée ultérieurement.</w:t>
      </w:r>
    </w:p>
    <w:p w14:paraId="3C030526" w14:textId="77777777" w:rsidR="00047D1A" w:rsidRPr="00047D1A" w:rsidRDefault="00047D1A" w:rsidP="00A121AC">
      <w:pPr>
        <w:pStyle w:val="H23G"/>
      </w:pPr>
      <w:r w:rsidRPr="00047D1A">
        <w:rPr>
          <w:lang w:val="fr-FR"/>
        </w:rPr>
        <w:tab/>
        <w:t>6.</w:t>
      </w:r>
      <w:r w:rsidRPr="00047D1A">
        <w:rPr>
          <w:lang w:val="fr-FR"/>
        </w:rPr>
        <w:tab/>
      </w:r>
      <w:bookmarkStart w:id="31" w:name="_Hlk6317208"/>
      <w:r w:rsidRPr="00047D1A">
        <w:rPr>
          <w:lang w:val="fr-FR"/>
        </w:rPr>
        <w:t xml:space="preserve">Exemption relative aux équipements de lutte contre l’incendie pour le transport </w:t>
      </w:r>
      <w:r w:rsidR="00A121AC">
        <w:rPr>
          <w:lang w:val="fr-FR"/>
        </w:rPr>
        <w:br/>
      </w:r>
      <w:r w:rsidRPr="00047D1A">
        <w:rPr>
          <w:lang w:val="fr-FR"/>
        </w:rPr>
        <w:t>par la poste de colis exceptés de la classe 7 ayant un niveau d’activité limité</w:t>
      </w:r>
      <w:bookmarkEnd w:id="31"/>
    </w:p>
    <w:p w14:paraId="5AE969AE" w14:textId="77777777" w:rsidR="00047D1A" w:rsidRPr="00047D1A" w:rsidRDefault="00047D1A" w:rsidP="00A121AC">
      <w:pPr>
        <w:pStyle w:val="SingleTxtG"/>
        <w:ind w:left="3402" w:hanging="2268"/>
      </w:pPr>
      <w:r w:rsidRPr="00047D1A">
        <w:rPr>
          <w:i/>
          <w:iCs/>
          <w:lang w:val="fr-FR"/>
        </w:rPr>
        <w:t>Document informel</w:t>
      </w:r>
      <w:r w:rsidR="00A121AC">
        <w:rPr>
          <w:i/>
          <w:iCs/>
          <w:lang w:val="fr-FR"/>
        </w:rPr>
        <w:t> </w:t>
      </w:r>
      <w:r w:rsidRPr="00047D1A">
        <w:rPr>
          <w:lang w:val="fr-FR"/>
        </w:rPr>
        <w:t>:</w:t>
      </w:r>
      <w:r w:rsidRPr="00047D1A">
        <w:rPr>
          <w:lang w:val="fr-FR"/>
        </w:rPr>
        <w:tab/>
        <w:t>INF.4 (Suisse).</w:t>
      </w:r>
    </w:p>
    <w:p w14:paraId="4788211C" w14:textId="77777777" w:rsidR="00047D1A" w:rsidRPr="00047D1A" w:rsidRDefault="00047D1A" w:rsidP="00047D1A">
      <w:pPr>
        <w:pStyle w:val="SingleTxtG"/>
      </w:pPr>
      <w:r w:rsidRPr="00047D1A">
        <w:rPr>
          <w:lang w:val="fr-FR"/>
        </w:rPr>
        <w:t>44.</w:t>
      </w:r>
      <w:r w:rsidRPr="00047D1A">
        <w:rPr>
          <w:lang w:val="fr-FR"/>
        </w:rPr>
        <w:tab/>
        <w:t>La plupart des délégations qui ont pris la parole n’étaient pas favorables à la proposition. Elles ont fait valoir qu’on ne pouvait exclure l’éventualité d’un incendie à l’intérieur d’un véhicule et que le fait d’avoir à transporter un extincteur de 2</w:t>
      </w:r>
      <w:r w:rsidR="00A121AC">
        <w:rPr>
          <w:lang w:val="fr-FR"/>
        </w:rPr>
        <w:t> </w:t>
      </w:r>
      <w:r w:rsidRPr="00047D1A">
        <w:rPr>
          <w:lang w:val="fr-FR"/>
        </w:rPr>
        <w:t xml:space="preserve">kg dans le véhicule ne posait pas de problèmes. </w:t>
      </w:r>
    </w:p>
    <w:p w14:paraId="4C6B1466" w14:textId="77777777" w:rsidR="00047D1A" w:rsidRPr="00047D1A" w:rsidRDefault="00047D1A" w:rsidP="00047D1A">
      <w:pPr>
        <w:pStyle w:val="SingleTxtG"/>
      </w:pPr>
      <w:r w:rsidRPr="00047D1A">
        <w:rPr>
          <w:lang w:val="fr-FR"/>
        </w:rPr>
        <w:t>45.</w:t>
      </w:r>
      <w:r w:rsidRPr="00047D1A">
        <w:rPr>
          <w:lang w:val="fr-FR"/>
        </w:rPr>
        <w:tab/>
        <w:t xml:space="preserve">Il a été rappelé que l’obligation de transporter un équipement anti-incendie s’appliquait à tous les véhicules transportant des marchandises dangereuses, quelle que soit la nature des marchandises. Plusieurs délégations ont fait observer que la disposition spéciale S5 s’appliquait à tous les types de transports de colis exceptés, et pas seulement au transport postal, et elles n’étaient donc pas favorables à une généralisation de l’exemption. </w:t>
      </w:r>
    </w:p>
    <w:p w14:paraId="42FA761B" w14:textId="77777777" w:rsidR="00047D1A" w:rsidRPr="00047D1A" w:rsidRDefault="00047D1A" w:rsidP="00047D1A">
      <w:pPr>
        <w:pStyle w:val="SingleTxtG"/>
      </w:pPr>
      <w:r w:rsidRPr="00047D1A">
        <w:rPr>
          <w:lang w:val="fr-FR"/>
        </w:rPr>
        <w:t>46.</w:t>
      </w:r>
      <w:r w:rsidRPr="00047D1A">
        <w:rPr>
          <w:lang w:val="fr-FR"/>
        </w:rPr>
        <w:tab/>
        <w:t>D’autres délégations ont estimé que la question de l’exemption pourrait être traitée au niveau national. Le représentant de la Suisse a fait remarquer toutefois que cela ne résoudrait pas le problème que pose actuellement le transport multimodal de ces colis et a ajouté qu’il serait donc préférable de trouver une solution qui s’applique à tous les modes de transport. Il a informé le Groupe de travail qu’il envisagerait de soumettre une proposition officielle ultérieurement.</w:t>
      </w:r>
    </w:p>
    <w:p w14:paraId="1D91B69D" w14:textId="77777777" w:rsidR="00047D1A" w:rsidRPr="00047D1A" w:rsidRDefault="00047D1A" w:rsidP="00856234">
      <w:pPr>
        <w:pStyle w:val="H23G"/>
      </w:pPr>
      <w:r w:rsidRPr="00047D1A">
        <w:rPr>
          <w:lang w:val="fr-FR"/>
        </w:rPr>
        <w:tab/>
        <w:t>7.</w:t>
      </w:r>
      <w:r w:rsidRPr="00047D1A">
        <w:rPr>
          <w:lang w:val="fr-FR"/>
        </w:rPr>
        <w:tab/>
      </w:r>
      <w:bookmarkStart w:id="32" w:name="_Hlk6317227"/>
      <w:r w:rsidRPr="00047D1A">
        <w:rPr>
          <w:lang w:val="fr-FR"/>
        </w:rPr>
        <w:t>Formation de recyclage en ligne pour les conducteurs transportant des marchandises dangereuses</w:t>
      </w:r>
      <w:bookmarkEnd w:id="32"/>
    </w:p>
    <w:p w14:paraId="7A175F7A" w14:textId="77777777" w:rsidR="00047D1A" w:rsidRPr="00047D1A" w:rsidRDefault="00047D1A" w:rsidP="00856234">
      <w:pPr>
        <w:pStyle w:val="SingleTxtG"/>
        <w:ind w:left="3402" w:hanging="2268"/>
      </w:pPr>
      <w:r w:rsidRPr="00047D1A">
        <w:rPr>
          <w:i/>
          <w:iCs/>
          <w:lang w:val="fr-FR"/>
        </w:rPr>
        <w:t>Document informel</w:t>
      </w:r>
      <w:r w:rsidR="00856234">
        <w:rPr>
          <w:i/>
          <w:iCs/>
          <w:lang w:val="fr-FR"/>
        </w:rPr>
        <w:t> </w:t>
      </w:r>
      <w:r w:rsidRPr="00856234">
        <w:rPr>
          <w:iCs/>
          <w:lang w:val="fr-FR"/>
        </w:rPr>
        <w:t>:</w:t>
      </w:r>
      <w:r w:rsidRPr="00047D1A">
        <w:rPr>
          <w:lang w:val="fr-FR"/>
        </w:rPr>
        <w:tab/>
        <w:t>INF.7 (IRU).</w:t>
      </w:r>
    </w:p>
    <w:p w14:paraId="6DB6BF3B" w14:textId="77777777" w:rsidR="00047D1A" w:rsidRPr="00047D1A" w:rsidRDefault="00047D1A" w:rsidP="00047D1A">
      <w:pPr>
        <w:pStyle w:val="SingleTxtG"/>
      </w:pPr>
      <w:r w:rsidRPr="00047D1A">
        <w:rPr>
          <w:lang w:val="fr-FR"/>
        </w:rPr>
        <w:t>47.</w:t>
      </w:r>
      <w:r w:rsidRPr="00047D1A">
        <w:rPr>
          <w:lang w:val="fr-FR"/>
        </w:rPr>
        <w:tab/>
        <w:t xml:space="preserve">Les délégations qui ont pris la parole ont fait part de leur expérience de la formation en ligne et des informations en retour reçues de leurs autorités compétentes. Il a été admis </w:t>
      </w:r>
      <w:r w:rsidRPr="00047D1A">
        <w:rPr>
          <w:lang w:val="fr-FR"/>
        </w:rPr>
        <w:lastRenderedPageBreak/>
        <w:t>généralement que l’utilisation des nouvelles technologies de formation pouvait être utile aux conducteurs, sachant en particulier qu’elle autorisait davantage de souplesse dans l’apprentissage, mais qu’elle devait être combinée avec la présence d’un enseignant. Les représentants de la Tunisie et du projet EuroMed ont fait part des difficultés, dans certains pays, à offrir des formations de ce type aux conducteurs et des obstacles qui pourraient se présenter si des dispositions contraignantes sur les cours en ligne étaient introduites dans l’ADR.</w:t>
      </w:r>
    </w:p>
    <w:p w14:paraId="16D33AA4" w14:textId="77777777" w:rsidR="00047D1A" w:rsidRPr="00047D1A" w:rsidRDefault="00047D1A" w:rsidP="00047D1A">
      <w:pPr>
        <w:pStyle w:val="SingleTxtG"/>
      </w:pPr>
      <w:r w:rsidRPr="00856234">
        <w:rPr>
          <w:lang w:val="fr-FR"/>
        </w:rPr>
        <w:t>48.</w:t>
      </w:r>
      <w:r w:rsidRPr="00856234">
        <w:rPr>
          <w:lang w:val="fr-FR"/>
        </w:rPr>
        <w:tab/>
        <w:t>Certaines dél</w:t>
      </w:r>
      <w:r w:rsidRPr="00047D1A">
        <w:rPr>
          <w:lang w:val="fr-FR"/>
        </w:rPr>
        <w:t>égations ont fait remarquer que cette question avait été examinée à plusieurs occasions, au sein du Groupe de travail et de la Réunion commune, et ont suggéré que l’IRU soumette en vue de la session de printemps 2019 de la Réunion commune une proposition officielle comprenant une définition claire de la formation en ligne et de l’authentification.</w:t>
      </w:r>
    </w:p>
    <w:p w14:paraId="407D50F6" w14:textId="77777777" w:rsidR="00047D1A" w:rsidRPr="00047D1A" w:rsidRDefault="00047D1A" w:rsidP="00DA68B0">
      <w:pPr>
        <w:pStyle w:val="H23G"/>
      </w:pPr>
      <w:r w:rsidRPr="00047D1A">
        <w:rPr>
          <w:lang w:val="fr-FR"/>
        </w:rPr>
        <w:tab/>
        <w:t>8.</w:t>
      </w:r>
      <w:r w:rsidRPr="00047D1A">
        <w:rPr>
          <w:lang w:val="fr-FR"/>
        </w:rPr>
        <w:tab/>
      </w:r>
      <w:bookmarkStart w:id="33" w:name="_Hlk6317244"/>
      <w:r w:rsidRPr="00047D1A">
        <w:rPr>
          <w:lang w:val="fr-FR"/>
        </w:rPr>
        <w:t>Proposition d’ajout au tableau du 1.1.3.2 d’une note pour définir l’unité Nm</w:t>
      </w:r>
      <w:r w:rsidRPr="00047D1A">
        <w:rPr>
          <w:vertAlign w:val="superscript"/>
          <w:lang w:val="fr-FR"/>
        </w:rPr>
        <w:t>3</w:t>
      </w:r>
      <w:bookmarkEnd w:id="33"/>
    </w:p>
    <w:p w14:paraId="2297CDBA" w14:textId="77777777" w:rsidR="00047D1A" w:rsidRPr="00047D1A" w:rsidRDefault="00047D1A" w:rsidP="00DA68B0">
      <w:pPr>
        <w:pStyle w:val="SingleTxtG"/>
        <w:ind w:left="3402" w:hanging="2268"/>
      </w:pPr>
      <w:r w:rsidRPr="00047D1A">
        <w:rPr>
          <w:i/>
          <w:iCs/>
          <w:lang w:val="fr-FR"/>
        </w:rPr>
        <w:t>Document informel</w:t>
      </w:r>
      <w:r w:rsidR="00DA68B0">
        <w:rPr>
          <w:i/>
          <w:iCs/>
          <w:lang w:val="fr-FR"/>
        </w:rPr>
        <w:t> </w:t>
      </w:r>
      <w:r w:rsidRPr="00DA68B0">
        <w:rPr>
          <w:i/>
          <w:lang w:val="fr-FR"/>
        </w:rPr>
        <w:t>:</w:t>
      </w:r>
      <w:r w:rsidRPr="00047D1A">
        <w:rPr>
          <w:lang w:val="fr-FR"/>
        </w:rPr>
        <w:tab/>
      </w:r>
      <w:r w:rsidRPr="00047D1A">
        <w:rPr>
          <w:lang w:val="fr-FR"/>
        </w:rPr>
        <w:tab/>
        <w:t>INF.8 (Royaume Uni).</w:t>
      </w:r>
    </w:p>
    <w:p w14:paraId="34BC22AD" w14:textId="77777777" w:rsidR="00047D1A" w:rsidRPr="00047D1A" w:rsidRDefault="00047D1A" w:rsidP="00047D1A">
      <w:pPr>
        <w:pStyle w:val="SingleTxtG"/>
      </w:pPr>
      <w:r w:rsidRPr="00047D1A">
        <w:rPr>
          <w:lang w:val="fr-FR"/>
        </w:rPr>
        <w:t>49.</w:t>
      </w:r>
      <w:r w:rsidRPr="00047D1A">
        <w:rPr>
          <w:lang w:val="fr-FR"/>
        </w:rPr>
        <w:tab/>
        <w:t>Plusieurs délégations ont estimé que la proposition du Royaume-Uni était fondée. Le représentant de la France a cependant suggéré que la définition soit introduite au 1.2.2, où les unités employées sont définies. Le Groupe de travail a invité le représentant du Royaume-Uni à soumettre un document officiel pour la 106</w:t>
      </w:r>
      <w:r w:rsidRPr="00DA68B0">
        <w:rPr>
          <w:vertAlign w:val="superscript"/>
          <w:lang w:val="fr-FR"/>
        </w:rPr>
        <w:t>e</w:t>
      </w:r>
      <w:r w:rsidR="00DA68B0">
        <w:rPr>
          <w:lang w:val="fr-FR"/>
        </w:rPr>
        <w:t xml:space="preserve"> </w:t>
      </w:r>
      <w:r w:rsidRPr="00047D1A">
        <w:rPr>
          <w:lang w:val="fr-FR"/>
        </w:rPr>
        <w:t>session.</w:t>
      </w:r>
    </w:p>
    <w:p w14:paraId="308B12FA" w14:textId="77777777" w:rsidR="00047D1A" w:rsidRPr="00047D1A" w:rsidRDefault="00047D1A" w:rsidP="00DA68B0">
      <w:pPr>
        <w:pStyle w:val="H23G"/>
      </w:pPr>
      <w:r w:rsidRPr="00047D1A">
        <w:rPr>
          <w:lang w:val="fr-FR"/>
        </w:rPr>
        <w:tab/>
        <w:t>9.</w:t>
      </w:r>
      <w:r w:rsidRPr="00047D1A">
        <w:rPr>
          <w:lang w:val="fr-FR"/>
        </w:rPr>
        <w:tab/>
      </w:r>
      <w:bookmarkStart w:id="34" w:name="_Hlk6317257"/>
      <w:r w:rsidRPr="00047D1A">
        <w:rPr>
          <w:lang w:val="fr-FR"/>
        </w:rPr>
        <w:t xml:space="preserve">No ONU 3316 </w:t>
      </w:r>
      <w:r w:rsidR="00DA68B0">
        <w:rPr>
          <w:lang w:val="fr-FR"/>
        </w:rPr>
        <w:t>−</w:t>
      </w:r>
      <w:r w:rsidRPr="00047D1A">
        <w:rPr>
          <w:lang w:val="fr-FR"/>
        </w:rPr>
        <w:t xml:space="preserve"> Catégorie de transport pour les trousses chimiques et les trousses </w:t>
      </w:r>
      <w:r w:rsidR="00DA68B0">
        <w:rPr>
          <w:lang w:val="fr-FR"/>
        </w:rPr>
        <w:br/>
      </w:r>
      <w:r w:rsidRPr="00047D1A">
        <w:rPr>
          <w:lang w:val="fr-FR"/>
        </w:rPr>
        <w:t>de premiers secours</w:t>
      </w:r>
      <w:bookmarkEnd w:id="34"/>
    </w:p>
    <w:p w14:paraId="6263C946" w14:textId="77777777" w:rsidR="00047D1A" w:rsidRPr="00047D1A" w:rsidRDefault="00047D1A" w:rsidP="00DA68B0">
      <w:pPr>
        <w:pStyle w:val="SingleTxtG"/>
        <w:ind w:left="3402" w:hanging="2268"/>
      </w:pPr>
      <w:r w:rsidRPr="00047D1A">
        <w:rPr>
          <w:i/>
          <w:iCs/>
          <w:lang w:val="fr-FR"/>
        </w:rPr>
        <w:t>Document informel</w:t>
      </w:r>
      <w:r w:rsidR="00DA68B0">
        <w:rPr>
          <w:i/>
          <w:iCs/>
          <w:lang w:val="fr-FR"/>
        </w:rPr>
        <w:t> </w:t>
      </w:r>
      <w:r w:rsidRPr="00DA68B0">
        <w:rPr>
          <w:iCs/>
          <w:lang w:val="fr-FR"/>
        </w:rPr>
        <w:t>:</w:t>
      </w:r>
      <w:r w:rsidRPr="00047D1A">
        <w:rPr>
          <w:lang w:val="fr-FR"/>
        </w:rPr>
        <w:tab/>
      </w:r>
      <w:r w:rsidRPr="00047D1A">
        <w:rPr>
          <w:lang w:val="fr-FR"/>
        </w:rPr>
        <w:tab/>
        <w:t>INF.9 (Royaume Uni)</w:t>
      </w:r>
      <w:r w:rsidR="00DA68B0">
        <w:rPr>
          <w:lang w:val="fr-FR"/>
        </w:rPr>
        <w:t>.</w:t>
      </w:r>
    </w:p>
    <w:p w14:paraId="292D7512" w14:textId="77777777" w:rsidR="00047D1A" w:rsidRPr="00047D1A" w:rsidRDefault="00047D1A" w:rsidP="00047D1A">
      <w:pPr>
        <w:pStyle w:val="SingleTxtG"/>
      </w:pPr>
      <w:r w:rsidRPr="00047D1A">
        <w:rPr>
          <w:lang w:val="fr-FR"/>
        </w:rPr>
        <w:t>50.</w:t>
      </w:r>
      <w:r w:rsidRPr="00047D1A">
        <w:rPr>
          <w:lang w:val="fr-FR"/>
        </w:rPr>
        <w:tab/>
        <w:t>Plusieurs délégations ont pris la parole pour appuyer la proposition. Le représentant de l’Autriche a toutefois fait observer que la solution proposée par le Royaume-Uni aboutirait à une situation dans laquelle des trousses contenant des marchandises dangereuses auxquelles aucun groupe d’emballage n’est assigné seraient affectées à la catégorie de transport 2, alors que les mêmes trousses qui contiendraient un objet seraient affectées à la catégorie de transport 3.</w:t>
      </w:r>
    </w:p>
    <w:p w14:paraId="4FF109EE" w14:textId="77777777" w:rsidR="00047D1A" w:rsidRPr="00047D1A" w:rsidRDefault="00047D1A" w:rsidP="00047D1A">
      <w:pPr>
        <w:pStyle w:val="SingleTxtG"/>
      </w:pPr>
      <w:r w:rsidRPr="00047D1A">
        <w:rPr>
          <w:lang w:val="fr-FR"/>
        </w:rPr>
        <w:t>51.</w:t>
      </w:r>
      <w:r w:rsidRPr="00047D1A">
        <w:rPr>
          <w:lang w:val="fr-FR"/>
        </w:rPr>
        <w:tab/>
        <w:t>Le Groupe de travail a expliqué que la proposition ne pouvait pas être considérée comme une correction à apporter à l’édition 2019 de l’ADR et a invité le représentant du Royaume-Uni à soumettre un document à la Réunion commune à sa session de printemps 2019.</w:t>
      </w:r>
    </w:p>
    <w:p w14:paraId="6D16D9DB" w14:textId="77777777" w:rsidR="00047D1A" w:rsidRPr="00047D1A" w:rsidRDefault="00047D1A" w:rsidP="00990B03">
      <w:pPr>
        <w:pStyle w:val="H23G"/>
      </w:pPr>
      <w:r w:rsidRPr="00047D1A">
        <w:rPr>
          <w:lang w:val="fr-FR"/>
        </w:rPr>
        <w:tab/>
        <w:t>10.</w:t>
      </w:r>
      <w:r w:rsidRPr="00047D1A">
        <w:rPr>
          <w:lang w:val="fr-FR"/>
        </w:rPr>
        <w:tab/>
      </w:r>
      <w:bookmarkStart w:id="35" w:name="_Hlk6317273"/>
      <w:r w:rsidRPr="00047D1A">
        <w:rPr>
          <w:lang w:val="fr-FR"/>
        </w:rPr>
        <w:t>Unité de transport comportant plus d’une remorque (ou semi-remorque) (8.1.1)</w:t>
      </w:r>
      <w:bookmarkEnd w:id="35"/>
    </w:p>
    <w:p w14:paraId="20B0A411" w14:textId="77777777" w:rsidR="00047D1A" w:rsidRPr="00047D1A" w:rsidRDefault="00047D1A" w:rsidP="00990B03">
      <w:pPr>
        <w:pStyle w:val="SingleTxtG"/>
        <w:ind w:left="3402" w:hanging="2268"/>
      </w:pPr>
      <w:bookmarkStart w:id="36" w:name="_Hlk529448585"/>
      <w:r w:rsidRPr="00047D1A">
        <w:rPr>
          <w:i/>
          <w:iCs/>
          <w:lang w:val="fr-FR"/>
        </w:rPr>
        <w:t>Document informel</w:t>
      </w:r>
      <w:r w:rsidR="00990B03">
        <w:rPr>
          <w:i/>
          <w:iCs/>
          <w:lang w:val="fr-FR"/>
        </w:rPr>
        <w:t> </w:t>
      </w:r>
      <w:r w:rsidRPr="00990B03">
        <w:rPr>
          <w:iCs/>
          <w:lang w:val="fr-FR"/>
        </w:rPr>
        <w:t>:</w:t>
      </w:r>
      <w:r w:rsidRPr="00047D1A">
        <w:rPr>
          <w:lang w:val="fr-FR"/>
        </w:rPr>
        <w:tab/>
      </w:r>
      <w:r w:rsidRPr="00047D1A">
        <w:rPr>
          <w:lang w:val="fr-FR"/>
        </w:rPr>
        <w:tab/>
        <w:t>INF.12 (Finlande et Suède).</w:t>
      </w:r>
    </w:p>
    <w:p w14:paraId="3392DD3E" w14:textId="77777777" w:rsidR="00047D1A" w:rsidRPr="00047D1A" w:rsidRDefault="00047D1A" w:rsidP="00047D1A">
      <w:pPr>
        <w:pStyle w:val="SingleTxtG"/>
      </w:pPr>
      <w:r w:rsidRPr="00047D1A">
        <w:rPr>
          <w:lang w:val="fr-FR"/>
        </w:rPr>
        <w:t>52.</w:t>
      </w:r>
      <w:r w:rsidRPr="00047D1A">
        <w:rPr>
          <w:lang w:val="fr-FR"/>
        </w:rPr>
        <w:tab/>
        <w:t>Certaines délégations n’ont pas appuyé la proposition visant à introduire dans l’ADR des dispositions autorisant plus d’une remorque (ou semi-remorque) par unité de transport pour le transport des marchandises dangereuses. D’autres y ont été favorables. Certains représentants ont estimé que la proposition ne devrait pas être applicable aux citernes en particulier. D’aucuns ont également été d’avis que les combinaisons de véhicules de ce type devraient rester exceptionnelles et devraient être limitées au transport national.</w:t>
      </w:r>
    </w:p>
    <w:p w14:paraId="243E6ECA" w14:textId="77777777" w:rsidR="00047D1A" w:rsidRPr="00047D1A" w:rsidRDefault="00047D1A" w:rsidP="00047D1A">
      <w:pPr>
        <w:pStyle w:val="SingleTxtG"/>
      </w:pPr>
      <w:r w:rsidRPr="00047D1A">
        <w:rPr>
          <w:lang w:val="fr-FR"/>
        </w:rPr>
        <w:t>53.</w:t>
      </w:r>
      <w:r w:rsidRPr="00047D1A">
        <w:rPr>
          <w:lang w:val="fr-FR"/>
        </w:rPr>
        <w:tab/>
        <w:t>Les représentants de la Finlande et de la Suède ont pris note des observations faites et ont dit qu’ils réfléchiraient à la meilleure façon de poursuivre leurs travaux.</w:t>
      </w:r>
      <w:bookmarkEnd w:id="36"/>
    </w:p>
    <w:p w14:paraId="0A2CF801" w14:textId="77777777" w:rsidR="00047D1A" w:rsidRPr="00047D1A" w:rsidRDefault="00047D1A" w:rsidP="00990B03">
      <w:pPr>
        <w:pStyle w:val="H23G"/>
      </w:pPr>
      <w:r w:rsidRPr="00047D1A">
        <w:rPr>
          <w:lang w:val="fr-FR"/>
        </w:rPr>
        <w:tab/>
        <w:t>11.</w:t>
      </w:r>
      <w:r w:rsidRPr="00047D1A">
        <w:rPr>
          <w:lang w:val="fr-FR"/>
        </w:rPr>
        <w:tab/>
      </w:r>
      <w:bookmarkStart w:id="37" w:name="_Hlk6317286"/>
      <w:r w:rsidRPr="00047D1A">
        <w:rPr>
          <w:lang w:val="fr-FR"/>
        </w:rPr>
        <w:t>Certificats de formation ADR pour conducteurs délivrés par les Parties contractantes</w:t>
      </w:r>
      <w:bookmarkEnd w:id="37"/>
    </w:p>
    <w:p w14:paraId="7A32EFD0" w14:textId="77777777" w:rsidR="00047D1A" w:rsidRPr="00047D1A" w:rsidRDefault="00047D1A" w:rsidP="00990B03">
      <w:pPr>
        <w:pStyle w:val="SingleTxtG"/>
        <w:ind w:left="3402" w:hanging="2268"/>
      </w:pPr>
      <w:r w:rsidRPr="00047D1A">
        <w:rPr>
          <w:i/>
          <w:iCs/>
          <w:lang w:val="fr-FR"/>
        </w:rPr>
        <w:t>Document informel</w:t>
      </w:r>
      <w:r w:rsidR="00990B03">
        <w:rPr>
          <w:i/>
          <w:iCs/>
          <w:lang w:val="fr-FR"/>
        </w:rPr>
        <w:t> </w:t>
      </w:r>
      <w:r w:rsidRPr="00990B03">
        <w:rPr>
          <w:lang w:val="fr-FR"/>
        </w:rPr>
        <w:t>:</w:t>
      </w:r>
      <w:r w:rsidRPr="00047D1A">
        <w:rPr>
          <w:lang w:val="fr-FR"/>
        </w:rPr>
        <w:tab/>
        <w:t>INF.18 (Autriche).</w:t>
      </w:r>
    </w:p>
    <w:p w14:paraId="0F26FA46" w14:textId="77777777" w:rsidR="00047D1A" w:rsidRPr="00047D1A" w:rsidRDefault="00047D1A" w:rsidP="00047D1A">
      <w:pPr>
        <w:pStyle w:val="SingleTxtG"/>
      </w:pPr>
      <w:r w:rsidRPr="00047D1A">
        <w:rPr>
          <w:lang w:val="fr-FR"/>
        </w:rPr>
        <w:t>54.</w:t>
      </w:r>
      <w:r w:rsidRPr="00047D1A">
        <w:rPr>
          <w:lang w:val="fr-FR"/>
        </w:rPr>
        <w:tab/>
        <w:t>Le Groupe de travail a rappelé aux Parties contractantes qu’elles devaient fournir un minimum d’informations sur les autorités compétentes, ainsi que leurs modèles de certificat, aux fins de leur publication sur le site Web de la CEE, de sorte qu’il existe un appui administratif mutuel entre Parties contractantes. Il a été noté qu’il incombait aux Parties contractantes de veiller à ce que les certificats soumis au secrétariat pour publication sur le site Web de la CEE soient conformes aux dispositions du 8.2.2.8.</w:t>
      </w:r>
    </w:p>
    <w:p w14:paraId="655BFEB5" w14:textId="77777777" w:rsidR="00047D1A" w:rsidRPr="00047D1A" w:rsidRDefault="00047D1A" w:rsidP="0027644D">
      <w:pPr>
        <w:pStyle w:val="H23G"/>
      </w:pPr>
      <w:bookmarkStart w:id="38" w:name="_Hlk529946378"/>
      <w:r w:rsidRPr="00047D1A">
        <w:rPr>
          <w:lang w:val="fr-FR"/>
        </w:rPr>
        <w:lastRenderedPageBreak/>
        <w:tab/>
        <w:t>12.</w:t>
      </w:r>
      <w:r w:rsidRPr="00047D1A">
        <w:rPr>
          <w:lang w:val="fr-FR"/>
        </w:rPr>
        <w:tab/>
      </w:r>
      <w:bookmarkStart w:id="39" w:name="_Hlk6317302"/>
      <w:r w:rsidRPr="00047D1A">
        <w:rPr>
          <w:lang w:val="fr-FR"/>
        </w:rPr>
        <w:t xml:space="preserve">Clarification du code de restriction concernant les tunnels pour le </w:t>
      </w:r>
      <w:r w:rsidR="00080D28">
        <w:rPr>
          <w:lang w:val="fr-FR"/>
        </w:rPr>
        <w:t>No</w:t>
      </w:r>
      <w:r w:rsidRPr="00047D1A">
        <w:rPr>
          <w:lang w:val="fr-FR"/>
        </w:rPr>
        <w:t xml:space="preserve"> ONU 3363</w:t>
      </w:r>
      <w:bookmarkEnd w:id="39"/>
    </w:p>
    <w:p w14:paraId="15475733" w14:textId="77777777" w:rsidR="00047D1A" w:rsidRPr="00047D1A" w:rsidRDefault="00047D1A" w:rsidP="00080D28">
      <w:pPr>
        <w:pStyle w:val="SingleTxtG"/>
        <w:ind w:left="3402" w:hanging="2268"/>
      </w:pPr>
      <w:r w:rsidRPr="00047D1A">
        <w:rPr>
          <w:i/>
          <w:iCs/>
          <w:lang w:val="fr-FR"/>
        </w:rPr>
        <w:t>Document informel</w:t>
      </w:r>
      <w:r w:rsidR="00080D28">
        <w:rPr>
          <w:i/>
          <w:iCs/>
          <w:lang w:val="fr-FR"/>
        </w:rPr>
        <w:t> </w:t>
      </w:r>
      <w:r w:rsidRPr="00080D28">
        <w:rPr>
          <w:iCs/>
          <w:lang w:val="fr-FR"/>
        </w:rPr>
        <w:t>:</w:t>
      </w:r>
      <w:r w:rsidRPr="00047D1A">
        <w:rPr>
          <w:lang w:val="fr-FR"/>
        </w:rPr>
        <w:tab/>
        <w:t>INF.29 (Allemagne).</w:t>
      </w:r>
    </w:p>
    <w:p w14:paraId="6CE8F327" w14:textId="77777777" w:rsidR="00047D1A" w:rsidRPr="00047D1A" w:rsidRDefault="00047D1A" w:rsidP="00047D1A">
      <w:pPr>
        <w:pStyle w:val="SingleTxtG"/>
      </w:pPr>
      <w:r w:rsidRPr="00047D1A">
        <w:rPr>
          <w:lang w:val="fr-FR"/>
        </w:rPr>
        <w:t>55.</w:t>
      </w:r>
      <w:r w:rsidRPr="00047D1A">
        <w:rPr>
          <w:lang w:val="fr-FR"/>
        </w:rPr>
        <w:tab/>
        <w:t>En raison de la soumission tardive de ce document informel, plusieurs délégations n’ont pas été en mesure de prendre une décision sur l’amendement proposé. Il a été noté qu’il fallait accorder davantage de temps à l’examen de cette proposition. La représentante de l’Allemagne a informé le Groupe de travail qu’elle soumettrait une proposition officielle en vue de la 106</w:t>
      </w:r>
      <w:r w:rsidRPr="00080D28">
        <w:rPr>
          <w:vertAlign w:val="superscript"/>
          <w:lang w:val="fr-FR"/>
        </w:rPr>
        <w:t>e</w:t>
      </w:r>
      <w:r w:rsidR="00080D28">
        <w:rPr>
          <w:lang w:val="fr-FR"/>
        </w:rPr>
        <w:t xml:space="preserve"> </w:t>
      </w:r>
      <w:r w:rsidRPr="00047D1A">
        <w:rPr>
          <w:lang w:val="fr-FR"/>
        </w:rPr>
        <w:t>session.</w:t>
      </w:r>
      <w:bookmarkEnd w:id="38"/>
    </w:p>
    <w:p w14:paraId="3FC4FEC7" w14:textId="77777777" w:rsidR="00047D1A" w:rsidRPr="00047D1A" w:rsidRDefault="00047D1A" w:rsidP="00080D28">
      <w:pPr>
        <w:pStyle w:val="HChG"/>
      </w:pPr>
      <w:r w:rsidRPr="00047D1A">
        <w:rPr>
          <w:lang w:val="fr-FR"/>
        </w:rPr>
        <w:tab/>
        <w:t>VII.</w:t>
      </w:r>
      <w:r w:rsidRPr="00047D1A">
        <w:rPr>
          <w:lang w:val="fr-FR"/>
        </w:rPr>
        <w:tab/>
      </w:r>
      <w:bookmarkStart w:id="40" w:name="_Hlk6317342"/>
      <w:r w:rsidRPr="00047D1A">
        <w:rPr>
          <w:lang w:val="fr-FR"/>
        </w:rPr>
        <w:t>Interprétation de l’ADR (point 6 de l’ordre du jour)</w:t>
      </w:r>
      <w:bookmarkStart w:id="41" w:name="_Toc499903663"/>
      <w:bookmarkEnd w:id="41"/>
      <w:bookmarkEnd w:id="40"/>
    </w:p>
    <w:p w14:paraId="036EE972" w14:textId="77777777" w:rsidR="00047D1A" w:rsidRPr="00047D1A" w:rsidRDefault="00080D28" w:rsidP="00080D28">
      <w:pPr>
        <w:pStyle w:val="H23G"/>
        <w:ind w:left="0" w:firstLine="0"/>
      </w:pPr>
      <w:r>
        <w:rPr>
          <w:lang w:val="fr-FR"/>
        </w:rPr>
        <w:tab/>
        <w:t>1.</w:t>
      </w:r>
      <w:r>
        <w:rPr>
          <w:lang w:val="fr-FR"/>
        </w:rPr>
        <w:tab/>
      </w:r>
      <w:bookmarkStart w:id="42" w:name="_Hlk6317350"/>
      <w:r w:rsidR="00047D1A" w:rsidRPr="00047D1A">
        <w:rPr>
          <w:lang w:val="fr-FR"/>
        </w:rPr>
        <w:t>Proposition de clarification du texte au 1.1.3.1 c)</w:t>
      </w:r>
      <w:bookmarkEnd w:id="42"/>
    </w:p>
    <w:p w14:paraId="50FE6306" w14:textId="77777777" w:rsidR="00047D1A" w:rsidRPr="00047D1A" w:rsidRDefault="00047D1A" w:rsidP="00080D28">
      <w:pPr>
        <w:pStyle w:val="SingleTxtG"/>
        <w:ind w:left="3402" w:hanging="2268"/>
      </w:pPr>
      <w:r w:rsidRPr="00047D1A">
        <w:rPr>
          <w:i/>
          <w:iCs/>
          <w:lang w:val="fr-FR"/>
        </w:rPr>
        <w:t>Document informel</w:t>
      </w:r>
      <w:r w:rsidR="00080D28">
        <w:rPr>
          <w:i/>
          <w:iCs/>
          <w:lang w:val="fr-FR"/>
        </w:rPr>
        <w:t> </w:t>
      </w:r>
      <w:r w:rsidRPr="00047D1A">
        <w:rPr>
          <w:lang w:val="fr-FR"/>
        </w:rPr>
        <w:t>:</w:t>
      </w:r>
      <w:r w:rsidRPr="00047D1A">
        <w:rPr>
          <w:lang w:val="fr-FR"/>
        </w:rPr>
        <w:tab/>
        <w:t>INF.5 (Géorgie).</w:t>
      </w:r>
    </w:p>
    <w:p w14:paraId="4A29C840" w14:textId="77777777" w:rsidR="00047D1A" w:rsidRPr="00047D1A" w:rsidRDefault="00047D1A" w:rsidP="00047D1A">
      <w:pPr>
        <w:pStyle w:val="SingleTxtG"/>
      </w:pPr>
      <w:r w:rsidRPr="00047D1A">
        <w:rPr>
          <w:lang w:val="fr-FR"/>
        </w:rPr>
        <w:t>56.</w:t>
      </w:r>
      <w:r w:rsidRPr="00047D1A">
        <w:rPr>
          <w:lang w:val="fr-FR"/>
        </w:rPr>
        <w:tab/>
        <w:t xml:space="preserve">Les délégations qui ont pris la parole ont estimé que les transports de marchandises dangereuses vers ou depuis des chantiers (chantiers de construction de bâtiments ou chantiers de génie civil, par exemple) effectués par les entreprises utilisant ces marchandises devaient être exemptés. Les transports effectués par les entreprises pour leurs propres besoins ou pour une distribution externe ou interne, avec des conducteurs et des véhicules prévus à cette fin, ne faisaient cependant pas l’objet de l’exemption. </w:t>
      </w:r>
    </w:p>
    <w:p w14:paraId="3FF42EBE" w14:textId="77777777" w:rsidR="00047D1A" w:rsidRPr="00047D1A" w:rsidRDefault="00047D1A" w:rsidP="00047D1A">
      <w:pPr>
        <w:pStyle w:val="SingleTxtG"/>
      </w:pPr>
      <w:r w:rsidRPr="00047D1A">
        <w:rPr>
          <w:lang w:val="fr-FR"/>
        </w:rPr>
        <w:t>57.</w:t>
      </w:r>
      <w:r w:rsidRPr="00047D1A">
        <w:rPr>
          <w:lang w:val="fr-FR"/>
        </w:rPr>
        <w:tab/>
        <w:t xml:space="preserve">Le représentant de la Suisse a informé le Groupe de travail qu’il ferait part de l’interprétation faite au plan national dans son pays. Le Groupe de travail a invité les autres délégations à communiquer leurs interprétations au représentant de la Géorgie.  </w:t>
      </w:r>
    </w:p>
    <w:p w14:paraId="15B213A8" w14:textId="77777777" w:rsidR="00047D1A" w:rsidRPr="00047D1A" w:rsidRDefault="00047D1A" w:rsidP="00047D1A">
      <w:pPr>
        <w:pStyle w:val="SingleTxtG"/>
      </w:pPr>
      <w:r w:rsidRPr="00047D1A">
        <w:rPr>
          <w:lang w:val="fr-FR"/>
        </w:rPr>
        <w:t>58.</w:t>
      </w:r>
      <w:r w:rsidRPr="00047D1A">
        <w:rPr>
          <w:lang w:val="fr-FR"/>
        </w:rPr>
        <w:tab/>
        <w:t>Compte tenu des résultats du débat relatif à la publication des questions d’interprétation de l’ADR (voir le paragraphe 71), le représentant de la Géorgie a été invité à établir un document en vue de la 106</w:t>
      </w:r>
      <w:r w:rsidRPr="00637F8F">
        <w:rPr>
          <w:vertAlign w:val="superscript"/>
          <w:lang w:val="fr-FR"/>
        </w:rPr>
        <w:t>e</w:t>
      </w:r>
      <w:r w:rsidR="00637F8F">
        <w:rPr>
          <w:lang w:val="fr-FR"/>
        </w:rPr>
        <w:t xml:space="preserve"> </w:t>
      </w:r>
      <w:r w:rsidRPr="00047D1A">
        <w:rPr>
          <w:lang w:val="fr-FR"/>
        </w:rPr>
        <w:t>session.</w:t>
      </w:r>
    </w:p>
    <w:p w14:paraId="6BA8C555" w14:textId="77777777" w:rsidR="00047D1A" w:rsidRPr="00047D1A" w:rsidRDefault="00637F8F" w:rsidP="00637F8F">
      <w:pPr>
        <w:pStyle w:val="H23G"/>
        <w:ind w:left="0" w:firstLine="0"/>
      </w:pPr>
      <w:r>
        <w:rPr>
          <w:lang w:val="fr-FR"/>
        </w:rPr>
        <w:tab/>
        <w:t>2.</w:t>
      </w:r>
      <w:r>
        <w:rPr>
          <w:lang w:val="fr-FR"/>
        </w:rPr>
        <w:tab/>
      </w:r>
      <w:bookmarkStart w:id="43" w:name="_Hlk6317365"/>
      <w:r w:rsidR="00047D1A" w:rsidRPr="00047D1A">
        <w:rPr>
          <w:lang w:val="fr-FR"/>
        </w:rPr>
        <w:t>Proposition de clarification du texte au 1.4.3.1.1 e)</w:t>
      </w:r>
      <w:bookmarkEnd w:id="43"/>
    </w:p>
    <w:p w14:paraId="44A73BA6" w14:textId="77777777" w:rsidR="00047D1A" w:rsidRPr="00047D1A" w:rsidRDefault="00047D1A" w:rsidP="00637F8F">
      <w:pPr>
        <w:pStyle w:val="SingleTxtG"/>
        <w:ind w:left="3402" w:hanging="2268"/>
      </w:pPr>
      <w:r w:rsidRPr="00047D1A">
        <w:rPr>
          <w:i/>
          <w:iCs/>
          <w:lang w:val="fr-FR"/>
        </w:rPr>
        <w:t>Document informel</w:t>
      </w:r>
      <w:r w:rsidR="00637F8F">
        <w:rPr>
          <w:i/>
          <w:iCs/>
          <w:lang w:val="fr-FR"/>
        </w:rPr>
        <w:t> </w:t>
      </w:r>
      <w:r w:rsidRPr="00637F8F">
        <w:rPr>
          <w:iCs/>
          <w:lang w:val="fr-FR"/>
        </w:rPr>
        <w:t>:</w:t>
      </w:r>
      <w:r w:rsidRPr="00047D1A">
        <w:rPr>
          <w:lang w:val="fr-FR"/>
        </w:rPr>
        <w:tab/>
        <w:t>INF.6 (Géorgie).</w:t>
      </w:r>
    </w:p>
    <w:p w14:paraId="5EA82D30" w14:textId="77777777" w:rsidR="00047D1A" w:rsidRPr="00047D1A" w:rsidRDefault="00047D1A" w:rsidP="00047D1A">
      <w:pPr>
        <w:pStyle w:val="SingleTxtG"/>
      </w:pPr>
      <w:r w:rsidRPr="00047D1A">
        <w:rPr>
          <w:lang w:val="fr-FR"/>
        </w:rPr>
        <w:t>59.</w:t>
      </w:r>
      <w:r w:rsidRPr="00047D1A">
        <w:rPr>
          <w:lang w:val="fr-FR"/>
        </w:rPr>
        <w:tab/>
        <w:t>La plupart des délégations qui ont pris la parole ont convenu que le texte actuel manquait de clarté et pouvait être interprété de diverses manières. Sachant qu’il concernait également d’autres modes de transport, le représentant de la Géorgie a été invité à soumettre un document à la Réunion commune à sa session de printemps 2019.</w:t>
      </w:r>
    </w:p>
    <w:p w14:paraId="74DA7B20" w14:textId="77777777" w:rsidR="00047D1A" w:rsidRPr="00047D1A" w:rsidRDefault="00637F8F" w:rsidP="00637F8F">
      <w:pPr>
        <w:pStyle w:val="H23G"/>
      </w:pPr>
      <w:r>
        <w:rPr>
          <w:lang w:val="fr-FR"/>
        </w:rPr>
        <w:tab/>
        <w:t>3.</w:t>
      </w:r>
      <w:r>
        <w:rPr>
          <w:lang w:val="fr-FR"/>
        </w:rPr>
        <w:tab/>
      </w:r>
      <w:bookmarkStart w:id="44" w:name="_Hlk6317376"/>
      <w:r w:rsidR="00047D1A" w:rsidRPr="00047D1A">
        <w:rPr>
          <w:lang w:val="fr-FR"/>
        </w:rPr>
        <w:t xml:space="preserve">Interprétation du 9.2.2.9 </w:t>
      </w:r>
      <w:r>
        <w:rPr>
          <w:lang w:val="fr-FR"/>
        </w:rPr>
        <w:t>−</w:t>
      </w:r>
      <w:r w:rsidR="00047D1A" w:rsidRPr="00047D1A">
        <w:rPr>
          <w:lang w:val="fr-FR"/>
        </w:rPr>
        <w:t xml:space="preserve"> matériel électronique dans la cabine de conduite </w:t>
      </w:r>
      <w:r>
        <w:rPr>
          <w:lang w:val="fr-FR"/>
        </w:rPr>
        <w:br/>
      </w:r>
      <w:r w:rsidR="00047D1A" w:rsidRPr="00047D1A">
        <w:rPr>
          <w:lang w:val="fr-FR"/>
        </w:rPr>
        <w:t>des véhicules FL</w:t>
      </w:r>
      <w:bookmarkEnd w:id="44"/>
    </w:p>
    <w:p w14:paraId="7CB28204" w14:textId="77777777" w:rsidR="00047D1A" w:rsidRPr="00047D1A" w:rsidRDefault="00047D1A" w:rsidP="00637F8F">
      <w:pPr>
        <w:pStyle w:val="SingleTxtG"/>
        <w:ind w:left="3402" w:hanging="2268"/>
      </w:pPr>
      <w:r w:rsidRPr="00047D1A">
        <w:rPr>
          <w:i/>
          <w:iCs/>
          <w:lang w:val="fr-FR"/>
        </w:rPr>
        <w:t>Document informel</w:t>
      </w:r>
      <w:r w:rsidR="00637F8F">
        <w:rPr>
          <w:i/>
          <w:iCs/>
          <w:lang w:val="fr-FR"/>
        </w:rPr>
        <w:t> </w:t>
      </w:r>
      <w:r w:rsidRPr="00637F8F">
        <w:rPr>
          <w:iCs/>
          <w:lang w:val="fr-FR"/>
        </w:rPr>
        <w:t>:</w:t>
      </w:r>
      <w:r w:rsidRPr="00047D1A">
        <w:rPr>
          <w:lang w:val="fr-FR"/>
        </w:rPr>
        <w:tab/>
        <w:t>INF.11 (Pays-Bas).</w:t>
      </w:r>
    </w:p>
    <w:p w14:paraId="6732DC58" w14:textId="77777777" w:rsidR="00047D1A" w:rsidRPr="00047D1A" w:rsidRDefault="00047D1A" w:rsidP="00047D1A">
      <w:pPr>
        <w:pStyle w:val="SingleTxtG"/>
      </w:pPr>
      <w:r w:rsidRPr="00047D1A">
        <w:rPr>
          <w:lang w:val="fr-FR"/>
        </w:rPr>
        <w:t>60.</w:t>
      </w:r>
      <w:r w:rsidRPr="00047D1A">
        <w:rPr>
          <w:lang w:val="fr-FR"/>
        </w:rPr>
        <w:tab/>
        <w:t>Le Groupe de travail a fait observer que les questions soulevées par les Pays-Bas avaient déjà été abordées à sa quatre-vingt-dixième session et a invité ce pays à consulter le rapport de ladite session (ECE/TRANS/WP.15/210, par. 20). Il a également été noté que des travaux d’élaboration de dispositions applicables aux enregistreurs de données et à d’autres appareils comportant des systèmes de stockage et de production d’énergie électrique utilisés durant le transport étaient en cours au Sous-Comité d’experts du transport des marchandises dangereuses (Sous-Comité TMD) et que celui-ci examinerait plusieurs documents sur le sujet à sa cinquante-quatrième session. Le représentant des Pays-Bas a été invité à prendre contact avec son homologue au Sous-Comité TMD pour en savoir plus sur la question.</w:t>
      </w:r>
    </w:p>
    <w:p w14:paraId="253C16C7" w14:textId="77777777" w:rsidR="00047D1A" w:rsidRPr="00047D1A" w:rsidRDefault="00C314C5" w:rsidP="00C314C5">
      <w:pPr>
        <w:pStyle w:val="H23G"/>
      </w:pPr>
      <w:r>
        <w:rPr>
          <w:lang w:val="fr-FR"/>
        </w:rPr>
        <w:tab/>
        <w:t>4.</w:t>
      </w:r>
      <w:r>
        <w:rPr>
          <w:lang w:val="fr-FR"/>
        </w:rPr>
        <w:tab/>
      </w:r>
      <w:bookmarkStart w:id="45" w:name="_Hlk6317389"/>
      <w:r w:rsidR="00047D1A" w:rsidRPr="00047D1A">
        <w:rPr>
          <w:lang w:val="fr-FR"/>
        </w:rPr>
        <w:t>Interprétation du paragraphe 6.8.2.4.5 de l’ADR</w:t>
      </w:r>
      <w:bookmarkEnd w:id="45"/>
    </w:p>
    <w:p w14:paraId="0D429EF9" w14:textId="77777777" w:rsidR="00047D1A" w:rsidRPr="00047D1A" w:rsidRDefault="00047D1A" w:rsidP="00C314C5">
      <w:pPr>
        <w:pStyle w:val="SingleTxtG"/>
        <w:ind w:left="3402" w:hanging="2268"/>
      </w:pPr>
      <w:r w:rsidRPr="00047D1A">
        <w:rPr>
          <w:i/>
          <w:iCs/>
          <w:lang w:val="fr-FR"/>
        </w:rPr>
        <w:t>Document informel</w:t>
      </w:r>
      <w:r w:rsidR="00C314C5">
        <w:rPr>
          <w:i/>
          <w:iCs/>
          <w:lang w:val="fr-FR"/>
        </w:rPr>
        <w:t> </w:t>
      </w:r>
      <w:r w:rsidRPr="00C314C5">
        <w:rPr>
          <w:iCs/>
          <w:lang w:val="fr-FR"/>
        </w:rPr>
        <w:t>:</w:t>
      </w:r>
      <w:r w:rsidRPr="00047D1A">
        <w:rPr>
          <w:lang w:val="fr-FR"/>
        </w:rPr>
        <w:tab/>
        <w:t>INF.22 (Fédération de Russie).</w:t>
      </w:r>
    </w:p>
    <w:p w14:paraId="4FD95F4B" w14:textId="77777777" w:rsidR="00047D1A" w:rsidRPr="00047D1A" w:rsidRDefault="00047D1A" w:rsidP="00047D1A">
      <w:pPr>
        <w:pStyle w:val="SingleTxtG"/>
      </w:pPr>
      <w:r w:rsidRPr="00047D1A">
        <w:rPr>
          <w:lang w:val="fr-FR"/>
        </w:rPr>
        <w:t>61.</w:t>
      </w:r>
      <w:r w:rsidRPr="00047D1A">
        <w:rPr>
          <w:lang w:val="fr-FR"/>
        </w:rPr>
        <w:tab/>
        <w:t>Le Groupe de travail a relevé qu’il existait différentes traductions en russe pour les termes employés en anglais («</w:t>
      </w:r>
      <w:r w:rsidR="00C314C5">
        <w:rPr>
          <w:lang w:val="fr-FR"/>
        </w:rPr>
        <w:t> </w:t>
      </w:r>
      <w:r w:rsidRPr="00047D1A">
        <w:rPr>
          <w:lang w:val="fr-FR"/>
        </w:rPr>
        <w:t>certificate</w:t>
      </w:r>
      <w:r w:rsidR="00C314C5">
        <w:rPr>
          <w:lang w:val="fr-FR"/>
        </w:rPr>
        <w:t> </w:t>
      </w:r>
      <w:r w:rsidRPr="00047D1A">
        <w:rPr>
          <w:lang w:val="fr-FR"/>
        </w:rPr>
        <w:t>») et en français («</w:t>
      </w:r>
      <w:r w:rsidR="00C314C5">
        <w:rPr>
          <w:lang w:val="fr-FR"/>
        </w:rPr>
        <w:t> </w:t>
      </w:r>
      <w:r w:rsidRPr="00047D1A">
        <w:rPr>
          <w:lang w:val="fr-FR"/>
        </w:rPr>
        <w:t>attestation</w:t>
      </w:r>
      <w:r w:rsidR="00C314C5">
        <w:rPr>
          <w:lang w:val="fr-FR"/>
        </w:rPr>
        <w:t> </w:t>
      </w:r>
      <w:r w:rsidRPr="00047D1A">
        <w:rPr>
          <w:lang w:val="fr-FR"/>
        </w:rPr>
        <w:t xml:space="preserve">») afin de désigner le document, mentionné au 6.8.2.4.5, indiquant les résultats des épreuves, contrôles et vérifications effectués conformément aux paragraphes 6.8.2.4.1 à 6.8.2.4.4. Le Groupe de </w:t>
      </w:r>
      <w:r w:rsidRPr="00047D1A">
        <w:rPr>
          <w:lang w:val="fr-FR"/>
        </w:rPr>
        <w:lastRenderedPageBreak/>
        <w:t>travail n’a pas exprimé d’objection quant à la proposition de la Fédération de Russie visant à accepter les équivalents proposés dans le document informel INF.22 (à savoir «</w:t>
      </w:r>
      <w:r w:rsidR="00C314C5">
        <w:rPr>
          <w:lang w:val="fr-FR"/>
        </w:rPr>
        <w:t> </w:t>
      </w:r>
      <w:r w:rsidRPr="00047D1A">
        <w:rPr>
          <w:lang w:val="fr-FR"/>
        </w:rPr>
        <w:t>свидетельство</w:t>
      </w:r>
      <w:r w:rsidR="00C314C5">
        <w:rPr>
          <w:lang w:val="fr-FR"/>
        </w:rPr>
        <w:t> </w:t>
      </w:r>
      <w:r w:rsidRPr="00047D1A">
        <w:rPr>
          <w:lang w:val="fr-FR"/>
        </w:rPr>
        <w:t>», «</w:t>
      </w:r>
      <w:r w:rsidR="00C314C5">
        <w:rPr>
          <w:lang w:val="fr-FR"/>
        </w:rPr>
        <w:t> </w:t>
      </w:r>
      <w:r w:rsidRPr="00047D1A">
        <w:rPr>
          <w:lang w:val="fr-FR"/>
        </w:rPr>
        <w:t>сертификат</w:t>
      </w:r>
      <w:r w:rsidR="00C314C5">
        <w:rPr>
          <w:lang w:val="fr-FR"/>
        </w:rPr>
        <w:t> </w:t>
      </w:r>
      <w:r w:rsidRPr="00047D1A">
        <w:rPr>
          <w:lang w:val="fr-FR"/>
        </w:rPr>
        <w:t>» ou «</w:t>
      </w:r>
      <w:r w:rsidR="00C314C5">
        <w:rPr>
          <w:lang w:val="fr-FR"/>
        </w:rPr>
        <w:t> </w:t>
      </w:r>
      <w:r w:rsidRPr="00047D1A">
        <w:rPr>
          <w:lang w:val="fr-FR"/>
        </w:rPr>
        <w:t>удостоверение</w:t>
      </w:r>
      <w:r w:rsidR="00C314C5">
        <w:rPr>
          <w:lang w:val="fr-FR"/>
        </w:rPr>
        <w:t> </w:t>
      </w:r>
      <w:r w:rsidRPr="00047D1A">
        <w:rPr>
          <w:lang w:val="fr-FR"/>
        </w:rPr>
        <w:t xml:space="preserve">» approuvé par l’autorité compétente) et a noté que cette proposition n’entraînerait aucune modification du texte de la version russe de l’ADR. Les corrections ont été incluses dans la version russe de l’édition 2019 de l’ADR.  </w:t>
      </w:r>
    </w:p>
    <w:p w14:paraId="612999DC" w14:textId="77777777" w:rsidR="00047D1A" w:rsidRPr="00047D1A" w:rsidRDefault="00C314C5" w:rsidP="00C314C5">
      <w:pPr>
        <w:pStyle w:val="H23G"/>
      </w:pPr>
      <w:r>
        <w:rPr>
          <w:lang w:val="fr-FR"/>
        </w:rPr>
        <w:tab/>
        <w:t>5.</w:t>
      </w:r>
      <w:r>
        <w:rPr>
          <w:lang w:val="fr-FR"/>
        </w:rPr>
        <w:tab/>
      </w:r>
      <w:bookmarkStart w:id="46" w:name="_Hlk6317401"/>
      <w:r w:rsidR="00047D1A" w:rsidRPr="00047D1A">
        <w:rPr>
          <w:lang w:val="fr-FR"/>
        </w:rPr>
        <w:t>Autres documents</w:t>
      </w:r>
      <w:bookmarkEnd w:id="46"/>
    </w:p>
    <w:p w14:paraId="1400700E" w14:textId="77777777" w:rsidR="00047D1A" w:rsidRPr="00047D1A" w:rsidRDefault="00047D1A" w:rsidP="00047D1A">
      <w:pPr>
        <w:pStyle w:val="SingleTxtG"/>
      </w:pPr>
      <w:r w:rsidRPr="00047D1A">
        <w:rPr>
          <w:lang w:val="fr-FR"/>
        </w:rPr>
        <w:t>62.</w:t>
      </w:r>
      <w:r w:rsidRPr="00047D1A">
        <w:rPr>
          <w:lang w:val="fr-FR"/>
        </w:rPr>
        <w:tab/>
        <w:t>Faute de temps pour examiner tous les documents de l’ordre du jour, les représentants des Pays-Bas, du Royaume-Uni et de la Suisse ont été d’accord pour reporter l’examen des documents informels INF.10, INF.20 et INF.30 à la 106</w:t>
      </w:r>
      <w:r w:rsidRPr="00C314C5">
        <w:rPr>
          <w:vertAlign w:val="superscript"/>
          <w:lang w:val="fr-FR"/>
        </w:rPr>
        <w:t>e</w:t>
      </w:r>
      <w:r w:rsidR="00C314C5">
        <w:rPr>
          <w:lang w:val="fr-FR"/>
        </w:rPr>
        <w:t xml:space="preserve"> </w:t>
      </w:r>
      <w:r w:rsidRPr="00047D1A">
        <w:rPr>
          <w:lang w:val="fr-FR"/>
        </w:rPr>
        <w:t>session.</w:t>
      </w:r>
    </w:p>
    <w:p w14:paraId="6FD78879" w14:textId="77777777" w:rsidR="00047D1A" w:rsidRPr="00047D1A" w:rsidRDefault="00047D1A" w:rsidP="00C314C5">
      <w:pPr>
        <w:pStyle w:val="HChG"/>
      </w:pPr>
      <w:r w:rsidRPr="00047D1A">
        <w:rPr>
          <w:lang w:val="fr-FR"/>
        </w:rPr>
        <w:tab/>
        <w:t>VIII.</w:t>
      </w:r>
      <w:r w:rsidRPr="00047D1A">
        <w:rPr>
          <w:lang w:val="fr-FR"/>
        </w:rPr>
        <w:tab/>
      </w:r>
      <w:bookmarkStart w:id="47" w:name="_Hlk6317410"/>
      <w:r w:rsidRPr="00047D1A">
        <w:rPr>
          <w:lang w:val="fr-FR"/>
        </w:rPr>
        <w:t>Programme de travail (point 7 de l’ordre du jour)</w:t>
      </w:r>
      <w:bookmarkStart w:id="48" w:name="_Toc499903666"/>
      <w:bookmarkEnd w:id="48"/>
      <w:bookmarkEnd w:id="47"/>
    </w:p>
    <w:p w14:paraId="3A9B7D6C" w14:textId="77777777" w:rsidR="00047D1A" w:rsidRPr="00047D1A" w:rsidRDefault="00047D1A" w:rsidP="00047D1A">
      <w:pPr>
        <w:pStyle w:val="SingleTxtG"/>
      </w:pPr>
      <w:r w:rsidRPr="00047D1A">
        <w:rPr>
          <w:lang w:val="fr-FR"/>
        </w:rPr>
        <w:t>63.</w:t>
      </w:r>
      <w:r w:rsidRPr="00047D1A">
        <w:rPr>
          <w:lang w:val="fr-FR"/>
        </w:rPr>
        <w:tab/>
        <w:t>Le secrétariat a informé le Groupe de travail que sa 106</w:t>
      </w:r>
      <w:r w:rsidRPr="00C314C5">
        <w:rPr>
          <w:vertAlign w:val="superscript"/>
          <w:lang w:val="fr-FR"/>
        </w:rPr>
        <w:t>e</w:t>
      </w:r>
      <w:r w:rsidR="00C314C5">
        <w:rPr>
          <w:lang w:val="fr-FR"/>
        </w:rPr>
        <w:t xml:space="preserve"> </w:t>
      </w:r>
      <w:r w:rsidRPr="00047D1A">
        <w:rPr>
          <w:lang w:val="fr-FR"/>
        </w:rPr>
        <w:t>session se tiendrait du 13 au 17 mai 2019 et que la date limite pour la soumission des documents serait le 15</w:t>
      </w:r>
      <w:r w:rsidR="00C314C5">
        <w:rPr>
          <w:lang w:val="fr-FR"/>
        </w:rPr>
        <w:t> </w:t>
      </w:r>
      <w:r w:rsidRPr="00047D1A">
        <w:rPr>
          <w:lang w:val="fr-FR"/>
        </w:rPr>
        <w:t>février 2019.</w:t>
      </w:r>
    </w:p>
    <w:p w14:paraId="7A276EA0" w14:textId="77777777" w:rsidR="00047D1A" w:rsidRPr="00047D1A" w:rsidRDefault="00047D1A" w:rsidP="00047D1A">
      <w:pPr>
        <w:pStyle w:val="SingleTxtG"/>
      </w:pPr>
      <w:r w:rsidRPr="00047D1A">
        <w:rPr>
          <w:lang w:val="fr-FR"/>
        </w:rPr>
        <w:t>64.</w:t>
      </w:r>
      <w:r w:rsidRPr="00047D1A">
        <w:rPr>
          <w:lang w:val="fr-FR"/>
        </w:rPr>
        <w:tab/>
        <w:t>Il a été noté que, sous réserve de l’accord de 13 Parties contractantes, la Conférence des Parties à l’ADR se tiendrait le 13 mai 2019, durant la 106</w:t>
      </w:r>
      <w:r w:rsidRPr="00766EB9">
        <w:rPr>
          <w:vertAlign w:val="superscript"/>
          <w:lang w:val="fr-FR"/>
        </w:rPr>
        <w:t>e</w:t>
      </w:r>
      <w:r w:rsidR="00766EB9">
        <w:rPr>
          <w:lang w:val="fr-FR"/>
        </w:rPr>
        <w:t xml:space="preserve"> </w:t>
      </w:r>
      <w:r w:rsidRPr="00047D1A">
        <w:rPr>
          <w:lang w:val="fr-FR"/>
        </w:rPr>
        <w:t>session du Groupe de travail.</w:t>
      </w:r>
    </w:p>
    <w:p w14:paraId="55CBDA86" w14:textId="77777777" w:rsidR="00047D1A" w:rsidRPr="00047D1A" w:rsidRDefault="00047D1A" w:rsidP="00766EB9">
      <w:pPr>
        <w:pStyle w:val="HChG"/>
      </w:pPr>
      <w:r w:rsidRPr="00047D1A">
        <w:rPr>
          <w:lang w:val="fr-FR"/>
        </w:rPr>
        <w:tab/>
        <w:t>IX.</w:t>
      </w:r>
      <w:r w:rsidRPr="00047D1A">
        <w:rPr>
          <w:lang w:val="fr-FR"/>
        </w:rPr>
        <w:tab/>
      </w:r>
      <w:bookmarkStart w:id="49" w:name="_Hlk6317433"/>
      <w:r w:rsidRPr="00047D1A">
        <w:rPr>
          <w:lang w:val="fr-FR"/>
        </w:rPr>
        <w:t>Questions diverses (point 8 de l’ordre du jour)</w:t>
      </w:r>
      <w:bookmarkStart w:id="50" w:name="_Toc499903671"/>
      <w:bookmarkEnd w:id="50"/>
      <w:bookmarkEnd w:id="49"/>
    </w:p>
    <w:p w14:paraId="088B1DD3" w14:textId="77777777" w:rsidR="00047D1A" w:rsidRPr="00047D1A" w:rsidRDefault="00047D1A" w:rsidP="00766EB9">
      <w:pPr>
        <w:pStyle w:val="H23G"/>
      </w:pPr>
      <w:r w:rsidRPr="00047D1A">
        <w:rPr>
          <w:lang w:val="fr-FR"/>
        </w:rPr>
        <w:tab/>
        <w:t>1.</w:t>
      </w:r>
      <w:r w:rsidRPr="00047D1A">
        <w:rPr>
          <w:lang w:val="fr-FR"/>
        </w:rPr>
        <w:tab/>
      </w:r>
      <w:bookmarkStart w:id="51" w:name="_Hlk6317441"/>
      <w:r w:rsidRPr="00047D1A">
        <w:rPr>
          <w:lang w:val="fr-FR"/>
        </w:rPr>
        <w:t>Surveillance des véhicules (chap</w:t>
      </w:r>
      <w:r w:rsidR="00766EB9">
        <w:rPr>
          <w:lang w:val="fr-FR"/>
        </w:rPr>
        <w:t>. </w:t>
      </w:r>
      <w:r w:rsidRPr="00047D1A">
        <w:rPr>
          <w:lang w:val="fr-FR"/>
        </w:rPr>
        <w:t>8.5)</w:t>
      </w:r>
      <w:bookmarkEnd w:id="51"/>
    </w:p>
    <w:p w14:paraId="5C03E4A5" w14:textId="77777777" w:rsidR="00047D1A" w:rsidRPr="00047D1A" w:rsidRDefault="00047D1A" w:rsidP="00766EB9">
      <w:pPr>
        <w:pStyle w:val="SingleTxtG"/>
        <w:ind w:left="3402" w:hanging="2268"/>
      </w:pPr>
      <w:r w:rsidRPr="00047D1A">
        <w:rPr>
          <w:i/>
          <w:iCs/>
          <w:lang w:val="fr-FR"/>
        </w:rPr>
        <w:t>Document informel</w:t>
      </w:r>
      <w:r w:rsidR="00766EB9">
        <w:rPr>
          <w:i/>
          <w:iCs/>
          <w:lang w:val="fr-FR"/>
        </w:rPr>
        <w:t> </w:t>
      </w:r>
      <w:r w:rsidRPr="00047D1A">
        <w:rPr>
          <w:lang w:val="fr-FR"/>
        </w:rPr>
        <w:t>:</w:t>
      </w:r>
      <w:r w:rsidRPr="00047D1A">
        <w:rPr>
          <w:lang w:val="fr-FR"/>
        </w:rPr>
        <w:tab/>
      </w:r>
      <w:r w:rsidRPr="00047D1A">
        <w:rPr>
          <w:lang w:val="fr-FR"/>
        </w:rPr>
        <w:tab/>
        <w:t>INF.14 (Suède).</w:t>
      </w:r>
    </w:p>
    <w:p w14:paraId="1C67623D" w14:textId="77777777" w:rsidR="00047D1A" w:rsidRPr="00047D1A" w:rsidRDefault="00047D1A" w:rsidP="00047D1A">
      <w:pPr>
        <w:pStyle w:val="SingleTxtG"/>
      </w:pPr>
      <w:r w:rsidRPr="00047D1A">
        <w:rPr>
          <w:lang w:val="fr-FR"/>
        </w:rPr>
        <w:t>65.</w:t>
      </w:r>
      <w:r w:rsidRPr="00047D1A">
        <w:rPr>
          <w:lang w:val="fr-FR"/>
        </w:rPr>
        <w:tab/>
        <w:t xml:space="preserve">Plusieurs délégations se sont félicitées du travail effectué par la Suède, tout en estimant qu’il y avait encore à faire avant d’élaborer des propositions concrètes d’amendements au chapitre 8.5. </w:t>
      </w:r>
    </w:p>
    <w:p w14:paraId="45307EE6" w14:textId="77777777" w:rsidR="00047D1A" w:rsidRPr="00047D1A" w:rsidRDefault="00047D1A" w:rsidP="00047D1A">
      <w:pPr>
        <w:pStyle w:val="SingleTxtG"/>
      </w:pPr>
      <w:r w:rsidRPr="00047D1A">
        <w:rPr>
          <w:lang w:val="fr-FR"/>
        </w:rPr>
        <w:t>66.</w:t>
      </w:r>
      <w:r w:rsidRPr="00047D1A">
        <w:rPr>
          <w:lang w:val="fr-FR"/>
        </w:rPr>
        <w:tab/>
        <w:t>Le représentant de l’Union européenne a rappelé que les décisions prises concernant l’ADR pouvaient avoir des incidences sur les règlements applicables à d’autres modes de transport et a ainsi invité le Groupe de travail à en tenir compte au cours de l’examen des questions soulevées par la Suède.</w:t>
      </w:r>
    </w:p>
    <w:p w14:paraId="708114FE" w14:textId="77777777" w:rsidR="00047D1A" w:rsidRPr="00047D1A" w:rsidRDefault="00047D1A" w:rsidP="00047D1A">
      <w:pPr>
        <w:pStyle w:val="SingleTxtG"/>
      </w:pPr>
      <w:r w:rsidRPr="00047D1A">
        <w:rPr>
          <w:lang w:val="fr-FR"/>
        </w:rPr>
        <w:t>67.</w:t>
      </w:r>
      <w:r w:rsidRPr="00047D1A">
        <w:rPr>
          <w:lang w:val="fr-FR"/>
        </w:rPr>
        <w:tab/>
        <w:t xml:space="preserve">Le Groupe de travail a regretté l’absence d’un représentant de l’IRU durant les échanges sur cette question, estimant que les connaissances de cette organisation étaient très précieuses.  </w:t>
      </w:r>
    </w:p>
    <w:p w14:paraId="230F5381" w14:textId="77777777" w:rsidR="00047D1A" w:rsidRPr="00047D1A" w:rsidRDefault="00047D1A" w:rsidP="00047D1A">
      <w:pPr>
        <w:pStyle w:val="SingleTxtG"/>
      </w:pPr>
      <w:r w:rsidRPr="00047D1A">
        <w:rPr>
          <w:lang w:val="fr-FR"/>
        </w:rPr>
        <w:t>68.</w:t>
      </w:r>
      <w:r w:rsidRPr="00047D1A">
        <w:rPr>
          <w:lang w:val="fr-FR"/>
        </w:rPr>
        <w:tab/>
        <w:t>À l’issue du débat, la représentante de la Suède a dit qu’elle poursuivrait ses travaux sur cette question et qu’elle envisagerait de soumettre un document officiel à la 106</w:t>
      </w:r>
      <w:r w:rsidRPr="00766EB9">
        <w:rPr>
          <w:vertAlign w:val="superscript"/>
          <w:lang w:val="fr-FR"/>
        </w:rPr>
        <w:t>e</w:t>
      </w:r>
      <w:r w:rsidR="00766EB9">
        <w:rPr>
          <w:lang w:val="fr-FR"/>
        </w:rPr>
        <w:t> </w:t>
      </w:r>
      <w:r w:rsidRPr="00047D1A">
        <w:rPr>
          <w:lang w:val="fr-FR"/>
        </w:rPr>
        <w:t>session. Les délégations souhaitant faire de nouveaux commentaires et apporter des réponses aux questions soulevées dans le document informel INF.14 ont été invitées à les envoyer par courrier électronique à la représentante de la Suède.</w:t>
      </w:r>
    </w:p>
    <w:p w14:paraId="1E033FD3" w14:textId="77777777" w:rsidR="00047D1A" w:rsidRPr="00047D1A" w:rsidRDefault="00766EB9" w:rsidP="00766EB9">
      <w:pPr>
        <w:pStyle w:val="H23G"/>
      </w:pPr>
      <w:r>
        <w:rPr>
          <w:lang w:val="fr-FR"/>
        </w:rPr>
        <w:tab/>
        <w:t>2.</w:t>
      </w:r>
      <w:r>
        <w:rPr>
          <w:lang w:val="fr-FR"/>
        </w:rPr>
        <w:tab/>
      </w:r>
      <w:bookmarkStart w:id="52" w:name="_Hlk6317458"/>
      <w:r w:rsidR="00047D1A" w:rsidRPr="00047D1A">
        <w:rPr>
          <w:lang w:val="fr-FR"/>
        </w:rPr>
        <w:t xml:space="preserve">Tableau récapitulatif sur l’applicabilité des dispositions de la partie 9 de l’ADR </w:t>
      </w:r>
      <w:r>
        <w:rPr>
          <w:lang w:val="fr-FR"/>
        </w:rPr>
        <w:br/>
      </w:r>
      <w:r w:rsidR="00047D1A" w:rsidRPr="00047D1A">
        <w:rPr>
          <w:lang w:val="fr-FR"/>
        </w:rPr>
        <w:t>pour les véhicules EX/II, EX/III, FL et AT et les MEMU</w:t>
      </w:r>
      <w:bookmarkEnd w:id="52"/>
    </w:p>
    <w:p w14:paraId="7DB451D2" w14:textId="77777777" w:rsidR="00047D1A" w:rsidRPr="00047D1A" w:rsidRDefault="00047D1A" w:rsidP="00766EB9">
      <w:pPr>
        <w:pStyle w:val="SingleTxtG"/>
        <w:ind w:left="3402" w:hanging="2268"/>
      </w:pPr>
      <w:r w:rsidRPr="00047D1A">
        <w:rPr>
          <w:i/>
          <w:iCs/>
          <w:lang w:val="fr-FR"/>
        </w:rPr>
        <w:t>Document</w:t>
      </w:r>
      <w:r w:rsidR="00766EB9">
        <w:rPr>
          <w:i/>
          <w:iCs/>
          <w:lang w:val="fr-FR"/>
        </w:rPr>
        <w:t> </w:t>
      </w:r>
      <w:r w:rsidRPr="00766EB9">
        <w:rPr>
          <w:iCs/>
          <w:lang w:val="fr-FR"/>
        </w:rPr>
        <w:t>:</w:t>
      </w:r>
      <w:r w:rsidRPr="00047D1A">
        <w:rPr>
          <w:lang w:val="fr-FR"/>
        </w:rPr>
        <w:tab/>
      </w:r>
      <w:r w:rsidRPr="00047D1A">
        <w:rPr>
          <w:lang w:val="fr-FR"/>
        </w:rPr>
        <w:tab/>
        <w:t>ECE/TRANS/WP.15/2018/4 (Roumanie).</w:t>
      </w:r>
    </w:p>
    <w:p w14:paraId="09B3F322" w14:textId="77777777" w:rsidR="00047D1A" w:rsidRPr="00047D1A" w:rsidRDefault="00047D1A" w:rsidP="00766EB9">
      <w:pPr>
        <w:pStyle w:val="SingleTxtG"/>
        <w:ind w:left="3402" w:hanging="2268"/>
      </w:pPr>
      <w:r w:rsidRPr="00047D1A">
        <w:rPr>
          <w:i/>
          <w:iCs/>
          <w:lang w:val="fr-FR"/>
        </w:rPr>
        <w:t>Document informel</w:t>
      </w:r>
      <w:r w:rsidR="00766EB9">
        <w:rPr>
          <w:i/>
          <w:iCs/>
          <w:lang w:val="fr-FR"/>
        </w:rPr>
        <w:t> </w:t>
      </w:r>
      <w:r w:rsidRPr="00766EB9">
        <w:rPr>
          <w:iCs/>
          <w:lang w:val="fr-FR"/>
        </w:rPr>
        <w:t>:</w:t>
      </w:r>
      <w:r w:rsidRPr="00047D1A">
        <w:rPr>
          <w:lang w:val="fr-FR"/>
        </w:rPr>
        <w:tab/>
        <w:t>INF.31 (Roumanie).</w:t>
      </w:r>
    </w:p>
    <w:p w14:paraId="57830CFB" w14:textId="77777777" w:rsidR="00047D1A" w:rsidRPr="00047D1A" w:rsidRDefault="00047D1A" w:rsidP="00047D1A">
      <w:pPr>
        <w:pStyle w:val="SingleTxtG"/>
      </w:pPr>
      <w:r w:rsidRPr="00047D1A">
        <w:rPr>
          <w:lang w:val="fr-FR"/>
        </w:rPr>
        <w:t>69.</w:t>
      </w:r>
      <w:r w:rsidRPr="00047D1A">
        <w:rPr>
          <w:lang w:val="fr-FR"/>
        </w:rPr>
        <w:tab/>
        <w:t>Le Groupe de travail a approuvé sans réserves les résultats des travaux accomplis par la Roumanie et a invité le secrétariat à publier les consignes correspondantes sur le site Web de la CEE. Il a également été noté que les nouvelles propositions d’amendements à la partie</w:t>
      </w:r>
      <w:r w:rsidR="00766EB9">
        <w:rPr>
          <w:lang w:val="fr-FR"/>
        </w:rPr>
        <w:t> </w:t>
      </w:r>
      <w:r w:rsidRPr="00047D1A">
        <w:rPr>
          <w:lang w:val="fr-FR"/>
        </w:rPr>
        <w:t>9 devraient comprendre les amendements à apporter en conséquence au tableau desdites consignes.</w:t>
      </w:r>
    </w:p>
    <w:p w14:paraId="5995EAC6" w14:textId="77777777" w:rsidR="00047D1A" w:rsidRPr="00047D1A" w:rsidRDefault="00047D1A" w:rsidP="00047D1A">
      <w:pPr>
        <w:pStyle w:val="SingleTxtG"/>
      </w:pPr>
      <w:r w:rsidRPr="00047D1A">
        <w:rPr>
          <w:lang w:val="fr-FR"/>
        </w:rPr>
        <w:t>70.</w:t>
      </w:r>
      <w:r w:rsidRPr="00047D1A">
        <w:rPr>
          <w:lang w:val="fr-FR"/>
        </w:rPr>
        <w:tab/>
        <w:t xml:space="preserve">Il a été noté en outre que les consignes pour remplir le certificat d’agrément selon les dispositions du 9.1.3 devraient probablement être mises à jour elles aussi pour tenir compte de la dernière révision de l’ADR. </w:t>
      </w:r>
    </w:p>
    <w:p w14:paraId="675C95DA" w14:textId="77777777" w:rsidR="00047D1A" w:rsidRPr="00047D1A" w:rsidRDefault="00BD3434" w:rsidP="00BD3434">
      <w:pPr>
        <w:pStyle w:val="H23G"/>
      </w:pPr>
      <w:r>
        <w:rPr>
          <w:lang w:val="fr-FR"/>
        </w:rPr>
        <w:lastRenderedPageBreak/>
        <w:tab/>
        <w:t>3.</w:t>
      </w:r>
      <w:r>
        <w:rPr>
          <w:lang w:val="fr-FR"/>
        </w:rPr>
        <w:tab/>
      </w:r>
      <w:bookmarkStart w:id="53" w:name="_Hlk6317477"/>
      <w:r w:rsidR="00047D1A" w:rsidRPr="00047D1A">
        <w:rPr>
          <w:lang w:val="fr-FR"/>
        </w:rPr>
        <w:t>Publication des questions d’interprétation de l’ADR</w:t>
      </w:r>
      <w:bookmarkEnd w:id="53"/>
    </w:p>
    <w:p w14:paraId="65EDC9EC" w14:textId="77777777" w:rsidR="00047D1A" w:rsidRPr="00047D1A" w:rsidRDefault="00047D1A" w:rsidP="00BD3434">
      <w:pPr>
        <w:pStyle w:val="SingleTxtG"/>
        <w:ind w:left="3402" w:hanging="2268"/>
      </w:pPr>
      <w:r w:rsidRPr="00047D1A">
        <w:rPr>
          <w:i/>
          <w:iCs/>
          <w:lang w:val="fr-FR"/>
        </w:rPr>
        <w:t>Document</w:t>
      </w:r>
      <w:r w:rsidR="00BD3434">
        <w:rPr>
          <w:i/>
          <w:iCs/>
          <w:lang w:val="fr-FR"/>
        </w:rPr>
        <w:t> </w:t>
      </w:r>
      <w:r w:rsidRPr="00BD3434">
        <w:rPr>
          <w:iCs/>
          <w:lang w:val="fr-FR"/>
        </w:rPr>
        <w:t>:</w:t>
      </w:r>
      <w:r w:rsidRPr="00047D1A">
        <w:rPr>
          <w:lang w:val="fr-FR"/>
        </w:rPr>
        <w:tab/>
        <w:t>ECE/TRANS/WP.15/2018/9 (France).</w:t>
      </w:r>
    </w:p>
    <w:p w14:paraId="6E685AFE" w14:textId="77777777" w:rsidR="00047D1A" w:rsidRPr="00047D1A" w:rsidRDefault="00047D1A" w:rsidP="00047D1A">
      <w:pPr>
        <w:pStyle w:val="SingleTxtG"/>
      </w:pPr>
      <w:r w:rsidRPr="00047D1A">
        <w:rPr>
          <w:lang w:val="fr-FR"/>
        </w:rPr>
        <w:t>71.</w:t>
      </w:r>
      <w:r w:rsidRPr="00047D1A">
        <w:rPr>
          <w:lang w:val="fr-FR"/>
        </w:rPr>
        <w:tab/>
        <w:t xml:space="preserve">Le Groupe de travail a examiné plusieurs options avancées au cours du débat sur l’amélioration de ses méthodes de travail. Il a été suggéré de publier les questions d’interprétation de l’ADR sur le site Web de la CEE. </w:t>
      </w:r>
    </w:p>
    <w:p w14:paraId="3477B092" w14:textId="77777777" w:rsidR="00047D1A" w:rsidRPr="00047D1A" w:rsidRDefault="00047D1A" w:rsidP="00047D1A">
      <w:pPr>
        <w:pStyle w:val="SingleTxtG"/>
      </w:pPr>
      <w:r w:rsidRPr="00047D1A">
        <w:rPr>
          <w:lang w:val="fr-FR"/>
        </w:rPr>
        <w:t>72.</w:t>
      </w:r>
      <w:r w:rsidRPr="00047D1A">
        <w:rPr>
          <w:lang w:val="fr-FR"/>
        </w:rPr>
        <w:tab/>
        <w:t>Il a également été suggéré que, après examen par le Groupe de travail de questions d’interprétation, les auteurs de la proposition élaborent une synthèse détaillée des résultats de l’examen pour publication sur le site Web de la CEE, à partir des paragraphes du rapport de la session et de toutes observations supplémentaires.</w:t>
      </w:r>
    </w:p>
    <w:p w14:paraId="6EBD92E6" w14:textId="77777777" w:rsidR="00047D1A" w:rsidRPr="00047D1A" w:rsidRDefault="00BD3434" w:rsidP="00BD3434">
      <w:pPr>
        <w:pStyle w:val="H23G"/>
      </w:pPr>
      <w:r>
        <w:rPr>
          <w:lang w:val="fr-FR"/>
        </w:rPr>
        <w:tab/>
        <w:t>4.</w:t>
      </w:r>
      <w:r>
        <w:rPr>
          <w:lang w:val="fr-FR"/>
        </w:rPr>
        <w:tab/>
      </w:r>
      <w:bookmarkStart w:id="54" w:name="_Hlk6317490"/>
      <w:r w:rsidR="00047D1A" w:rsidRPr="00047D1A">
        <w:rPr>
          <w:lang w:val="fr-FR"/>
        </w:rPr>
        <w:t>Corrections d’ordre rédactionnel à apporter aux versions imprimées de l’édition 2019 de l’ADR (ECE/TRANS/275)</w:t>
      </w:r>
      <w:bookmarkEnd w:id="54"/>
    </w:p>
    <w:p w14:paraId="79B974CB" w14:textId="77777777" w:rsidR="00047D1A" w:rsidRPr="00047D1A" w:rsidRDefault="00047D1A" w:rsidP="00BD3434">
      <w:pPr>
        <w:pStyle w:val="SingleTxtG"/>
        <w:ind w:left="3402" w:hanging="2268"/>
      </w:pPr>
      <w:r w:rsidRPr="00047D1A">
        <w:rPr>
          <w:i/>
          <w:iCs/>
          <w:lang w:val="fr-FR"/>
        </w:rPr>
        <w:t>Document informel</w:t>
      </w:r>
      <w:r w:rsidR="00BD3434">
        <w:rPr>
          <w:i/>
          <w:iCs/>
          <w:lang w:val="fr-FR"/>
        </w:rPr>
        <w:t> </w:t>
      </w:r>
      <w:r w:rsidRPr="00BD3434">
        <w:rPr>
          <w:iCs/>
          <w:lang w:val="fr-FR"/>
        </w:rPr>
        <w:t>:</w:t>
      </w:r>
      <w:r w:rsidRPr="00047D1A">
        <w:rPr>
          <w:lang w:val="fr-FR"/>
        </w:rPr>
        <w:tab/>
        <w:t>INF.17/Corr.1 (secrétariat).</w:t>
      </w:r>
    </w:p>
    <w:p w14:paraId="5AC277AC" w14:textId="77777777" w:rsidR="00047D1A" w:rsidRPr="00047D1A" w:rsidRDefault="00047D1A" w:rsidP="00047D1A">
      <w:pPr>
        <w:pStyle w:val="SingleTxtG"/>
      </w:pPr>
      <w:r w:rsidRPr="00047D1A">
        <w:rPr>
          <w:lang w:val="fr-FR"/>
        </w:rPr>
        <w:t>73.</w:t>
      </w:r>
      <w:r w:rsidRPr="00047D1A">
        <w:rPr>
          <w:lang w:val="fr-FR"/>
        </w:rPr>
        <w:tab/>
        <w:t xml:space="preserve">Le Groupe de travail a noté que les corrections apportées à la version anglaise de l’ADR 2019 figurant dans le document informel INF.17/Corr.1 seraient publiées en tant que rectificatif, sous la cote ECE/TRANS/275/Corr.1. </w:t>
      </w:r>
    </w:p>
    <w:p w14:paraId="7175D8EC" w14:textId="77777777" w:rsidR="00047D1A" w:rsidRPr="00047D1A" w:rsidRDefault="00BD3434" w:rsidP="00BD3434">
      <w:pPr>
        <w:pStyle w:val="H23G"/>
      </w:pPr>
      <w:r>
        <w:rPr>
          <w:lang w:val="fr-FR"/>
        </w:rPr>
        <w:tab/>
        <w:t>5.</w:t>
      </w:r>
      <w:r>
        <w:rPr>
          <w:lang w:val="fr-FR"/>
        </w:rPr>
        <w:tab/>
      </w:r>
      <w:bookmarkStart w:id="55" w:name="_Hlk6317502"/>
      <w:r w:rsidR="00047D1A" w:rsidRPr="00047D1A">
        <w:rPr>
          <w:lang w:val="fr-FR"/>
        </w:rPr>
        <w:t xml:space="preserve">Renseignements concernant un événement survenu pendant le transport </w:t>
      </w:r>
      <w:r>
        <w:rPr>
          <w:lang w:val="fr-FR"/>
        </w:rPr>
        <w:br/>
      </w:r>
      <w:r w:rsidR="00047D1A" w:rsidRPr="00047D1A">
        <w:rPr>
          <w:lang w:val="fr-FR"/>
        </w:rPr>
        <w:t>de marchandises dangereuses, conformément au 1.8.5</w:t>
      </w:r>
      <w:bookmarkEnd w:id="55"/>
    </w:p>
    <w:p w14:paraId="510FD4F6" w14:textId="77777777" w:rsidR="00047D1A" w:rsidRPr="00047D1A" w:rsidRDefault="00047D1A" w:rsidP="00BD3434">
      <w:pPr>
        <w:pStyle w:val="SingleTxtG"/>
        <w:ind w:left="3402" w:hanging="2268"/>
      </w:pPr>
      <w:r w:rsidRPr="00047D1A">
        <w:rPr>
          <w:i/>
          <w:iCs/>
          <w:lang w:val="fr-FR"/>
        </w:rPr>
        <w:t>Document informel</w:t>
      </w:r>
      <w:r w:rsidR="00BD3434">
        <w:rPr>
          <w:i/>
          <w:iCs/>
          <w:lang w:val="fr-FR"/>
        </w:rPr>
        <w:t> </w:t>
      </w:r>
      <w:r w:rsidRPr="00BD3434">
        <w:rPr>
          <w:iCs/>
          <w:lang w:val="fr-FR"/>
        </w:rPr>
        <w:t>:</w:t>
      </w:r>
      <w:r w:rsidRPr="00047D1A">
        <w:rPr>
          <w:lang w:val="fr-FR"/>
        </w:rPr>
        <w:tab/>
        <w:t>INF.23 (Italie).</w:t>
      </w:r>
    </w:p>
    <w:p w14:paraId="6769CBB0" w14:textId="77777777" w:rsidR="00047D1A" w:rsidRPr="00047D1A" w:rsidRDefault="00047D1A" w:rsidP="00047D1A">
      <w:pPr>
        <w:pStyle w:val="SingleTxtG"/>
      </w:pPr>
      <w:r w:rsidRPr="00047D1A">
        <w:rPr>
          <w:lang w:val="fr-FR"/>
        </w:rPr>
        <w:t>74.</w:t>
      </w:r>
      <w:r w:rsidRPr="00047D1A">
        <w:rPr>
          <w:lang w:val="fr-FR"/>
        </w:rPr>
        <w:tab/>
        <w:t xml:space="preserve">Le Groupe de travail a pris note des renseignements communiqués par l’Italie concernant un accident ayant impliqué deux véhicules ADR, survenu le 6 août 2018 près de Bologne. L’accident avait fait un mort et 95 blessés. Il a été noté qu’il s’agissait d’un accident de la route (le véhicule n’avait pas freiné à temps). Toutefois, la présence de marchandises dangereuses avait eu des effets et des conséquences graves. </w:t>
      </w:r>
    </w:p>
    <w:p w14:paraId="60B81579" w14:textId="77777777" w:rsidR="00047D1A" w:rsidRPr="00047D1A" w:rsidRDefault="00047D1A" w:rsidP="00047D1A">
      <w:pPr>
        <w:pStyle w:val="SingleTxtG"/>
      </w:pPr>
      <w:r w:rsidRPr="00047D1A">
        <w:rPr>
          <w:lang w:val="fr-FR"/>
        </w:rPr>
        <w:t>75.</w:t>
      </w:r>
      <w:r w:rsidRPr="00047D1A">
        <w:rPr>
          <w:lang w:val="fr-FR"/>
        </w:rPr>
        <w:tab/>
        <w:t>Le représentant de l’Italie a informé le Groupe de travail qu’il demanderait l’avis du Groupe de travail en matière de roulement et de freinage (GRRF) du Forum mondial de l’harmonisation des Règlements concernant les véhicules (WP.29), ainsi que du groupe de travail informel de la réduction du risque de BLEVE, de la Réunion commune.</w:t>
      </w:r>
    </w:p>
    <w:p w14:paraId="111CAA70" w14:textId="77777777" w:rsidR="00047D1A" w:rsidRPr="00047D1A" w:rsidRDefault="00047D1A" w:rsidP="00047D1A">
      <w:pPr>
        <w:pStyle w:val="SingleTxtG"/>
      </w:pPr>
      <w:r w:rsidRPr="00047D1A">
        <w:rPr>
          <w:lang w:val="fr-FR"/>
        </w:rPr>
        <w:t>76.</w:t>
      </w:r>
      <w:r w:rsidRPr="00047D1A">
        <w:rPr>
          <w:lang w:val="fr-FR"/>
        </w:rPr>
        <w:tab/>
        <w:t>Le Groupe de travail a noté que l’enquête sur cet accident se poursuivait et qu’un rapport complet conforme aux dispositions du 1.8.5.2 serait transmis au secrétariat afin d’informer toutes les Parties contractantes.</w:t>
      </w:r>
    </w:p>
    <w:p w14:paraId="13C3383F" w14:textId="77777777" w:rsidR="00047D1A" w:rsidRPr="00047D1A" w:rsidRDefault="00676E72" w:rsidP="00676E72">
      <w:pPr>
        <w:pStyle w:val="H23G"/>
      </w:pPr>
      <w:r>
        <w:rPr>
          <w:lang w:val="fr-FR"/>
        </w:rPr>
        <w:tab/>
        <w:t>6.</w:t>
      </w:r>
      <w:r>
        <w:rPr>
          <w:lang w:val="fr-FR"/>
        </w:rPr>
        <w:tab/>
      </w:r>
      <w:bookmarkStart w:id="56" w:name="_Hlk6317530"/>
      <w:r w:rsidR="00047D1A" w:rsidRPr="00047D1A">
        <w:rPr>
          <w:lang w:val="fr-FR"/>
        </w:rPr>
        <w:t xml:space="preserve">Code tunnel pour le </w:t>
      </w:r>
      <w:r>
        <w:rPr>
          <w:lang w:val="fr-FR"/>
        </w:rPr>
        <w:t>No</w:t>
      </w:r>
      <w:r w:rsidR="00047D1A" w:rsidRPr="00047D1A">
        <w:rPr>
          <w:lang w:val="fr-FR"/>
        </w:rPr>
        <w:t xml:space="preserve"> ONU 1043 dans l’ADR 2019</w:t>
      </w:r>
      <w:bookmarkEnd w:id="56"/>
    </w:p>
    <w:p w14:paraId="43518D26" w14:textId="77777777" w:rsidR="00047D1A" w:rsidRPr="00047D1A" w:rsidRDefault="00047D1A" w:rsidP="00676E72">
      <w:pPr>
        <w:pStyle w:val="SingleTxtG"/>
        <w:ind w:left="3402" w:hanging="2268"/>
      </w:pPr>
      <w:r w:rsidRPr="00047D1A">
        <w:rPr>
          <w:i/>
          <w:iCs/>
          <w:lang w:val="fr-FR"/>
        </w:rPr>
        <w:t>Document informel</w:t>
      </w:r>
      <w:r w:rsidR="00676E72">
        <w:rPr>
          <w:i/>
          <w:iCs/>
          <w:lang w:val="fr-FR"/>
        </w:rPr>
        <w:t> </w:t>
      </w:r>
      <w:r w:rsidRPr="00047D1A">
        <w:rPr>
          <w:lang w:val="fr-FR"/>
        </w:rPr>
        <w:t>:</w:t>
      </w:r>
      <w:r w:rsidRPr="00047D1A">
        <w:rPr>
          <w:lang w:val="fr-FR"/>
        </w:rPr>
        <w:tab/>
        <w:t>INF.28 (secrétariat).</w:t>
      </w:r>
    </w:p>
    <w:p w14:paraId="2AA0B07D" w14:textId="77777777" w:rsidR="00047D1A" w:rsidRPr="00047D1A" w:rsidRDefault="00047D1A" w:rsidP="00047D1A">
      <w:pPr>
        <w:pStyle w:val="SingleTxtG"/>
      </w:pPr>
      <w:r w:rsidRPr="00047D1A">
        <w:rPr>
          <w:lang w:val="fr-FR"/>
        </w:rPr>
        <w:t>77.</w:t>
      </w:r>
      <w:r w:rsidRPr="00047D1A">
        <w:rPr>
          <w:lang w:val="fr-FR"/>
        </w:rPr>
        <w:tab/>
        <w:t xml:space="preserve">Le secrétariat a informé le Groupe de travail qu’en l’absence d’une proposition d’amendement visant à supprimer le code tunnel figurant actuellement dans la colonne (15) pour le </w:t>
      </w:r>
      <w:r w:rsidR="00676E72">
        <w:rPr>
          <w:lang w:val="fr-FR"/>
        </w:rPr>
        <w:t>No</w:t>
      </w:r>
      <w:r w:rsidRPr="00047D1A">
        <w:rPr>
          <w:lang w:val="fr-FR"/>
        </w:rPr>
        <w:t xml:space="preserve"> ONU 1043, l’amendement adopté dans la liste récapitulative d’amendements (ECE/TRANS/WP.15/240) consistant à ajouter la mention «</w:t>
      </w:r>
      <w:r w:rsidR="00676E72">
        <w:rPr>
          <w:lang w:val="fr-FR"/>
        </w:rPr>
        <w:t> </w:t>
      </w:r>
      <w:r w:rsidRPr="00047D1A">
        <w:rPr>
          <w:lang w:val="fr-FR"/>
        </w:rPr>
        <w:t>(-)</w:t>
      </w:r>
      <w:r w:rsidR="00676E72">
        <w:rPr>
          <w:lang w:val="fr-FR"/>
        </w:rPr>
        <w:t> </w:t>
      </w:r>
      <w:r w:rsidRPr="00047D1A">
        <w:rPr>
          <w:lang w:val="fr-FR"/>
        </w:rPr>
        <w:t>» en bas de la case n’avait pas été pris en compte dans l’édition 2019 de l’ADR en anglais, en français et en russe.</w:t>
      </w:r>
    </w:p>
    <w:p w14:paraId="719F8266" w14:textId="77777777" w:rsidR="00047D1A" w:rsidRPr="00047D1A" w:rsidRDefault="00676E72" w:rsidP="00676E72">
      <w:pPr>
        <w:pStyle w:val="H23G"/>
      </w:pPr>
      <w:r>
        <w:rPr>
          <w:lang w:val="fr-FR"/>
        </w:rPr>
        <w:tab/>
        <w:t>7.</w:t>
      </w:r>
      <w:r>
        <w:rPr>
          <w:lang w:val="fr-FR"/>
        </w:rPr>
        <w:tab/>
      </w:r>
      <w:bookmarkStart w:id="57" w:name="_Hlk6317541"/>
      <w:r w:rsidR="00047D1A" w:rsidRPr="00047D1A">
        <w:rPr>
          <w:lang w:val="fr-FR"/>
        </w:rPr>
        <w:t xml:space="preserve">Résultats de la deuxième réunion du groupe de travail informel chargé </w:t>
      </w:r>
      <w:r>
        <w:rPr>
          <w:lang w:val="fr-FR"/>
        </w:rPr>
        <w:br/>
      </w:r>
      <w:r w:rsidR="00047D1A" w:rsidRPr="00047D1A">
        <w:rPr>
          <w:lang w:val="fr-FR"/>
        </w:rPr>
        <w:t xml:space="preserve">de la </w:t>
      </w:r>
      <w:r>
        <w:rPr>
          <w:lang w:val="fr-FR"/>
        </w:rPr>
        <w:t>« </w:t>
      </w:r>
      <w:r w:rsidR="00047D1A" w:rsidRPr="00047D1A">
        <w:rPr>
          <w:lang w:val="fr-FR"/>
        </w:rPr>
        <w:t>clarification du 9.3.4.2 de l’ADR</w:t>
      </w:r>
      <w:r>
        <w:rPr>
          <w:lang w:val="fr-FR"/>
        </w:rPr>
        <w:t> »</w:t>
      </w:r>
      <w:bookmarkEnd w:id="57"/>
    </w:p>
    <w:p w14:paraId="0F5A7ED7" w14:textId="77777777" w:rsidR="00047D1A" w:rsidRPr="00047D1A" w:rsidRDefault="00047D1A" w:rsidP="00676E72">
      <w:pPr>
        <w:pStyle w:val="SingleTxtG"/>
        <w:ind w:left="3402" w:hanging="2268"/>
      </w:pPr>
      <w:r w:rsidRPr="00047D1A">
        <w:rPr>
          <w:i/>
          <w:iCs/>
          <w:lang w:val="fr-FR"/>
        </w:rPr>
        <w:t>Document informel</w:t>
      </w:r>
      <w:r w:rsidR="00676E72">
        <w:rPr>
          <w:i/>
          <w:iCs/>
          <w:lang w:val="fr-FR"/>
        </w:rPr>
        <w:t> </w:t>
      </w:r>
      <w:r w:rsidRPr="00676E72">
        <w:rPr>
          <w:iCs/>
          <w:lang w:val="fr-FR"/>
        </w:rPr>
        <w:t>:</w:t>
      </w:r>
      <w:r w:rsidR="00676E72">
        <w:rPr>
          <w:lang w:val="fr-FR"/>
        </w:rPr>
        <w:tab/>
      </w:r>
      <w:r w:rsidRPr="00047D1A">
        <w:rPr>
          <w:lang w:val="fr-FR"/>
        </w:rPr>
        <w:t>INF.32 (Allemagne).</w:t>
      </w:r>
    </w:p>
    <w:p w14:paraId="1DC0B448" w14:textId="77777777" w:rsidR="00047D1A" w:rsidRPr="00047D1A" w:rsidRDefault="00047D1A" w:rsidP="00047D1A">
      <w:pPr>
        <w:pStyle w:val="SingleTxtG"/>
      </w:pPr>
      <w:r w:rsidRPr="00047D1A">
        <w:rPr>
          <w:lang w:val="fr-FR"/>
        </w:rPr>
        <w:t>78.</w:t>
      </w:r>
      <w:r w:rsidRPr="00047D1A">
        <w:rPr>
          <w:lang w:val="fr-FR"/>
        </w:rPr>
        <w:tab/>
        <w:t>Le Groupe de travail a pris note des conclusions de la réunion du groupe de travail informel tenue à Bonn les 1</w:t>
      </w:r>
      <w:r w:rsidRPr="00676E72">
        <w:rPr>
          <w:vertAlign w:val="superscript"/>
          <w:lang w:val="fr-FR"/>
        </w:rPr>
        <w:t>er</w:t>
      </w:r>
      <w:r w:rsidR="00676E72">
        <w:rPr>
          <w:lang w:val="fr-FR"/>
        </w:rPr>
        <w:t xml:space="preserve"> </w:t>
      </w:r>
      <w:r w:rsidRPr="00047D1A">
        <w:rPr>
          <w:lang w:val="fr-FR"/>
        </w:rPr>
        <w:t>et 2 octobre 2018 et a noté que le procès-verbal de la réunion serait soumis à la Réunion commune pour examen à sa session de printemps 2019.</w:t>
      </w:r>
    </w:p>
    <w:p w14:paraId="04D0EE26" w14:textId="77777777" w:rsidR="00047D1A" w:rsidRPr="00047D1A" w:rsidRDefault="00676E72" w:rsidP="00676E72">
      <w:pPr>
        <w:pStyle w:val="H23G"/>
      </w:pPr>
      <w:r>
        <w:rPr>
          <w:lang w:val="fr-FR"/>
        </w:rPr>
        <w:tab/>
        <w:t>8.</w:t>
      </w:r>
      <w:r>
        <w:rPr>
          <w:lang w:val="fr-FR"/>
        </w:rPr>
        <w:tab/>
      </w:r>
      <w:bookmarkStart w:id="58" w:name="_Hlk6317563"/>
      <w:r w:rsidR="00047D1A" w:rsidRPr="00047D1A">
        <w:rPr>
          <w:lang w:val="fr-FR"/>
        </w:rPr>
        <w:t>Hommage à M.</w:t>
      </w:r>
      <w:r>
        <w:rPr>
          <w:lang w:val="fr-FR"/>
        </w:rPr>
        <w:t> </w:t>
      </w:r>
      <w:r w:rsidR="00047D1A" w:rsidRPr="00047D1A">
        <w:rPr>
          <w:lang w:val="fr-FR"/>
        </w:rPr>
        <w:t>José Alberto Franco</w:t>
      </w:r>
      <w:bookmarkEnd w:id="58"/>
    </w:p>
    <w:p w14:paraId="5E4CDFED" w14:textId="77777777" w:rsidR="00047D1A" w:rsidRPr="00047D1A" w:rsidRDefault="00047D1A" w:rsidP="00047D1A">
      <w:pPr>
        <w:pStyle w:val="SingleTxtG"/>
      </w:pPr>
      <w:r w:rsidRPr="00047D1A">
        <w:rPr>
          <w:lang w:val="fr-FR"/>
        </w:rPr>
        <w:t>79.</w:t>
      </w:r>
      <w:r w:rsidRPr="00047D1A">
        <w:rPr>
          <w:lang w:val="fr-FR"/>
        </w:rPr>
        <w:tab/>
        <w:t>Le Groupe de travail a été informé que son Président atteindrait l’âge de départ obligatoire à la retraite à la fin de 2019 et qu’il participait à une session du Groupe pour la dernière fois.</w:t>
      </w:r>
    </w:p>
    <w:p w14:paraId="463762CF" w14:textId="77777777" w:rsidR="00047D1A" w:rsidRPr="00047D1A" w:rsidRDefault="00047D1A" w:rsidP="00047D1A">
      <w:pPr>
        <w:pStyle w:val="SingleTxtG"/>
      </w:pPr>
      <w:r w:rsidRPr="00047D1A">
        <w:rPr>
          <w:lang w:val="fr-FR"/>
        </w:rPr>
        <w:lastRenderedPageBreak/>
        <w:t>80.</w:t>
      </w:r>
      <w:r w:rsidRPr="00047D1A">
        <w:rPr>
          <w:lang w:val="fr-FR"/>
        </w:rPr>
        <w:tab/>
        <w:t>Le Groupe de travail l’a chaleureusement remercié pour le travail accompli durant ses vingt-trois années de présidence et trois années de vice-présidence, et pour sa coopération de longue date avec les délégations et le secrétariat. Tout en regrettant son départ, le Groupe de travail lui a souhaité une longue et heureuse retraite.</w:t>
      </w:r>
    </w:p>
    <w:p w14:paraId="55D685A0" w14:textId="77777777" w:rsidR="00047D1A" w:rsidRPr="00047D1A" w:rsidRDefault="00047D1A" w:rsidP="00C321FA">
      <w:pPr>
        <w:pStyle w:val="HChG"/>
      </w:pPr>
      <w:r w:rsidRPr="00047D1A">
        <w:rPr>
          <w:lang w:val="fr-FR"/>
        </w:rPr>
        <w:tab/>
        <w:t>X.</w:t>
      </w:r>
      <w:r w:rsidRPr="00047D1A">
        <w:rPr>
          <w:lang w:val="fr-FR"/>
        </w:rPr>
        <w:tab/>
      </w:r>
      <w:bookmarkStart w:id="59" w:name="_Hlk6317575"/>
      <w:r w:rsidRPr="00047D1A">
        <w:rPr>
          <w:lang w:val="fr-FR"/>
        </w:rPr>
        <w:t>Élection du Bureau pour 2019 (point 9 de l’ordre du jour)</w:t>
      </w:r>
      <w:bookmarkEnd w:id="59"/>
    </w:p>
    <w:p w14:paraId="21D13094" w14:textId="77777777" w:rsidR="00047D1A" w:rsidRPr="00047D1A" w:rsidRDefault="00047D1A" w:rsidP="00047D1A">
      <w:pPr>
        <w:pStyle w:val="SingleTxtG"/>
      </w:pPr>
      <w:r w:rsidRPr="00047D1A">
        <w:rPr>
          <w:lang w:val="fr-FR"/>
        </w:rPr>
        <w:t>81.</w:t>
      </w:r>
      <w:r w:rsidRPr="00047D1A">
        <w:rPr>
          <w:lang w:val="fr-FR"/>
        </w:rPr>
        <w:tab/>
        <w:t xml:space="preserve">Sur proposition du représentant de la Roumanie, le Groupe de travail a élu </w:t>
      </w:r>
      <w:r w:rsidR="00C321FA" w:rsidRPr="00C321FA">
        <w:rPr>
          <w:lang w:val="fr-FR"/>
        </w:rPr>
        <w:t>M</w:t>
      </w:r>
      <w:r w:rsidR="00C321FA" w:rsidRPr="00C321FA">
        <w:rPr>
          <w:vertAlign w:val="superscript"/>
          <w:lang w:val="fr-FR"/>
        </w:rPr>
        <w:t>me</w:t>
      </w:r>
      <w:r w:rsidR="00C321FA" w:rsidRPr="00C321FA">
        <w:rPr>
          <w:lang w:val="fr-FR"/>
        </w:rPr>
        <w:t> </w:t>
      </w:r>
      <w:r w:rsidRPr="00047D1A">
        <w:rPr>
          <w:lang w:val="fr-FR"/>
        </w:rPr>
        <w:t>A.</w:t>
      </w:r>
      <w:r w:rsidR="00C321FA">
        <w:rPr>
          <w:lang w:val="fr-FR"/>
        </w:rPr>
        <w:t> </w:t>
      </w:r>
      <w:r w:rsidRPr="00047D1A">
        <w:rPr>
          <w:lang w:val="fr-FR"/>
        </w:rPr>
        <w:t>Roumier (France) Présidente et M.</w:t>
      </w:r>
      <w:r w:rsidR="00C321FA">
        <w:rPr>
          <w:lang w:val="fr-FR"/>
        </w:rPr>
        <w:t> </w:t>
      </w:r>
      <w:r w:rsidRPr="00047D1A">
        <w:rPr>
          <w:lang w:val="fr-FR"/>
        </w:rPr>
        <w:t>Alfonso Simoni Vice-Président pour l’année 2019.</w:t>
      </w:r>
    </w:p>
    <w:p w14:paraId="7141755B" w14:textId="77777777" w:rsidR="00047D1A" w:rsidRPr="00047D1A" w:rsidRDefault="00047D1A" w:rsidP="00C321FA">
      <w:pPr>
        <w:pStyle w:val="HChG"/>
      </w:pPr>
      <w:r w:rsidRPr="00047D1A">
        <w:rPr>
          <w:lang w:val="fr-FR"/>
        </w:rPr>
        <w:tab/>
        <w:t>XI.</w:t>
      </w:r>
      <w:r w:rsidRPr="00047D1A">
        <w:rPr>
          <w:lang w:val="fr-FR"/>
        </w:rPr>
        <w:tab/>
      </w:r>
      <w:bookmarkStart w:id="60" w:name="_Hlk6317585"/>
      <w:r w:rsidRPr="00047D1A">
        <w:rPr>
          <w:lang w:val="fr-FR"/>
        </w:rPr>
        <w:t>Adoption du rapport (point 10 de l’ordre du jour)</w:t>
      </w:r>
      <w:bookmarkStart w:id="61" w:name="_Toc499903680"/>
      <w:bookmarkEnd w:id="61"/>
      <w:bookmarkEnd w:id="60"/>
    </w:p>
    <w:p w14:paraId="77400ADB" w14:textId="77777777" w:rsidR="00047D1A" w:rsidRPr="00047D1A" w:rsidRDefault="00047D1A" w:rsidP="00047D1A">
      <w:pPr>
        <w:pStyle w:val="SingleTxtG"/>
        <w:rPr>
          <w:lang w:val="fr-FR"/>
        </w:rPr>
      </w:pPr>
      <w:r w:rsidRPr="00047D1A">
        <w:rPr>
          <w:lang w:val="fr-FR"/>
        </w:rPr>
        <w:t>82.</w:t>
      </w:r>
      <w:r w:rsidRPr="00047D1A">
        <w:rPr>
          <w:lang w:val="fr-FR"/>
        </w:rPr>
        <w:tab/>
        <w:t>Le Groupe de travail a adopté le rapport de sa 105</w:t>
      </w:r>
      <w:r w:rsidRPr="00C321FA">
        <w:rPr>
          <w:vertAlign w:val="superscript"/>
          <w:lang w:val="fr-FR"/>
        </w:rPr>
        <w:t>e</w:t>
      </w:r>
      <w:r w:rsidR="00C321FA">
        <w:rPr>
          <w:lang w:val="fr-FR"/>
        </w:rPr>
        <w:t xml:space="preserve"> </w:t>
      </w:r>
      <w:r w:rsidRPr="00047D1A">
        <w:rPr>
          <w:lang w:val="fr-FR"/>
        </w:rPr>
        <w:t>session, annexes incluses, sur la base d’un projet établi par le secrétariat.</w:t>
      </w:r>
    </w:p>
    <w:p w14:paraId="6EED7BDA" w14:textId="77777777" w:rsidR="00047D1A" w:rsidRPr="00047D1A" w:rsidRDefault="00047D1A" w:rsidP="00C321FA">
      <w:pPr>
        <w:pStyle w:val="HChG"/>
      </w:pPr>
      <w:r>
        <w:rPr>
          <w:lang w:val="fr-FR"/>
        </w:rPr>
        <w:br w:type="page"/>
      </w:r>
      <w:r w:rsidRPr="00047D1A">
        <w:rPr>
          <w:lang w:val="fr-FR"/>
        </w:rPr>
        <w:lastRenderedPageBreak/>
        <w:t>Annexe I</w:t>
      </w:r>
      <w:bookmarkStart w:id="62" w:name="_Toc499903681"/>
      <w:bookmarkEnd w:id="62"/>
    </w:p>
    <w:p w14:paraId="27B5439F" w14:textId="77777777" w:rsidR="00047D1A" w:rsidRPr="00047D1A" w:rsidRDefault="00047D1A" w:rsidP="00386F84">
      <w:pPr>
        <w:pStyle w:val="HChG"/>
      </w:pPr>
      <w:r w:rsidRPr="00047D1A">
        <w:rPr>
          <w:lang w:val="fr-FR"/>
        </w:rPr>
        <w:tab/>
      </w:r>
      <w:r w:rsidRPr="00047D1A">
        <w:rPr>
          <w:lang w:val="fr-FR"/>
        </w:rPr>
        <w:tab/>
      </w:r>
      <w:bookmarkStart w:id="63" w:name="_Hlk6317610"/>
      <w:r w:rsidRPr="00047D1A">
        <w:rPr>
          <w:lang w:val="fr-FR"/>
        </w:rPr>
        <w:t xml:space="preserve">Projet d’amendements aux annexes A et B de l’ADR </w:t>
      </w:r>
      <w:r w:rsidR="00EF40DB">
        <w:rPr>
          <w:lang w:val="fr-FR"/>
        </w:rPr>
        <w:br/>
      </w:r>
      <w:r w:rsidRPr="00047D1A">
        <w:rPr>
          <w:lang w:val="fr-FR"/>
        </w:rPr>
        <w:t>pour entrée en vigueur le 1</w:t>
      </w:r>
      <w:r w:rsidRPr="00047D1A">
        <w:rPr>
          <w:vertAlign w:val="superscript"/>
          <w:lang w:val="fr-FR"/>
        </w:rPr>
        <w:t>er</w:t>
      </w:r>
      <w:r w:rsidRPr="00047D1A">
        <w:rPr>
          <w:lang w:val="fr-FR"/>
        </w:rPr>
        <w:t xml:space="preserve"> janvier 2021</w:t>
      </w:r>
      <w:bookmarkStart w:id="64" w:name="_Toc499903682"/>
      <w:bookmarkEnd w:id="64"/>
      <w:bookmarkEnd w:id="63"/>
    </w:p>
    <w:p w14:paraId="6FEFF41D" w14:textId="77777777" w:rsidR="00047D1A" w:rsidRPr="00047D1A" w:rsidRDefault="00047D1A" w:rsidP="00EF40DB">
      <w:pPr>
        <w:pStyle w:val="H1G"/>
      </w:pPr>
      <w:r w:rsidRPr="00047D1A">
        <w:rPr>
          <w:lang w:val="fr-FR"/>
        </w:rPr>
        <w:tab/>
      </w:r>
      <w:r w:rsidRPr="00047D1A">
        <w:rPr>
          <w:lang w:val="fr-FR"/>
        </w:rPr>
        <w:tab/>
        <w:t>Chapitre 1.4</w:t>
      </w:r>
    </w:p>
    <w:p w14:paraId="6374F611" w14:textId="77777777" w:rsidR="00047D1A" w:rsidRPr="00047D1A" w:rsidRDefault="00047D1A" w:rsidP="00EF40DB">
      <w:pPr>
        <w:pStyle w:val="SingleTxtG"/>
        <w:ind w:left="2268" w:hanging="1134"/>
      </w:pPr>
      <w:bookmarkStart w:id="65" w:name="_Hlk525252460"/>
      <w:r w:rsidRPr="00047D1A">
        <w:rPr>
          <w:lang w:val="fr-FR"/>
        </w:rPr>
        <w:t>1.4.3.3 e)</w:t>
      </w:r>
      <w:r w:rsidRPr="00047D1A">
        <w:rPr>
          <w:lang w:val="fr-FR"/>
        </w:rPr>
        <w:tab/>
        <w:t>Supprimer «</w:t>
      </w:r>
      <w:r w:rsidR="00EF40DB">
        <w:rPr>
          <w:lang w:val="fr-FR"/>
        </w:rPr>
        <w:t> </w:t>
      </w:r>
      <w:r w:rsidRPr="00047D1A">
        <w:rPr>
          <w:lang w:val="fr-FR"/>
        </w:rPr>
        <w:t>maximal</w:t>
      </w:r>
      <w:r w:rsidR="00EF40DB">
        <w:rPr>
          <w:lang w:val="fr-FR"/>
        </w:rPr>
        <w:t> </w:t>
      </w:r>
      <w:r w:rsidRPr="00047D1A">
        <w:rPr>
          <w:lang w:val="fr-FR"/>
        </w:rPr>
        <w:t>» et «</w:t>
      </w:r>
      <w:r w:rsidR="00EF40DB">
        <w:rPr>
          <w:lang w:val="fr-FR"/>
        </w:rPr>
        <w:t> </w:t>
      </w:r>
      <w:r w:rsidRPr="00047D1A">
        <w:rPr>
          <w:lang w:val="fr-FR"/>
        </w:rPr>
        <w:t>maximale</w:t>
      </w:r>
      <w:r w:rsidR="00EF40DB">
        <w:rPr>
          <w:lang w:val="fr-FR"/>
        </w:rPr>
        <w:t> </w:t>
      </w:r>
      <w:r w:rsidRPr="00047D1A">
        <w:rPr>
          <w:lang w:val="fr-FR"/>
        </w:rPr>
        <w:t>».</w:t>
      </w:r>
      <w:bookmarkEnd w:id="65"/>
    </w:p>
    <w:p w14:paraId="1910DBFF" w14:textId="77777777" w:rsidR="00047D1A" w:rsidRPr="00047D1A" w:rsidRDefault="00047D1A" w:rsidP="00047D1A">
      <w:pPr>
        <w:pStyle w:val="SingleTxtG"/>
        <w:rPr>
          <w:i/>
          <w:iCs/>
        </w:rPr>
      </w:pPr>
      <w:r w:rsidRPr="00047D1A">
        <w:rPr>
          <w:i/>
          <w:lang w:val="fr-FR"/>
        </w:rPr>
        <w:t>(Document de référence</w:t>
      </w:r>
      <w:r w:rsidR="00EF40DB">
        <w:rPr>
          <w:i/>
          <w:lang w:val="fr-FR"/>
        </w:rPr>
        <w:t> </w:t>
      </w:r>
      <w:r w:rsidRPr="00047D1A">
        <w:rPr>
          <w:i/>
          <w:lang w:val="fr-FR"/>
        </w:rPr>
        <w:t>: document informel INF.21/Add.1)</w:t>
      </w:r>
    </w:p>
    <w:p w14:paraId="36D475BE" w14:textId="77777777" w:rsidR="00047D1A" w:rsidRPr="00047D1A" w:rsidRDefault="00047D1A" w:rsidP="00EF40DB">
      <w:pPr>
        <w:pStyle w:val="H1G"/>
      </w:pPr>
      <w:r w:rsidRPr="00047D1A">
        <w:rPr>
          <w:lang w:val="fr-FR"/>
        </w:rPr>
        <w:tab/>
      </w:r>
      <w:r w:rsidRPr="00047D1A">
        <w:rPr>
          <w:lang w:val="fr-FR"/>
        </w:rPr>
        <w:tab/>
        <w:t>Chapitre 1.6</w:t>
      </w:r>
    </w:p>
    <w:p w14:paraId="0FB5C508" w14:textId="77777777" w:rsidR="00047D1A" w:rsidRPr="00047D1A" w:rsidRDefault="00047D1A" w:rsidP="00EF40DB">
      <w:pPr>
        <w:pStyle w:val="SingleTxtG"/>
        <w:ind w:left="2268" w:hanging="1134"/>
      </w:pPr>
      <w:r w:rsidRPr="00047D1A">
        <w:rPr>
          <w:lang w:val="fr-FR"/>
        </w:rPr>
        <w:t>1.6.2.16</w:t>
      </w:r>
      <w:r w:rsidRPr="00047D1A">
        <w:rPr>
          <w:lang w:val="fr-FR"/>
        </w:rPr>
        <w:tab/>
        <w:t>Ajouter le nouveau paragraphe suivant</w:t>
      </w:r>
      <w:r w:rsidR="00EF40DB">
        <w:rPr>
          <w:lang w:val="fr-FR"/>
        </w:rPr>
        <w:t> </w:t>
      </w:r>
      <w:r w:rsidRPr="00047D1A">
        <w:rPr>
          <w:lang w:val="fr-FR"/>
        </w:rPr>
        <w:t>:</w:t>
      </w:r>
    </w:p>
    <w:p w14:paraId="4B547090" w14:textId="77777777" w:rsidR="00047D1A" w:rsidRPr="00047D1A" w:rsidRDefault="00047D1A" w:rsidP="00EF40DB">
      <w:pPr>
        <w:pStyle w:val="SingleTxtG"/>
        <w:ind w:left="2268" w:hanging="1134"/>
      </w:pPr>
      <w:r w:rsidRPr="00047D1A">
        <w:rPr>
          <w:lang w:val="fr-FR"/>
        </w:rPr>
        <w:t>«</w:t>
      </w:r>
      <w:r w:rsidR="00A841AB">
        <w:rPr>
          <w:lang w:val="fr-FR"/>
        </w:rPr>
        <w:t> </w:t>
      </w:r>
      <w:r w:rsidRPr="00047D1A">
        <w:rPr>
          <w:lang w:val="fr-FR"/>
        </w:rPr>
        <w:t>1.6.2.16</w:t>
      </w:r>
      <w:r w:rsidRPr="00047D1A">
        <w:rPr>
          <w:lang w:val="fr-FR"/>
        </w:rPr>
        <w:tab/>
        <w:t>Les dispositions de la note 3 du 6.2.3.5.1, applicables jusqu’au 31</w:t>
      </w:r>
      <w:r w:rsidR="00A841AB">
        <w:rPr>
          <w:lang w:val="fr-FR"/>
        </w:rPr>
        <w:t> </w:t>
      </w:r>
      <w:r w:rsidRPr="00047D1A">
        <w:rPr>
          <w:lang w:val="fr-FR"/>
        </w:rPr>
        <w:t>décembre 2020, peuvent continuer à être appliquées jusqu’au 31 décembre 2022.</w:t>
      </w:r>
      <w:r w:rsidR="00A841AB">
        <w:rPr>
          <w:lang w:val="fr-FR"/>
        </w:rPr>
        <w:t> </w:t>
      </w:r>
      <w:r w:rsidRPr="00047D1A">
        <w:rPr>
          <w:lang w:val="fr-FR"/>
        </w:rPr>
        <w:t>».</w:t>
      </w:r>
    </w:p>
    <w:p w14:paraId="016F280C" w14:textId="77777777" w:rsidR="00047D1A" w:rsidRPr="00047D1A" w:rsidRDefault="00047D1A" w:rsidP="00047D1A">
      <w:pPr>
        <w:pStyle w:val="SingleTxtG"/>
        <w:rPr>
          <w:i/>
          <w:iCs/>
        </w:rPr>
      </w:pPr>
      <w:r w:rsidRPr="00047D1A">
        <w:rPr>
          <w:i/>
          <w:lang w:val="fr-FR"/>
        </w:rPr>
        <w:t>(Document de référence</w:t>
      </w:r>
      <w:r w:rsidR="00A841AB">
        <w:rPr>
          <w:i/>
          <w:lang w:val="fr-FR"/>
        </w:rPr>
        <w:t> </w:t>
      </w:r>
      <w:r w:rsidRPr="00047D1A">
        <w:rPr>
          <w:i/>
          <w:lang w:val="fr-FR"/>
        </w:rPr>
        <w:t>: document informel INF.21/Add.1)</w:t>
      </w:r>
    </w:p>
    <w:p w14:paraId="205FFEC5" w14:textId="77777777" w:rsidR="00047D1A" w:rsidRPr="00047D1A" w:rsidRDefault="00047D1A" w:rsidP="00EF40DB">
      <w:pPr>
        <w:pStyle w:val="SingleTxtG"/>
        <w:ind w:left="2268" w:hanging="1134"/>
      </w:pPr>
      <w:r w:rsidRPr="00047D1A">
        <w:rPr>
          <w:lang w:val="fr-FR"/>
        </w:rPr>
        <w:t>1.6.3.100</w:t>
      </w:r>
      <w:r w:rsidRPr="00047D1A">
        <w:rPr>
          <w:lang w:val="fr-FR"/>
        </w:rPr>
        <w:tab/>
        <w:t>Combiner les deux paragraphes existants sous le titre, les numéroter en tant que 1.6.3.100.1 et ajouter le nouveau paragraphe 1.6.3.100.2 suivant</w:t>
      </w:r>
      <w:r w:rsidR="00A841AB">
        <w:rPr>
          <w:lang w:val="fr-FR"/>
        </w:rPr>
        <w:t> </w:t>
      </w:r>
      <w:r w:rsidRPr="00047D1A">
        <w:rPr>
          <w:lang w:val="fr-FR"/>
        </w:rPr>
        <w:t>:</w:t>
      </w:r>
    </w:p>
    <w:p w14:paraId="1DBD9E11" w14:textId="77777777" w:rsidR="00047D1A" w:rsidRPr="00047D1A" w:rsidRDefault="00047D1A" w:rsidP="00EF40DB">
      <w:pPr>
        <w:pStyle w:val="SingleTxtG"/>
        <w:ind w:left="2268" w:hanging="1134"/>
      </w:pPr>
      <w:r w:rsidRPr="00047D1A">
        <w:rPr>
          <w:lang w:val="fr-FR"/>
        </w:rPr>
        <w:t>«</w:t>
      </w:r>
      <w:r w:rsidR="00A841AB">
        <w:rPr>
          <w:lang w:val="fr-FR"/>
        </w:rPr>
        <w:t> </w:t>
      </w:r>
      <w:r w:rsidRPr="00047D1A">
        <w:rPr>
          <w:lang w:val="fr-FR"/>
        </w:rPr>
        <w:t>1.6.3.100.2</w:t>
      </w:r>
      <w:r w:rsidRPr="00047D1A">
        <w:rPr>
          <w:lang w:val="fr-FR"/>
        </w:rPr>
        <w:tab/>
        <w:t>Les citernes en matière plastique renforcée de fibres construites avant le 1</w:t>
      </w:r>
      <w:r w:rsidRPr="00A841AB">
        <w:rPr>
          <w:vertAlign w:val="superscript"/>
          <w:lang w:val="fr-FR"/>
        </w:rPr>
        <w:t>er</w:t>
      </w:r>
      <w:r w:rsidR="00A841AB">
        <w:rPr>
          <w:lang w:val="fr-FR"/>
        </w:rPr>
        <w:t> </w:t>
      </w:r>
      <w:r w:rsidRPr="00047D1A">
        <w:rPr>
          <w:lang w:val="fr-FR"/>
        </w:rPr>
        <w:t>juillet 2021 conformément aux prescriptions applicables jusqu’au 31</w:t>
      </w:r>
      <w:r w:rsidR="00A841AB">
        <w:rPr>
          <w:lang w:val="fr-FR"/>
        </w:rPr>
        <w:t> </w:t>
      </w:r>
      <w:r w:rsidRPr="00047D1A">
        <w:rPr>
          <w:lang w:val="fr-FR"/>
        </w:rPr>
        <w:t>décembre 2020 mais qui ne sont cependant pas conformes aux prescriptions de marquage du code-citerne du 6.9.6.1 applicables à compter du 1</w:t>
      </w:r>
      <w:r w:rsidRPr="00A841AB">
        <w:rPr>
          <w:vertAlign w:val="superscript"/>
          <w:lang w:val="fr-FR"/>
        </w:rPr>
        <w:t>er</w:t>
      </w:r>
      <w:r w:rsidR="00A841AB">
        <w:rPr>
          <w:lang w:val="fr-FR"/>
        </w:rPr>
        <w:t xml:space="preserve"> </w:t>
      </w:r>
      <w:r w:rsidRPr="00047D1A">
        <w:rPr>
          <w:lang w:val="fr-FR"/>
        </w:rPr>
        <w:t>janvier 2021 pourront continuer à porter le marquage conforme aux prescriptions en vigueur jusqu’au 31</w:t>
      </w:r>
      <w:r w:rsidR="00A841AB">
        <w:rPr>
          <w:lang w:val="fr-FR"/>
        </w:rPr>
        <w:t> </w:t>
      </w:r>
      <w:r w:rsidRPr="00047D1A">
        <w:rPr>
          <w:lang w:val="fr-FR"/>
        </w:rPr>
        <w:t>décembre 2020 jusqu’au prochain contrôle périodique devant avoir lieu après le 1</w:t>
      </w:r>
      <w:r w:rsidRPr="00A841AB">
        <w:rPr>
          <w:vertAlign w:val="superscript"/>
          <w:lang w:val="fr-FR"/>
        </w:rPr>
        <w:t>er</w:t>
      </w:r>
      <w:r w:rsidR="00A841AB">
        <w:rPr>
          <w:lang w:val="fr-FR"/>
        </w:rPr>
        <w:t xml:space="preserve"> </w:t>
      </w:r>
      <w:r w:rsidRPr="00047D1A">
        <w:rPr>
          <w:lang w:val="fr-FR"/>
        </w:rPr>
        <w:t>juillet 2021.</w:t>
      </w:r>
      <w:r w:rsidR="00A841AB">
        <w:rPr>
          <w:lang w:val="fr-FR"/>
        </w:rPr>
        <w:t> </w:t>
      </w:r>
      <w:r w:rsidRPr="00047D1A">
        <w:rPr>
          <w:lang w:val="fr-FR"/>
        </w:rPr>
        <w:t>».</w:t>
      </w:r>
    </w:p>
    <w:p w14:paraId="0E65B0A2" w14:textId="77777777" w:rsidR="00047D1A" w:rsidRPr="00047D1A" w:rsidRDefault="00047D1A" w:rsidP="00047D1A">
      <w:pPr>
        <w:pStyle w:val="SingleTxtG"/>
        <w:rPr>
          <w:i/>
          <w:iCs/>
        </w:rPr>
      </w:pPr>
      <w:r w:rsidRPr="00047D1A">
        <w:rPr>
          <w:i/>
          <w:lang w:val="fr-FR"/>
        </w:rPr>
        <w:t>(Document de référence</w:t>
      </w:r>
      <w:r w:rsidR="00A841AB">
        <w:rPr>
          <w:i/>
          <w:lang w:val="fr-FR"/>
        </w:rPr>
        <w:t> </w:t>
      </w:r>
      <w:r w:rsidRPr="00047D1A">
        <w:rPr>
          <w:i/>
          <w:lang w:val="fr-FR"/>
        </w:rPr>
        <w:t>: document informel INF.21/Add.1)</w:t>
      </w:r>
    </w:p>
    <w:p w14:paraId="6E35E664" w14:textId="77777777" w:rsidR="00047D1A" w:rsidRPr="00047D1A" w:rsidRDefault="00047D1A" w:rsidP="00A841AB">
      <w:pPr>
        <w:pStyle w:val="H1G"/>
      </w:pPr>
      <w:r w:rsidRPr="00047D1A">
        <w:rPr>
          <w:lang w:val="fr-FR"/>
        </w:rPr>
        <w:tab/>
      </w:r>
      <w:r w:rsidRPr="00047D1A">
        <w:rPr>
          <w:lang w:val="fr-FR"/>
        </w:rPr>
        <w:tab/>
        <w:t>Chapitre 1.8</w:t>
      </w:r>
    </w:p>
    <w:p w14:paraId="24D480FB" w14:textId="77777777" w:rsidR="00047D1A" w:rsidRPr="00047D1A" w:rsidRDefault="00047D1A" w:rsidP="00EF40DB">
      <w:pPr>
        <w:pStyle w:val="SingleTxtG"/>
        <w:ind w:left="2268" w:hanging="1134"/>
      </w:pPr>
      <w:r w:rsidRPr="00047D1A">
        <w:rPr>
          <w:lang w:val="fr-FR"/>
        </w:rPr>
        <w:t>1.8.5.1</w:t>
      </w:r>
      <w:r w:rsidRPr="00047D1A">
        <w:rPr>
          <w:lang w:val="fr-FR"/>
        </w:rPr>
        <w:tab/>
        <w:t>Après «</w:t>
      </w:r>
      <w:r w:rsidR="00A841AB">
        <w:rPr>
          <w:lang w:val="fr-FR"/>
        </w:rPr>
        <w:t> </w:t>
      </w:r>
      <w:r w:rsidRPr="00047D1A">
        <w:rPr>
          <w:lang w:val="fr-FR"/>
        </w:rPr>
        <w:t>le transporteur</w:t>
      </w:r>
      <w:r w:rsidR="00A841AB">
        <w:rPr>
          <w:lang w:val="fr-FR"/>
        </w:rPr>
        <w:t> </w:t>
      </w:r>
      <w:r w:rsidRPr="00047D1A">
        <w:rPr>
          <w:lang w:val="fr-FR"/>
        </w:rPr>
        <w:t>» ajouter «</w:t>
      </w:r>
      <w:r w:rsidR="00A841AB">
        <w:rPr>
          <w:lang w:val="fr-FR"/>
        </w:rPr>
        <w:t> </w:t>
      </w:r>
      <w:r w:rsidRPr="00047D1A">
        <w:rPr>
          <w:lang w:val="fr-FR"/>
        </w:rPr>
        <w:t>, le déchargeur</w:t>
      </w:r>
      <w:r w:rsidR="00A841AB">
        <w:rPr>
          <w:lang w:val="fr-FR"/>
        </w:rPr>
        <w:t> </w:t>
      </w:r>
      <w:r w:rsidRPr="00047D1A">
        <w:rPr>
          <w:lang w:val="fr-FR"/>
        </w:rPr>
        <w:t>».</w:t>
      </w:r>
    </w:p>
    <w:p w14:paraId="0764D59C" w14:textId="77777777" w:rsidR="00047D1A" w:rsidRPr="00047D1A" w:rsidRDefault="00047D1A" w:rsidP="00047D1A">
      <w:pPr>
        <w:pStyle w:val="SingleTxtG"/>
        <w:rPr>
          <w:i/>
          <w:iCs/>
        </w:rPr>
      </w:pPr>
      <w:r w:rsidRPr="00047D1A">
        <w:rPr>
          <w:i/>
          <w:lang w:val="fr-FR"/>
        </w:rPr>
        <w:t>(Document de référence</w:t>
      </w:r>
      <w:r w:rsidR="00A841AB">
        <w:rPr>
          <w:i/>
          <w:lang w:val="fr-FR"/>
        </w:rPr>
        <w:t> </w:t>
      </w:r>
      <w:r w:rsidRPr="00047D1A">
        <w:rPr>
          <w:i/>
          <w:lang w:val="fr-FR"/>
        </w:rPr>
        <w:t>: document informel INF.21/Add.1)</w:t>
      </w:r>
    </w:p>
    <w:p w14:paraId="42636C88" w14:textId="77777777" w:rsidR="00047D1A" w:rsidRPr="00047D1A" w:rsidRDefault="00047D1A" w:rsidP="00A841AB">
      <w:pPr>
        <w:pStyle w:val="H1G"/>
      </w:pPr>
      <w:r w:rsidRPr="00047D1A">
        <w:rPr>
          <w:lang w:val="fr-FR"/>
        </w:rPr>
        <w:tab/>
      </w:r>
      <w:r w:rsidRPr="00047D1A">
        <w:rPr>
          <w:lang w:val="fr-FR"/>
        </w:rPr>
        <w:tab/>
        <w:t>Chapitre 2.1</w:t>
      </w:r>
    </w:p>
    <w:p w14:paraId="7B477359" w14:textId="77777777" w:rsidR="00047D1A" w:rsidRPr="00047D1A" w:rsidRDefault="00047D1A" w:rsidP="00EF40DB">
      <w:pPr>
        <w:pStyle w:val="SingleTxtG"/>
        <w:ind w:left="2268" w:hanging="1134"/>
      </w:pPr>
      <w:r w:rsidRPr="00047D1A">
        <w:rPr>
          <w:lang w:val="fr-FR"/>
        </w:rPr>
        <w:t>2.1.3.4.3</w:t>
      </w:r>
      <w:r w:rsidRPr="00047D1A">
        <w:rPr>
          <w:lang w:val="fr-FR"/>
        </w:rPr>
        <w:tab/>
        <w:t>Ajouter le nouveau paragraphe suivant</w:t>
      </w:r>
      <w:r w:rsidR="00A841AB">
        <w:rPr>
          <w:lang w:val="fr-FR"/>
        </w:rPr>
        <w:t> </w:t>
      </w:r>
      <w:r w:rsidRPr="00047D1A">
        <w:rPr>
          <w:lang w:val="fr-FR"/>
        </w:rPr>
        <w:t xml:space="preserve">: </w:t>
      </w:r>
    </w:p>
    <w:p w14:paraId="7F210448" w14:textId="77777777" w:rsidR="00047D1A" w:rsidRPr="00047D1A" w:rsidRDefault="00047D1A" w:rsidP="00EF40DB">
      <w:pPr>
        <w:pStyle w:val="SingleTxtG"/>
        <w:ind w:left="2268" w:hanging="1134"/>
      </w:pPr>
      <w:r w:rsidRPr="00047D1A">
        <w:rPr>
          <w:lang w:val="fr-FR"/>
        </w:rPr>
        <w:t>«</w:t>
      </w:r>
      <w:r w:rsidR="00A841AB">
        <w:rPr>
          <w:lang w:val="fr-FR"/>
        </w:rPr>
        <w:t> </w:t>
      </w:r>
      <w:r w:rsidRPr="00047D1A">
        <w:rPr>
          <w:lang w:val="fr-FR"/>
        </w:rPr>
        <w:t>2.1.3.4.3</w:t>
      </w:r>
      <w:r w:rsidRPr="00047D1A">
        <w:rPr>
          <w:lang w:val="fr-FR"/>
        </w:rPr>
        <w:tab/>
        <w:t>Les objets usagés, par exemple les transformateurs et les condensateurs, contenant une solution ou un mélange visés au 2.1.3.4.2, doivent toujours être classés sous la même rubrique de la classe 9, à condition</w:t>
      </w:r>
      <w:r w:rsidR="00BA15C3">
        <w:rPr>
          <w:lang w:val="fr-FR"/>
        </w:rPr>
        <w:t> </w:t>
      </w:r>
      <w:r w:rsidRPr="00047D1A">
        <w:rPr>
          <w:lang w:val="fr-FR"/>
        </w:rPr>
        <w:t>:</w:t>
      </w:r>
    </w:p>
    <w:p w14:paraId="30AE2E2D" w14:textId="77777777" w:rsidR="00047D1A" w:rsidRPr="00047D1A" w:rsidRDefault="00047D1A" w:rsidP="00BA15C3">
      <w:pPr>
        <w:pStyle w:val="SingleTxtG"/>
        <w:ind w:left="2835" w:hanging="567"/>
      </w:pPr>
      <w:r w:rsidRPr="00047D1A">
        <w:rPr>
          <w:lang w:val="fr-FR"/>
        </w:rPr>
        <w:t>a)</w:t>
      </w:r>
      <w:r w:rsidRPr="00047D1A">
        <w:rPr>
          <w:lang w:val="fr-FR"/>
        </w:rPr>
        <w:tab/>
        <w:t>qu’ils ne contiennent pas en outre de composants dangereux autres que des dibenzodioxines et des dibenzofurannes polyhalogénés de la classe</w:t>
      </w:r>
      <w:r w:rsidR="00BA15C3">
        <w:rPr>
          <w:lang w:val="fr-FR"/>
        </w:rPr>
        <w:t> </w:t>
      </w:r>
      <w:r w:rsidRPr="00047D1A">
        <w:rPr>
          <w:lang w:val="fr-FR"/>
        </w:rPr>
        <w:t>6.1 ou des composants du groupe d’emballage III des classes 3, 4.1, 4.2, 4.3, 5.1, 6.1 ou 8</w:t>
      </w:r>
      <w:r w:rsidR="00BA15C3">
        <w:rPr>
          <w:lang w:val="fr-FR"/>
        </w:rPr>
        <w:t> </w:t>
      </w:r>
      <w:r w:rsidRPr="00047D1A">
        <w:rPr>
          <w:lang w:val="fr-FR"/>
        </w:rPr>
        <w:t>;</w:t>
      </w:r>
    </w:p>
    <w:p w14:paraId="252E3D1B" w14:textId="77777777" w:rsidR="00047D1A" w:rsidRPr="00047D1A" w:rsidRDefault="00047D1A" w:rsidP="00BA15C3">
      <w:pPr>
        <w:pStyle w:val="SingleTxtG"/>
        <w:ind w:left="2835" w:hanging="567"/>
      </w:pPr>
      <w:r w:rsidRPr="00047D1A">
        <w:rPr>
          <w:lang w:val="fr-FR"/>
        </w:rPr>
        <w:t>b)</w:t>
      </w:r>
      <w:r w:rsidRPr="00047D1A">
        <w:rPr>
          <w:lang w:val="fr-FR"/>
        </w:rPr>
        <w:tab/>
        <w:t>qu’ils ne présentent pas les caractéristiques de danger indiquées aux alinéas</w:t>
      </w:r>
      <w:r w:rsidR="00BA15C3">
        <w:rPr>
          <w:lang w:val="fr-FR"/>
        </w:rPr>
        <w:t> </w:t>
      </w:r>
      <w:r w:rsidRPr="00047D1A">
        <w:rPr>
          <w:lang w:val="fr-FR"/>
        </w:rPr>
        <w:t>a) à g) et i) du 2.1.3.5.3.</w:t>
      </w:r>
      <w:r w:rsidR="00BA15C3">
        <w:rPr>
          <w:lang w:val="fr-FR"/>
        </w:rPr>
        <w:t> </w:t>
      </w:r>
      <w:r w:rsidRPr="00047D1A">
        <w:rPr>
          <w:lang w:val="fr-FR"/>
        </w:rPr>
        <w:t>».</w:t>
      </w:r>
    </w:p>
    <w:p w14:paraId="79EAF698" w14:textId="77777777" w:rsidR="00047D1A" w:rsidRPr="00047D1A" w:rsidRDefault="00047D1A" w:rsidP="00047D1A">
      <w:pPr>
        <w:pStyle w:val="SingleTxtG"/>
        <w:rPr>
          <w:i/>
          <w:iCs/>
        </w:rPr>
      </w:pPr>
      <w:r w:rsidRPr="00047D1A">
        <w:rPr>
          <w:i/>
          <w:lang w:val="fr-FR"/>
        </w:rPr>
        <w:t>(Document de référence</w:t>
      </w:r>
      <w:r w:rsidR="00BA15C3">
        <w:rPr>
          <w:i/>
          <w:lang w:val="fr-FR"/>
        </w:rPr>
        <w:t> </w:t>
      </w:r>
      <w:r w:rsidRPr="00047D1A">
        <w:rPr>
          <w:i/>
          <w:lang w:val="fr-FR"/>
        </w:rPr>
        <w:t>: document informel INF.21/Add.1)</w:t>
      </w:r>
    </w:p>
    <w:p w14:paraId="4603117D" w14:textId="77777777" w:rsidR="00047D1A" w:rsidRPr="00047D1A" w:rsidRDefault="00047D1A" w:rsidP="00BA15C3">
      <w:pPr>
        <w:pStyle w:val="H1G"/>
      </w:pPr>
      <w:r w:rsidRPr="00047D1A">
        <w:rPr>
          <w:lang w:val="fr-FR"/>
        </w:rPr>
        <w:lastRenderedPageBreak/>
        <w:tab/>
      </w:r>
      <w:r w:rsidRPr="00047D1A">
        <w:rPr>
          <w:lang w:val="fr-FR"/>
        </w:rPr>
        <w:tab/>
        <w:t>Chapitre 3.2, tableau A</w:t>
      </w:r>
    </w:p>
    <w:p w14:paraId="7EC2D461" w14:textId="77777777" w:rsidR="00047D1A" w:rsidRPr="00047D1A" w:rsidRDefault="00047D1A" w:rsidP="00047D1A">
      <w:pPr>
        <w:pStyle w:val="SingleTxtG"/>
        <w:rPr>
          <w:iCs/>
        </w:rPr>
      </w:pPr>
      <w:r w:rsidRPr="00047D1A">
        <w:rPr>
          <w:lang w:val="fr-FR"/>
        </w:rPr>
        <w:t xml:space="preserve">Pour les </w:t>
      </w:r>
      <w:r w:rsidR="00BA15C3">
        <w:rPr>
          <w:lang w:val="fr-FR"/>
        </w:rPr>
        <w:t>Nos</w:t>
      </w:r>
      <w:r w:rsidRPr="00047D1A">
        <w:rPr>
          <w:lang w:val="fr-FR"/>
        </w:rPr>
        <w:t xml:space="preserve"> ONU 2211 et 3314, insérer «</w:t>
      </w:r>
      <w:r w:rsidR="00BA15C3">
        <w:rPr>
          <w:lang w:val="fr-FR"/>
        </w:rPr>
        <w:t> </w:t>
      </w:r>
      <w:r w:rsidRPr="00047D1A">
        <w:rPr>
          <w:lang w:val="fr-FR"/>
        </w:rPr>
        <w:t>675</w:t>
      </w:r>
      <w:r w:rsidR="00BA15C3">
        <w:rPr>
          <w:lang w:val="fr-FR"/>
        </w:rPr>
        <w:t> </w:t>
      </w:r>
      <w:r w:rsidRPr="00047D1A">
        <w:rPr>
          <w:lang w:val="fr-FR"/>
        </w:rPr>
        <w:t>» dans la colonne (6).</w:t>
      </w:r>
    </w:p>
    <w:p w14:paraId="135A83A1" w14:textId="77777777" w:rsidR="00047D1A" w:rsidRPr="00047D1A" w:rsidRDefault="00047D1A" w:rsidP="00047D1A">
      <w:pPr>
        <w:pStyle w:val="SingleTxtG"/>
        <w:rPr>
          <w:i/>
          <w:iCs/>
        </w:rPr>
      </w:pPr>
      <w:r w:rsidRPr="00047D1A">
        <w:rPr>
          <w:i/>
          <w:lang w:val="fr-FR"/>
        </w:rPr>
        <w:t>(Document de référence</w:t>
      </w:r>
      <w:r w:rsidR="00BA15C3">
        <w:rPr>
          <w:i/>
          <w:lang w:val="fr-FR"/>
        </w:rPr>
        <w:t> </w:t>
      </w:r>
      <w:r w:rsidRPr="00047D1A">
        <w:rPr>
          <w:i/>
          <w:lang w:val="fr-FR"/>
        </w:rPr>
        <w:t>: document informel INF.21/Add.1)</w:t>
      </w:r>
    </w:p>
    <w:p w14:paraId="12786AAB" w14:textId="77777777" w:rsidR="00047D1A" w:rsidRPr="00047D1A" w:rsidRDefault="00047D1A" w:rsidP="00047D1A">
      <w:pPr>
        <w:pStyle w:val="SingleTxtG"/>
      </w:pPr>
      <w:r w:rsidRPr="00047D1A">
        <w:rPr>
          <w:lang w:val="fr-FR"/>
        </w:rPr>
        <w:t xml:space="preserve">Pour le </w:t>
      </w:r>
      <w:r w:rsidR="00BA15C3">
        <w:rPr>
          <w:lang w:val="fr-FR"/>
        </w:rPr>
        <w:t>No</w:t>
      </w:r>
      <w:r w:rsidRPr="00047D1A">
        <w:rPr>
          <w:lang w:val="fr-FR"/>
        </w:rPr>
        <w:t xml:space="preserve"> ONU 2683, dans la colonne (20), remplacer «</w:t>
      </w:r>
      <w:r w:rsidR="00BA15C3">
        <w:rPr>
          <w:lang w:val="fr-FR"/>
        </w:rPr>
        <w:t> </w:t>
      </w:r>
      <w:r w:rsidRPr="00047D1A">
        <w:rPr>
          <w:lang w:val="fr-FR"/>
        </w:rPr>
        <w:t>86</w:t>
      </w:r>
      <w:r w:rsidR="00BA15C3">
        <w:rPr>
          <w:lang w:val="fr-FR"/>
        </w:rPr>
        <w:t> </w:t>
      </w:r>
      <w:r w:rsidRPr="00047D1A">
        <w:rPr>
          <w:lang w:val="fr-FR"/>
        </w:rPr>
        <w:t>» par «</w:t>
      </w:r>
      <w:r w:rsidR="00BA15C3">
        <w:rPr>
          <w:lang w:val="fr-FR"/>
        </w:rPr>
        <w:t> </w:t>
      </w:r>
      <w:r w:rsidRPr="00047D1A">
        <w:rPr>
          <w:lang w:val="fr-FR"/>
        </w:rPr>
        <w:t>836</w:t>
      </w:r>
      <w:r w:rsidR="00BA15C3">
        <w:rPr>
          <w:lang w:val="fr-FR"/>
        </w:rPr>
        <w:t> </w:t>
      </w:r>
      <w:r w:rsidRPr="00047D1A">
        <w:rPr>
          <w:lang w:val="fr-FR"/>
        </w:rPr>
        <w:t xml:space="preserve">». </w:t>
      </w:r>
    </w:p>
    <w:p w14:paraId="30A0D7EC" w14:textId="77777777" w:rsidR="00047D1A" w:rsidRPr="00047D1A" w:rsidRDefault="00047D1A" w:rsidP="00047D1A">
      <w:pPr>
        <w:pStyle w:val="SingleTxtG"/>
        <w:rPr>
          <w:i/>
          <w:iCs/>
        </w:rPr>
      </w:pPr>
      <w:r w:rsidRPr="00047D1A">
        <w:rPr>
          <w:i/>
          <w:lang w:val="fr-FR"/>
        </w:rPr>
        <w:t>(Document de référence</w:t>
      </w:r>
      <w:r w:rsidR="00BA15C3">
        <w:rPr>
          <w:i/>
          <w:lang w:val="fr-FR"/>
        </w:rPr>
        <w:t> </w:t>
      </w:r>
      <w:r w:rsidRPr="00047D1A">
        <w:rPr>
          <w:i/>
          <w:lang w:val="fr-FR"/>
        </w:rPr>
        <w:t>: document informel INF.21/Add.1)</w:t>
      </w:r>
    </w:p>
    <w:p w14:paraId="25883C3F" w14:textId="77777777" w:rsidR="00047D1A" w:rsidRPr="00047D1A" w:rsidRDefault="00047D1A" w:rsidP="00BA15C3">
      <w:pPr>
        <w:pStyle w:val="H1G"/>
      </w:pPr>
      <w:r w:rsidRPr="00047D1A">
        <w:rPr>
          <w:lang w:val="fr-FR"/>
        </w:rPr>
        <w:tab/>
      </w:r>
      <w:r w:rsidRPr="00047D1A">
        <w:rPr>
          <w:lang w:val="fr-FR"/>
        </w:rPr>
        <w:tab/>
        <w:t>Chapitre 3.3</w:t>
      </w:r>
    </w:p>
    <w:p w14:paraId="767C099C" w14:textId="77777777" w:rsidR="00047D1A" w:rsidRPr="00047D1A" w:rsidRDefault="00047D1A" w:rsidP="00630670">
      <w:pPr>
        <w:pStyle w:val="SingleTxtG"/>
        <w:ind w:left="3402" w:hanging="2268"/>
      </w:pPr>
      <w:r w:rsidRPr="00047D1A">
        <w:rPr>
          <w:lang w:val="fr-FR"/>
        </w:rPr>
        <w:t>Disposition spéciale 386</w:t>
      </w:r>
      <w:r w:rsidRPr="00047D1A">
        <w:rPr>
          <w:lang w:val="fr-FR"/>
        </w:rPr>
        <w:tab/>
        <w:t>Dans la première phrase, remplacer «</w:t>
      </w:r>
      <w:r w:rsidR="00630670">
        <w:rPr>
          <w:lang w:val="fr-FR"/>
        </w:rPr>
        <w:t> </w:t>
      </w:r>
      <w:r w:rsidRPr="00047D1A">
        <w:rPr>
          <w:lang w:val="fr-FR"/>
        </w:rPr>
        <w:t>2.2.41.1.17</w:t>
      </w:r>
      <w:r w:rsidR="00630670">
        <w:rPr>
          <w:lang w:val="fr-FR"/>
        </w:rPr>
        <w:t> </w:t>
      </w:r>
      <w:r w:rsidRPr="00047D1A">
        <w:rPr>
          <w:lang w:val="fr-FR"/>
        </w:rPr>
        <w:t>» par «</w:t>
      </w:r>
      <w:r w:rsidR="00630670">
        <w:rPr>
          <w:lang w:val="fr-FR"/>
        </w:rPr>
        <w:t> </w:t>
      </w:r>
      <w:r w:rsidRPr="00047D1A">
        <w:rPr>
          <w:lang w:val="fr-FR"/>
        </w:rPr>
        <w:t>2.2.41.1.21</w:t>
      </w:r>
      <w:r w:rsidR="00630670">
        <w:rPr>
          <w:lang w:val="fr-FR"/>
        </w:rPr>
        <w:t> </w:t>
      </w:r>
      <w:r w:rsidRPr="00047D1A">
        <w:rPr>
          <w:lang w:val="fr-FR"/>
        </w:rPr>
        <w:t xml:space="preserve">». </w:t>
      </w:r>
    </w:p>
    <w:p w14:paraId="0F89A5E1" w14:textId="77777777" w:rsidR="00047D1A" w:rsidRPr="00047D1A" w:rsidRDefault="00047D1A" w:rsidP="00047D1A">
      <w:pPr>
        <w:pStyle w:val="SingleTxtG"/>
        <w:rPr>
          <w:i/>
          <w:iCs/>
        </w:rPr>
      </w:pPr>
      <w:r w:rsidRPr="00047D1A">
        <w:rPr>
          <w:i/>
          <w:lang w:val="fr-FR"/>
        </w:rPr>
        <w:t>(Document de référence</w:t>
      </w:r>
      <w:r w:rsidR="00630670">
        <w:rPr>
          <w:i/>
          <w:lang w:val="fr-FR"/>
        </w:rPr>
        <w:t> </w:t>
      </w:r>
      <w:r w:rsidRPr="00047D1A">
        <w:rPr>
          <w:i/>
          <w:lang w:val="fr-FR"/>
        </w:rPr>
        <w:t>: document informel INF.21/Add.1)</w:t>
      </w:r>
    </w:p>
    <w:p w14:paraId="2EAD5420" w14:textId="77777777" w:rsidR="00047D1A" w:rsidRPr="00047D1A" w:rsidRDefault="00047D1A" w:rsidP="00630670">
      <w:pPr>
        <w:pStyle w:val="SingleTxtG"/>
        <w:ind w:left="3402" w:hanging="2268"/>
      </w:pPr>
      <w:r w:rsidRPr="00047D1A">
        <w:rPr>
          <w:lang w:val="fr-FR"/>
        </w:rPr>
        <w:t>Disposition spéciale 556</w:t>
      </w:r>
      <w:r w:rsidRPr="00047D1A">
        <w:rPr>
          <w:lang w:val="fr-FR"/>
        </w:rPr>
        <w:tab/>
      </w:r>
      <w:r w:rsidRPr="00047D1A">
        <w:rPr>
          <w:lang w:val="fr-FR"/>
        </w:rPr>
        <w:tab/>
        <w:t>Supprimer et ajouter «</w:t>
      </w:r>
      <w:r w:rsidR="00630670">
        <w:rPr>
          <w:lang w:val="fr-FR"/>
        </w:rPr>
        <w:t> </w:t>
      </w:r>
      <w:r w:rsidRPr="00047D1A">
        <w:rPr>
          <w:lang w:val="fr-FR"/>
        </w:rPr>
        <w:t>(Supprimé)</w:t>
      </w:r>
      <w:r w:rsidR="00630670">
        <w:rPr>
          <w:lang w:val="fr-FR"/>
        </w:rPr>
        <w:t> </w:t>
      </w:r>
      <w:r w:rsidRPr="00047D1A">
        <w:rPr>
          <w:lang w:val="fr-FR"/>
        </w:rPr>
        <w:t>».</w:t>
      </w:r>
    </w:p>
    <w:p w14:paraId="4A81099F" w14:textId="77777777" w:rsidR="00047D1A" w:rsidRPr="00047D1A" w:rsidRDefault="00047D1A" w:rsidP="00047D1A">
      <w:pPr>
        <w:pStyle w:val="SingleTxtG"/>
        <w:rPr>
          <w:i/>
          <w:iCs/>
        </w:rPr>
      </w:pPr>
      <w:r w:rsidRPr="00047D1A">
        <w:rPr>
          <w:i/>
          <w:lang w:val="fr-FR"/>
        </w:rPr>
        <w:t>(Document de référence</w:t>
      </w:r>
      <w:r w:rsidR="00630670">
        <w:rPr>
          <w:i/>
          <w:lang w:val="fr-FR"/>
        </w:rPr>
        <w:t> </w:t>
      </w:r>
      <w:r w:rsidRPr="00047D1A">
        <w:rPr>
          <w:i/>
          <w:lang w:val="fr-FR"/>
        </w:rPr>
        <w:t>: document informel INF.21/Add.1)</w:t>
      </w:r>
    </w:p>
    <w:p w14:paraId="535AE2DD" w14:textId="77777777" w:rsidR="00047D1A" w:rsidRPr="00047D1A" w:rsidRDefault="00047D1A" w:rsidP="00630670">
      <w:pPr>
        <w:pStyle w:val="SingleTxtG"/>
        <w:ind w:left="3402" w:hanging="2268"/>
      </w:pPr>
      <w:r w:rsidRPr="00047D1A">
        <w:rPr>
          <w:lang w:val="fr-FR"/>
        </w:rPr>
        <w:t>Disposition spéciale 675</w:t>
      </w:r>
      <w:r w:rsidRPr="00047D1A">
        <w:rPr>
          <w:lang w:val="fr-FR"/>
        </w:rPr>
        <w:tab/>
      </w:r>
      <w:r w:rsidRPr="00047D1A">
        <w:rPr>
          <w:lang w:val="fr-FR"/>
        </w:rPr>
        <w:tab/>
        <w:t>Ajouter la nouvelle disposition spéciale suivante</w:t>
      </w:r>
      <w:r w:rsidR="00630670">
        <w:rPr>
          <w:lang w:val="fr-FR"/>
        </w:rPr>
        <w:t> </w:t>
      </w:r>
      <w:r w:rsidRPr="00047D1A">
        <w:rPr>
          <w:lang w:val="fr-FR"/>
        </w:rPr>
        <w:t>:</w:t>
      </w:r>
    </w:p>
    <w:p w14:paraId="60BE2AC6" w14:textId="77777777" w:rsidR="00047D1A" w:rsidRPr="00047D1A" w:rsidRDefault="00047D1A" w:rsidP="00630670">
      <w:pPr>
        <w:pStyle w:val="SingleTxtG"/>
        <w:ind w:left="2268" w:hanging="1134"/>
      </w:pPr>
      <w:r w:rsidRPr="00047D1A">
        <w:rPr>
          <w:lang w:val="fr-FR"/>
        </w:rPr>
        <w:t>«</w:t>
      </w:r>
      <w:r w:rsidR="00630670">
        <w:rPr>
          <w:lang w:val="fr-FR"/>
        </w:rPr>
        <w:t> </w:t>
      </w:r>
      <w:r w:rsidRPr="00047D1A">
        <w:rPr>
          <w:lang w:val="fr-FR"/>
        </w:rPr>
        <w:t>675.</w:t>
      </w:r>
      <w:r w:rsidRPr="00047D1A">
        <w:rPr>
          <w:lang w:val="fr-FR"/>
        </w:rPr>
        <w:tab/>
        <w:t>Pour les colis contenant ces marchandises dangereuses, le chargement en commun avec des matières ou objets de la classe 1, à l’exception du 1.4S, est interdit</w:t>
      </w:r>
      <w:r w:rsidR="00630670">
        <w:rPr>
          <w:lang w:val="fr-FR"/>
        </w:rPr>
        <w:t> </w:t>
      </w:r>
      <w:r w:rsidRPr="00047D1A">
        <w:rPr>
          <w:lang w:val="fr-FR"/>
        </w:rPr>
        <w:t>.».</w:t>
      </w:r>
    </w:p>
    <w:p w14:paraId="7A7BDCBF" w14:textId="77777777" w:rsidR="00047D1A" w:rsidRPr="00047D1A" w:rsidRDefault="00047D1A" w:rsidP="00047D1A">
      <w:pPr>
        <w:pStyle w:val="SingleTxtG"/>
        <w:rPr>
          <w:i/>
          <w:iCs/>
        </w:rPr>
      </w:pPr>
      <w:r w:rsidRPr="00047D1A">
        <w:rPr>
          <w:i/>
          <w:lang w:val="fr-FR"/>
        </w:rPr>
        <w:t>(Document de référence</w:t>
      </w:r>
      <w:r w:rsidR="00630670">
        <w:rPr>
          <w:i/>
          <w:lang w:val="fr-FR"/>
        </w:rPr>
        <w:t> </w:t>
      </w:r>
      <w:r w:rsidRPr="00047D1A">
        <w:rPr>
          <w:i/>
          <w:lang w:val="fr-FR"/>
        </w:rPr>
        <w:t>: document informel INF.21/Add.1)</w:t>
      </w:r>
    </w:p>
    <w:p w14:paraId="7CD07E06" w14:textId="77777777" w:rsidR="00047D1A" w:rsidRPr="00047D1A" w:rsidRDefault="00047D1A" w:rsidP="00630670">
      <w:pPr>
        <w:pStyle w:val="H1G"/>
      </w:pPr>
      <w:r w:rsidRPr="00047D1A">
        <w:rPr>
          <w:lang w:val="fr-FR"/>
        </w:rPr>
        <w:tab/>
      </w:r>
      <w:r w:rsidRPr="00047D1A">
        <w:rPr>
          <w:lang w:val="fr-FR"/>
        </w:rPr>
        <w:tab/>
        <w:t>Chapitre 5.3</w:t>
      </w:r>
    </w:p>
    <w:p w14:paraId="657FA915" w14:textId="77777777" w:rsidR="00047D1A" w:rsidRPr="00047D1A" w:rsidRDefault="00047D1A" w:rsidP="00EF40DB">
      <w:pPr>
        <w:pStyle w:val="SingleTxtG"/>
        <w:ind w:left="2268" w:hanging="1134"/>
      </w:pPr>
      <w:r w:rsidRPr="00047D1A">
        <w:rPr>
          <w:lang w:val="fr-FR"/>
        </w:rPr>
        <w:t>5.3.2.3.2</w:t>
      </w:r>
      <w:r w:rsidRPr="00047D1A">
        <w:rPr>
          <w:lang w:val="fr-FR"/>
        </w:rPr>
        <w:tab/>
        <w:t>Après «</w:t>
      </w:r>
      <w:r w:rsidR="00630670">
        <w:rPr>
          <w:lang w:val="fr-FR"/>
        </w:rPr>
        <w:t> </w:t>
      </w:r>
      <w:r w:rsidRPr="00047D1A">
        <w:rPr>
          <w:lang w:val="fr-FR"/>
        </w:rPr>
        <w:t>X83</w:t>
      </w:r>
      <w:r w:rsidR="00630670">
        <w:rPr>
          <w:lang w:val="fr-FR"/>
        </w:rPr>
        <w:t> </w:t>
      </w:r>
      <w:r w:rsidRPr="00047D1A">
        <w:rPr>
          <w:lang w:val="fr-FR"/>
        </w:rPr>
        <w:t>», insérer le nouveau numéro d’identification de danger 836 suivant</w:t>
      </w:r>
      <w:r w:rsidR="00040D08">
        <w:rPr>
          <w:lang w:val="fr-FR"/>
        </w:rPr>
        <w:t> </w:t>
      </w:r>
      <w:r w:rsidRPr="00047D1A">
        <w:rPr>
          <w:lang w:val="fr-FR"/>
        </w:rPr>
        <w:t>:</w:t>
      </w:r>
    </w:p>
    <w:p w14:paraId="6D868309" w14:textId="77777777" w:rsidR="00047D1A" w:rsidRPr="00047D1A" w:rsidRDefault="00047D1A" w:rsidP="00040D08">
      <w:pPr>
        <w:pStyle w:val="SingleTxtG"/>
        <w:ind w:left="2268" w:hanging="1134"/>
        <w:rPr>
          <w:bCs/>
        </w:rPr>
      </w:pPr>
      <w:r w:rsidRPr="00047D1A">
        <w:rPr>
          <w:lang w:val="fr-FR"/>
        </w:rPr>
        <w:t>«</w:t>
      </w:r>
      <w:r w:rsidR="00040D08">
        <w:rPr>
          <w:lang w:val="fr-FR"/>
        </w:rPr>
        <w:t> </w:t>
      </w:r>
      <w:r w:rsidRPr="00047D1A">
        <w:rPr>
          <w:lang w:val="fr-FR"/>
        </w:rPr>
        <w:t>836.</w:t>
      </w:r>
      <w:r w:rsidRPr="00047D1A">
        <w:rPr>
          <w:lang w:val="fr-FR"/>
        </w:rPr>
        <w:tab/>
        <w:t>Matière corrosive ou faiblement corrosive, inflammable (point d’éclair de 23</w:t>
      </w:r>
      <w:r w:rsidR="00040D08">
        <w:rPr>
          <w:lang w:val="fr-FR"/>
        </w:rPr>
        <w:t> °</w:t>
      </w:r>
      <w:r w:rsidRPr="00047D1A">
        <w:rPr>
          <w:lang w:val="fr-FR"/>
        </w:rPr>
        <w:t>C à 60</w:t>
      </w:r>
      <w:r w:rsidR="00040D08">
        <w:rPr>
          <w:lang w:val="fr-FR"/>
        </w:rPr>
        <w:t> °</w:t>
      </w:r>
      <w:r w:rsidRPr="00047D1A">
        <w:rPr>
          <w:lang w:val="fr-FR"/>
        </w:rPr>
        <w:t>C, valeurs limites comprises) et toxique</w:t>
      </w:r>
      <w:r w:rsidR="00040D08">
        <w:rPr>
          <w:lang w:val="fr-FR"/>
        </w:rPr>
        <w:t> </w:t>
      </w:r>
      <w:r w:rsidR="007C71F2">
        <w:rPr>
          <w:lang w:val="fr-FR"/>
        </w:rPr>
        <w:t>.</w:t>
      </w:r>
      <w:r w:rsidRPr="00047D1A">
        <w:rPr>
          <w:lang w:val="fr-FR"/>
        </w:rPr>
        <w:t>».</w:t>
      </w:r>
    </w:p>
    <w:p w14:paraId="5C5DEC80" w14:textId="77777777" w:rsidR="00047D1A" w:rsidRPr="00047D1A" w:rsidRDefault="00047D1A" w:rsidP="00047D1A">
      <w:pPr>
        <w:pStyle w:val="SingleTxtG"/>
        <w:rPr>
          <w:i/>
          <w:iCs/>
        </w:rPr>
      </w:pPr>
      <w:r w:rsidRPr="00047D1A">
        <w:rPr>
          <w:i/>
          <w:lang w:val="fr-FR"/>
        </w:rPr>
        <w:t>(Document de référence</w:t>
      </w:r>
      <w:r w:rsidR="00040D08">
        <w:rPr>
          <w:i/>
          <w:lang w:val="fr-FR"/>
        </w:rPr>
        <w:t> </w:t>
      </w:r>
      <w:r w:rsidRPr="00047D1A">
        <w:rPr>
          <w:i/>
          <w:lang w:val="fr-FR"/>
        </w:rPr>
        <w:t>: document informel INF.21/Add.1)</w:t>
      </w:r>
    </w:p>
    <w:p w14:paraId="1A46CAA3" w14:textId="77777777" w:rsidR="00047D1A" w:rsidRPr="00047D1A" w:rsidRDefault="00047D1A" w:rsidP="00040D08">
      <w:pPr>
        <w:pStyle w:val="H1G"/>
      </w:pPr>
      <w:r w:rsidRPr="00047D1A">
        <w:rPr>
          <w:lang w:val="fr-FR"/>
        </w:rPr>
        <w:tab/>
      </w:r>
      <w:r w:rsidRPr="00047D1A">
        <w:rPr>
          <w:lang w:val="fr-FR"/>
        </w:rPr>
        <w:tab/>
        <w:t>Chapitre 6.2</w:t>
      </w:r>
    </w:p>
    <w:p w14:paraId="28D8846A" w14:textId="77777777" w:rsidR="00047D1A" w:rsidRPr="00047D1A" w:rsidRDefault="00047D1A" w:rsidP="00EF40DB">
      <w:pPr>
        <w:pStyle w:val="SingleTxtG"/>
        <w:ind w:left="2268" w:hanging="1134"/>
      </w:pPr>
      <w:r w:rsidRPr="00047D1A">
        <w:rPr>
          <w:lang w:val="fr-FR"/>
        </w:rPr>
        <w:t>6.2.3.5.1</w:t>
      </w:r>
      <w:r w:rsidRPr="00047D1A">
        <w:rPr>
          <w:lang w:val="fr-FR"/>
        </w:rPr>
        <w:tab/>
        <w:t xml:space="preserve">Remplacer le </w:t>
      </w:r>
      <w:r w:rsidR="00040D08" w:rsidRPr="00047D1A">
        <w:rPr>
          <w:lang w:val="fr-FR"/>
        </w:rPr>
        <w:t xml:space="preserve">NOTA </w:t>
      </w:r>
      <w:r w:rsidRPr="00047D1A">
        <w:rPr>
          <w:lang w:val="fr-FR"/>
        </w:rPr>
        <w:t>3 par le texte suivant</w:t>
      </w:r>
      <w:r w:rsidR="00040D08">
        <w:rPr>
          <w:lang w:val="fr-FR"/>
        </w:rPr>
        <w:t> </w:t>
      </w:r>
      <w:r w:rsidRPr="00047D1A">
        <w:rPr>
          <w:lang w:val="fr-FR"/>
        </w:rPr>
        <w:t>:</w:t>
      </w:r>
    </w:p>
    <w:p w14:paraId="155CAF00" w14:textId="77777777" w:rsidR="00047D1A" w:rsidRPr="00047D1A" w:rsidRDefault="00047D1A" w:rsidP="00040D08">
      <w:pPr>
        <w:pStyle w:val="SingleTxtG"/>
        <w:ind w:left="2268" w:hanging="1134"/>
        <w:rPr>
          <w:i/>
        </w:rPr>
      </w:pPr>
      <w:r w:rsidRPr="00047D1A">
        <w:rPr>
          <w:lang w:val="fr-FR"/>
        </w:rPr>
        <w:t>«</w:t>
      </w:r>
      <w:r w:rsidR="00040D08">
        <w:rPr>
          <w:lang w:val="fr-FR"/>
        </w:rPr>
        <w:t> </w:t>
      </w:r>
      <w:r w:rsidRPr="00047D1A">
        <w:rPr>
          <w:b/>
          <w:i/>
          <w:lang w:val="fr-FR"/>
        </w:rPr>
        <w:t>3</w:t>
      </w:r>
      <w:r w:rsidR="00F871EF">
        <w:rPr>
          <w:b/>
          <w:i/>
          <w:lang w:val="fr-FR"/>
        </w:rPr>
        <w:t> </w:t>
      </w:r>
      <w:r w:rsidRPr="00047D1A">
        <w:rPr>
          <w:b/>
          <w:i/>
          <w:lang w:val="fr-FR"/>
        </w:rPr>
        <w:t>:</w:t>
      </w:r>
      <w:r w:rsidRPr="00047D1A">
        <w:rPr>
          <w:i/>
          <w:lang w:val="fr-FR"/>
        </w:rPr>
        <w:tab/>
        <w:t>Le contrôle du 6.2.1.6.1 b) et l’épreuve de pression hydraulique du 6.2.1.6.1</w:t>
      </w:r>
      <w:r w:rsidR="00040D08">
        <w:rPr>
          <w:i/>
          <w:lang w:val="fr-FR"/>
        </w:rPr>
        <w:t> </w:t>
      </w:r>
      <w:r w:rsidRPr="00047D1A">
        <w:rPr>
          <w:i/>
          <w:lang w:val="fr-FR"/>
        </w:rPr>
        <w:t>d) peuvent être remplacés par un examen ultrasonique réalisé conformément à la norme EN ISO 18119:[2018] pour les bouteilles et les tubes, sans soudure, en acier ou en alliages d’aluminium. Nonobstant l’article</w:t>
      </w:r>
      <w:r w:rsidR="00040D08">
        <w:rPr>
          <w:i/>
          <w:lang w:val="fr-FR"/>
        </w:rPr>
        <w:t> </w:t>
      </w:r>
      <w:r w:rsidRPr="00047D1A">
        <w:rPr>
          <w:i/>
          <w:lang w:val="fr-FR"/>
        </w:rPr>
        <w:t>B.1 de cette norme, toutes les bouteilles et tubes dont l’épaisseur de paroi est inférieure à l’épaisseur minimale de calcul doivent être rejetés.</w:t>
      </w:r>
      <w:r w:rsidR="00040D08">
        <w:rPr>
          <w:i/>
          <w:lang w:val="fr-FR"/>
        </w:rPr>
        <w:t> </w:t>
      </w:r>
      <w:r w:rsidRPr="00047D1A">
        <w:rPr>
          <w:lang w:val="fr-FR"/>
        </w:rPr>
        <w:t xml:space="preserve">». </w:t>
      </w:r>
    </w:p>
    <w:p w14:paraId="1FB25A56" w14:textId="77777777" w:rsidR="00047D1A" w:rsidRPr="00047D1A" w:rsidRDefault="00047D1A" w:rsidP="00047D1A">
      <w:pPr>
        <w:pStyle w:val="SingleTxtG"/>
        <w:rPr>
          <w:i/>
          <w:iCs/>
        </w:rPr>
      </w:pPr>
      <w:r w:rsidRPr="00047D1A">
        <w:rPr>
          <w:i/>
          <w:lang w:val="fr-FR"/>
        </w:rPr>
        <w:t>(Document de référence</w:t>
      </w:r>
      <w:r w:rsidR="00C335A1">
        <w:rPr>
          <w:i/>
          <w:lang w:val="fr-FR"/>
        </w:rPr>
        <w:t> </w:t>
      </w:r>
      <w:r w:rsidRPr="00047D1A">
        <w:rPr>
          <w:i/>
          <w:lang w:val="fr-FR"/>
        </w:rPr>
        <w:t>: document informel INF.21/Add.1)</w:t>
      </w:r>
    </w:p>
    <w:p w14:paraId="184045B9" w14:textId="77777777" w:rsidR="00047D1A" w:rsidRPr="00047D1A" w:rsidRDefault="00047D1A" w:rsidP="00EF40DB">
      <w:pPr>
        <w:pStyle w:val="SingleTxtG"/>
        <w:ind w:left="2268" w:hanging="1134"/>
      </w:pPr>
      <w:r w:rsidRPr="00047D1A">
        <w:rPr>
          <w:lang w:val="fr-FR"/>
        </w:rPr>
        <w:t>6.2.6.1.5</w:t>
      </w:r>
      <w:r w:rsidRPr="00047D1A">
        <w:rPr>
          <w:lang w:val="fr-FR"/>
        </w:rPr>
        <w:tab/>
        <w:t>Modifier la première phrase comme suit</w:t>
      </w:r>
      <w:r w:rsidR="00C335A1">
        <w:rPr>
          <w:lang w:val="fr-FR"/>
        </w:rPr>
        <w:t> </w:t>
      </w:r>
      <w:r w:rsidRPr="00047D1A">
        <w:rPr>
          <w:lang w:val="fr-FR"/>
        </w:rPr>
        <w:t xml:space="preserve">: </w:t>
      </w:r>
    </w:p>
    <w:p w14:paraId="74BF91B0" w14:textId="77777777" w:rsidR="00047D1A" w:rsidRPr="00047D1A" w:rsidRDefault="00047D1A" w:rsidP="00C335A1">
      <w:pPr>
        <w:pStyle w:val="SingleTxtG"/>
        <w:ind w:left="2268"/>
      </w:pPr>
      <w:r w:rsidRPr="00047D1A">
        <w:rPr>
          <w:lang w:val="fr-FR"/>
        </w:rPr>
        <w:t>«</w:t>
      </w:r>
      <w:r w:rsidR="00C335A1">
        <w:rPr>
          <w:lang w:val="fr-FR"/>
        </w:rPr>
        <w:t> </w:t>
      </w:r>
      <w:r w:rsidRPr="00047D1A">
        <w:rPr>
          <w:lang w:val="fr-FR"/>
        </w:rPr>
        <w:t>La pression intérieure des générateurs d’aérosols à 50</w:t>
      </w:r>
      <w:r w:rsidR="00C335A1">
        <w:rPr>
          <w:lang w:val="fr-FR"/>
        </w:rPr>
        <w:t> °</w:t>
      </w:r>
      <w:r w:rsidRPr="00047D1A">
        <w:rPr>
          <w:lang w:val="fr-FR"/>
        </w:rPr>
        <w:t>C ne doit dépasser ni les deux tiers de la pression d’épreuve, ni 1,2</w:t>
      </w:r>
      <w:r w:rsidR="00C335A1">
        <w:rPr>
          <w:lang w:val="fr-FR"/>
        </w:rPr>
        <w:t> </w:t>
      </w:r>
      <w:r w:rsidRPr="00047D1A">
        <w:rPr>
          <w:lang w:val="fr-FR"/>
        </w:rPr>
        <w:t>MPa (12</w:t>
      </w:r>
      <w:r w:rsidR="00C335A1">
        <w:rPr>
          <w:lang w:val="fr-FR"/>
        </w:rPr>
        <w:t> </w:t>
      </w:r>
      <w:r w:rsidRPr="00047D1A">
        <w:rPr>
          <w:lang w:val="fr-FR"/>
        </w:rPr>
        <w:t>bar) en cas d’utilisation de gaz liquéfié inflammable, 1,32</w:t>
      </w:r>
      <w:r w:rsidR="00C335A1">
        <w:rPr>
          <w:lang w:val="fr-FR"/>
        </w:rPr>
        <w:t> </w:t>
      </w:r>
      <w:r w:rsidRPr="00047D1A">
        <w:rPr>
          <w:lang w:val="fr-FR"/>
        </w:rPr>
        <w:t>MPa (13,2</w:t>
      </w:r>
      <w:r w:rsidR="00C335A1">
        <w:rPr>
          <w:lang w:val="fr-FR"/>
        </w:rPr>
        <w:t> </w:t>
      </w:r>
      <w:r w:rsidRPr="00047D1A">
        <w:rPr>
          <w:lang w:val="fr-FR"/>
        </w:rPr>
        <w:t>bar) en cas d’utilisation de gaz liquéfié non inflammable et 1,5</w:t>
      </w:r>
      <w:r w:rsidR="00C335A1">
        <w:rPr>
          <w:lang w:val="fr-FR"/>
        </w:rPr>
        <w:t> </w:t>
      </w:r>
      <w:r w:rsidRPr="00047D1A">
        <w:rPr>
          <w:lang w:val="fr-FR"/>
        </w:rPr>
        <w:t>MPa (15</w:t>
      </w:r>
      <w:r w:rsidR="00C335A1">
        <w:rPr>
          <w:lang w:val="fr-FR"/>
        </w:rPr>
        <w:t> </w:t>
      </w:r>
      <w:r w:rsidRPr="00047D1A">
        <w:rPr>
          <w:lang w:val="fr-FR"/>
        </w:rPr>
        <w:t>bar) en cas d’utilisation de gaz comprimé ou dissous non inflammable.</w:t>
      </w:r>
      <w:r w:rsidR="00C335A1">
        <w:rPr>
          <w:lang w:val="fr-FR"/>
        </w:rPr>
        <w:t> </w:t>
      </w:r>
      <w:r w:rsidRPr="00047D1A">
        <w:rPr>
          <w:lang w:val="fr-FR"/>
        </w:rPr>
        <w:t>».</w:t>
      </w:r>
    </w:p>
    <w:p w14:paraId="7444F1B7" w14:textId="77777777" w:rsidR="00047D1A" w:rsidRPr="00047D1A" w:rsidRDefault="00047D1A" w:rsidP="00047D1A">
      <w:pPr>
        <w:pStyle w:val="SingleTxtG"/>
        <w:rPr>
          <w:i/>
          <w:iCs/>
        </w:rPr>
      </w:pPr>
      <w:r w:rsidRPr="00047D1A">
        <w:rPr>
          <w:i/>
          <w:lang w:val="fr-FR"/>
        </w:rPr>
        <w:t>(Document de référence</w:t>
      </w:r>
      <w:r w:rsidR="00C335A1">
        <w:rPr>
          <w:i/>
          <w:lang w:val="fr-FR"/>
        </w:rPr>
        <w:t> </w:t>
      </w:r>
      <w:r w:rsidRPr="00047D1A">
        <w:rPr>
          <w:i/>
          <w:lang w:val="fr-FR"/>
        </w:rPr>
        <w:t>: document informel INF.21/Add.1)</w:t>
      </w:r>
    </w:p>
    <w:p w14:paraId="13F9DF29" w14:textId="77777777" w:rsidR="00047D1A" w:rsidRPr="00047D1A" w:rsidRDefault="00047D1A" w:rsidP="00544F8F">
      <w:pPr>
        <w:pStyle w:val="SingleTxtG"/>
        <w:keepNext/>
        <w:ind w:left="2268" w:hanging="1134"/>
      </w:pPr>
      <w:r w:rsidRPr="00047D1A">
        <w:rPr>
          <w:lang w:val="fr-FR"/>
        </w:rPr>
        <w:lastRenderedPageBreak/>
        <w:t>6.2.4.1</w:t>
      </w:r>
      <w:r w:rsidRPr="00047D1A">
        <w:rPr>
          <w:lang w:val="fr-FR"/>
        </w:rPr>
        <w:tab/>
        <w:t>Modifier le tableau comme suit</w:t>
      </w:r>
      <w:r w:rsidR="00C335A1">
        <w:rPr>
          <w:lang w:val="fr-FR"/>
        </w:rPr>
        <w:t> </w:t>
      </w:r>
      <w:r w:rsidRPr="00047D1A">
        <w:rPr>
          <w:lang w:val="fr-FR"/>
        </w:rPr>
        <w:t>:</w:t>
      </w:r>
    </w:p>
    <w:p w14:paraId="73F2EE19" w14:textId="77777777" w:rsidR="00047D1A" w:rsidRPr="00047D1A" w:rsidRDefault="00047D1A" w:rsidP="00544F8F">
      <w:pPr>
        <w:pStyle w:val="SingleTxtG"/>
        <w:keepNext/>
        <w:ind w:left="2835" w:hanging="567"/>
      </w:pPr>
      <w:r w:rsidRPr="00047D1A">
        <w:rPr>
          <w:lang w:val="fr-FR"/>
        </w:rPr>
        <w:t>a)</w:t>
      </w:r>
      <w:r w:rsidRPr="00047D1A">
        <w:rPr>
          <w:lang w:val="fr-FR"/>
        </w:rPr>
        <w:tab/>
        <w:t>Sous «</w:t>
      </w:r>
      <w:r w:rsidR="00544F8F">
        <w:rPr>
          <w:lang w:val="fr-FR"/>
        </w:rPr>
        <w:t> </w:t>
      </w:r>
      <w:r w:rsidRPr="00047D1A">
        <w:rPr>
          <w:b/>
          <w:lang w:val="fr-FR"/>
        </w:rPr>
        <w:t>Pour la conception et la fabrication</w:t>
      </w:r>
      <w:r w:rsidR="00544F8F">
        <w:rPr>
          <w:b/>
          <w:lang w:val="fr-FR"/>
        </w:rPr>
        <w:t> </w:t>
      </w:r>
      <w:r w:rsidRPr="00047D1A">
        <w:rPr>
          <w:lang w:val="fr-FR"/>
        </w:rPr>
        <w:t>»</w:t>
      </w:r>
      <w:r w:rsidR="00544F8F">
        <w:rPr>
          <w:lang w:val="fr-FR"/>
        </w:rPr>
        <w:t> </w:t>
      </w:r>
      <w:r w:rsidRPr="00047D1A">
        <w:rPr>
          <w:lang w:val="fr-FR"/>
        </w:rPr>
        <w:t>:</w:t>
      </w:r>
    </w:p>
    <w:p w14:paraId="49A53CDA" w14:textId="77777777" w:rsidR="00047D1A" w:rsidRPr="00047D1A" w:rsidRDefault="00047D1A" w:rsidP="00544F8F">
      <w:pPr>
        <w:pStyle w:val="Bullet2G"/>
      </w:pPr>
      <w:r w:rsidRPr="00047D1A">
        <w:rPr>
          <w:lang w:val="fr-FR"/>
        </w:rPr>
        <w:t xml:space="preserve">Insérer le </w:t>
      </w:r>
      <w:r w:rsidR="00544F8F" w:rsidRPr="00047D1A">
        <w:rPr>
          <w:lang w:val="fr-FR"/>
        </w:rPr>
        <w:t xml:space="preserve">NOTA </w:t>
      </w:r>
      <w:r w:rsidRPr="00047D1A">
        <w:rPr>
          <w:lang w:val="fr-FR"/>
        </w:rPr>
        <w:t>suivant à la colonne (2), après les références aux directives 84/525/CEE, 84/526/CEE et 84/527/CEE</w:t>
      </w:r>
      <w:r w:rsidR="00544F8F">
        <w:rPr>
          <w:lang w:val="fr-FR"/>
        </w:rPr>
        <w:t> </w:t>
      </w:r>
      <w:r w:rsidRPr="00047D1A">
        <w:rPr>
          <w:lang w:val="fr-FR"/>
        </w:rPr>
        <w:t>:</w:t>
      </w:r>
    </w:p>
    <w:p w14:paraId="631C5621" w14:textId="77777777" w:rsidR="00047D1A" w:rsidRPr="00047D1A" w:rsidRDefault="00047D1A" w:rsidP="00544F8F">
      <w:pPr>
        <w:pStyle w:val="SingleTxtG"/>
        <w:keepNext/>
        <w:ind w:left="2268"/>
        <w:rPr>
          <w:i/>
        </w:rPr>
      </w:pPr>
      <w:r w:rsidRPr="00047D1A">
        <w:rPr>
          <w:lang w:val="fr-FR"/>
        </w:rPr>
        <w:t>«</w:t>
      </w:r>
      <w:r w:rsidR="00544F8F">
        <w:rPr>
          <w:lang w:val="fr-FR"/>
        </w:rPr>
        <w:t> </w:t>
      </w:r>
      <w:r w:rsidRPr="00047D1A">
        <w:rPr>
          <w:b/>
          <w:i/>
          <w:lang w:val="fr-FR"/>
        </w:rPr>
        <w:t>NOTA</w:t>
      </w:r>
      <w:r w:rsidR="00544F8F">
        <w:rPr>
          <w:b/>
          <w:i/>
          <w:lang w:val="fr-FR"/>
        </w:rPr>
        <w:t> </w:t>
      </w:r>
      <w:r w:rsidRPr="00047D1A">
        <w:rPr>
          <w:i/>
          <w:lang w:val="fr-FR"/>
        </w:rPr>
        <w:t>: Malgré l’abrogation des directives 84/525/CEE, 84/526/CEE et 84/527/CEE, telles que publiées au Journal officiel des Communautés européennes No L300 du 19 novembre 1984, les annexes de ces directives demeurent applicables en tant que normes pour la conception, la fabrication et les contrôle et épreuve initiaux pour les bouteilles à gaz. Ces annexes peuvent être consultées à l’adresse suivante</w:t>
      </w:r>
      <w:r w:rsidR="00434352">
        <w:rPr>
          <w:i/>
          <w:lang w:val="fr-FR"/>
        </w:rPr>
        <w:t> </w:t>
      </w:r>
      <w:r w:rsidRPr="00047D1A">
        <w:rPr>
          <w:i/>
          <w:lang w:val="fr-FR"/>
        </w:rPr>
        <w:t xml:space="preserve">: </w:t>
      </w:r>
      <w:hyperlink r:id="rId8" w:history="1">
        <w:r w:rsidRPr="00434352">
          <w:rPr>
            <w:rStyle w:val="Hyperlink"/>
            <w:i/>
            <w:lang w:val="fr-FR"/>
          </w:rPr>
          <w:t>https://eur-lex.europa.eu/</w:t>
        </w:r>
        <w:r w:rsidR="00546811">
          <w:rPr>
            <w:rStyle w:val="Hyperlink"/>
            <w:i/>
            <w:lang w:val="fr-FR"/>
          </w:rPr>
          <w:br/>
        </w:r>
        <w:r w:rsidRPr="00434352">
          <w:rPr>
            <w:rStyle w:val="Hyperlink"/>
            <w:i/>
            <w:lang w:val="fr-FR"/>
          </w:rPr>
          <w:t>oj/direct-access.html</w:t>
        </w:r>
      </w:hyperlink>
      <w:r w:rsidR="00434352">
        <w:rPr>
          <w:i/>
          <w:lang w:val="fr-FR"/>
        </w:rPr>
        <w:t> .</w:t>
      </w:r>
      <w:r w:rsidRPr="00047D1A">
        <w:rPr>
          <w:lang w:val="fr-FR"/>
        </w:rPr>
        <w:t xml:space="preserve">». </w:t>
      </w:r>
    </w:p>
    <w:p w14:paraId="51210F26" w14:textId="77777777" w:rsidR="00047D1A" w:rsidRPr="00047D1A" w:rsidRDefault="00047D1A" w:rsidP="00434352">
      <w:pPr>
        <w:pStyle w:val="Bullet2G"/>
        <w:rPr>
          <w:i/>
        </w:rPr>
      </w:pPr>
      <w:r w:rsidRPr="00047D1A">
        <w:rPr>
          <w:lang w:val="fr-FR"/>
        </w:rPr>
        <w:t>Pour «</w:t>
      </w:r>
      <w:r w:rsidR="00434352">
        <w:rPr>
          <w:lang w:val="fr-FR"/>
        </w:rPr>
        <w:t> </w:t>
      </w:r>
      <w:r w:rsidRPr="00047D1A">
        <w:rPr>
          <w:lang w:val="fr-FR"/>
        </w:rPr>
        <w:t>EN 12807:2008</w:t>
      </w:r>
      <w:r w:rsidR="00434352">
        <w:rPr>
          <w:lang w:val="fr-FR"/>
        </w:rPr>
        <w:t> </w:t>
      </w:r>
      <w:r w:rsidRPr="00047D1A">
        <w:rPr>
          <w:lang w:val="fr-FR"/>
        </w:rPr>
        <w:t>», dans la colonne (4), remplacer le texte existant par «</w:t>
      </w:r>
      <w:r w:rsidR="00434352">
        <w:rPr>
          <w:lang w:val="fr-FR"/>
        </w:rPr>
        <w:t> </w:t>
      </w:r>
      <w:r w:rsidRPr="00047D1A">
        <w:rPr>
          <w:lang w:val="fr-FR"/>
        </w:rPr>
        <w:t>Entre le 1</w:t>
      </w:r>
      <w:r w:rsidRPr="00434352">
        <w:rPr>
          <w:vertAlign w:val="superscript"/>
          <w:lang w:val="fr-FR"/>
        </w:rPr>
        <w:t>er</w:t>
      </w:r>
      <w:r w:rsidR="00434352">
        <w:rPr>
          <w:lang w:val="fr-FR"/>
        </w:rPr>
        <w:t xml:space="preserve"> </w:t>
      </w:r>
      <w:r w:rsidRPr="00047D1A">
        <w:rPr>
          <w:lang w:val="fr-FR"/>
        </w:rPr>
        <w:t>janvier 20</w:t>
      </w:r>
      <w:r w:rsidR="001F1D8F">
        <w:rPr>
          <w:lang w:val="fr-FR"/>
        </w:rPr>
        <w:t>0</w:t>
      </w:r>
      <w:r w:rsidRPr="00047D1A">
        <w:rPr>
          <w:lang w:val="fr-FR"/>
        </w:rPr>
        <w:t>9 et le 31 décembre 2022</w:t>
      </w:r>
      <w:r w:rsidR="00434352">
        <w:rPr>
          <w:lang w:val="fr-FR"/>
        </w:rPr>
        <w:t> </w:t>
      </w:r>
      <w:r w:rsidRPr="00047D1A">
        <w:rPr>
          <w:lang w:val="fr-FR"/>
        </w:rPr>
        <w:t xml:space="preserve">». </w:t>
      </w:r>
    </w:p>
    <w:p w14:paraId="7C4EF281" w14:textId="77777777" w:rsidR="00047D1A" w:rsidRPr="00047D1A" w:rsidRDefault="00047D1A" w:rsidP="001F1D8F">
      <w:pPr>
        <w:pStyle w:val="Bullet2G"/>
      </w:pPr>
      <w:r w:rsidRPr="00047D1A">
        <w:rPr>
          <w:lang w:val="fr-FR"/>
        </w:rPr>
        <w:t>Après la rubrique existante pour la norme «</w:t>
      </w:r>
      <w:r w:rsidR="001F1D8F">
        <w:rPr>
          <w:lang w:val="fr-FR"/>
        </w:rPr>
        <w:t> </w:t>
      </w:r>
      <w:r w:rsidRPr="00047D1A">
        <w:rPr>
          <w:lang w:val="fr-FR"/>
        </w:rPr>
        <w:t>EN 12807:2008</w:t>
      </w:r>
      <w:r w:rsidR="001F1D8F">
        <w:rPr>
          <w:lang w:val="fr-FR"/>
        </w:rPr>
        <w:t> </w:t>
      </w:r>
      <w:r w:rsidRPr="00047D1A">
        <w:rPr>
          <w:lang w:val="fr-FR"/>
        </w:rPr>
        <w:t>», ajouter la nouvelle rubrique suivante</w:t>
      </w:r>
      <w:r w:rsidR="001F1D8F">
        <w:rPr>
          <w:lang w:val="fr-FR"/>
        </w:rPr>
        <w:t> </w:t>
      </w:r>
      <w:r w:rsidRPr="00047D1A">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4253"/>
        <w:gridCol w:w="1176"/>
        <w:gridCol w:w="1267"/>
        <w:gridCol w:w="452"/>
      </w:tblGrid>
      <w:tr w:rsidR="00047D1A" w:rsidRPr="00CE1950" w14:paraId="6653C48A" w14:textId="77777777" w:rsidTr="00C61D14">
        <w:tc>
          <w:tcPr>
            <w:tcW w:w="1350" w:type="dxa"/>
          </w:tcPr>
          <w:p w14:paraId="7BBA2690" w14:textId="77777777" w:rsidR="00047D1A" w:rsidRPr="00CE1950" w:rsidRDefault="00047D1A" w:rsidP="00C61D14">
            <w:pPr>
              <w:widowControl w:val="0"/>
              <w:spacing w:before="40" w:after="40"/>
              <w:ind w:left="57" w:right="57"/>
              <w:rPr>
                <w:bCs/>
                <w:sz w:val="18"/>
                <w:szCs w:val="18"/>
              </w:rPr>
            </w:pPr>
            <w:r>
              <w:rPr>
                <w:lang w:val="fr-FR"/>
              </w:rPr>
              <w:t>EN 12807:[2019]</w:t>
            </w:r>
          </w:p>
        </w:tc>
        <w:tc>
          <w:tcPr>
            <w:tcW w:w="4230" w:type="dxa"/>
            <w:vAlign w:val="center"/>
          </w:tcPr>
          <w:p w14:paraId="2F664B23" w14:textId="77777777" w:rsidR="00047D1A" w:rsidRPr="00CE1950" w:rsidRDefault="00047D1A" w:rsidP="00C61D14">
            <w:pPr>
              <w:widowControl w:val="0"/>
              <w:spacing w:before="40" w:after="40"/>
              <w:ind w:left="57" w:right="57"/>
              <w:rPr>
                <w:bCs/>
                <w:sz w:val="18"/>
                <w:szCs w:val="18"/>
              </w:rPr>
            </w:pPr>
            <w:r>
              <w:rPr>
                <w:lang w:val="fr-FR"/>
              </w:rPr>
              <w:t xml:space="preserve">Équipement et accessoires pour GPL </w:t>
            </w:r>
            <w:r w:rsidR="001F1D8F">
              <w:rPr>
                <w:lang w:val="fr-FR"/>
              </w:rPr>
              <w:t>− </w:t>
            </w:r>
            <w:r>
              <w:rPr>
                <w:lang w:val="fr-FR"/>
              </w:rPr>
              <w:t xml:space="preserve">Bouteilles transportables et rechargeables en acier brasé pour gaz de pétrole liquéfié (GPL) </w:t>
            </w:r>
            <w:r w:rsidR="001F1D8F">
              <w:rPr>
                <w:lang w:val="fr-FR"/>
              </w:rPr>
              <w:t>−</w:t>
            </w:r>
            <w:r>
              <w:rPr>
                <w:lang w:val="fr-FR"/>
              </w:rPr>
              <w:t xml:space="preserve"> Conception et fabrication</w:t>
            </w:r>
          </w:p>
        </w:tc>
        <w:tc>
          <w:tcPr>
            <w:tcW w:w="1170" w:type="dxa"/>
          </w:tcPr>
          <w:p w14:paraId="025D5C0E" w14:textId="77777777" w:rsidR="00047D1A" w:rsidRPr="00CE1950" w:rsidRDefault="00047D1A" w:rsidP="00C61D14">
            <w:pPr>
              <w:widowControl w:val="0"/>
              <w:spacing w:before="40" w:after="40"/>
              <w:ind w:left="57" w:right="57"/>
              <w:rPr>
                <w:bCs/>
                <w:sz w:val="18"/>
                <w:szCs w:val="18"/>
              </w:rPr>
            </w:pPr>
            <w:r>
              <w:rPr>
                <w:lang w:val="fr-FR"/>
              </w:rPr>
              <w:t>6.2.3.1 et 6.2.3.4</w:t>
            </w:r>
          </w:p>
        </w:tc>
        <w:tc>
          <w:tcPr>
            <w:tcW w:w="1260" w:type="dxa"/>
            <w:shd w:val="clear" w:color="auto" w:fill="auto"/>
          </w:tcPr>
          <w:p w14:paraId="52A12C7F" w14:textId="77777777" w:rsidR="00047D1A" w:rsidRPr="00CE1950" w:rsidRDefault="00047D1A" w:rsidP="00C61D14">
            <w:pPr>
              <w:widowControl w:val="0"/>
              <w:spacing w:before="40" w:after="40"/>
              <w:ind w:left="57" w:right="57"/>
              <w:rPr>
                <w:bCs/>
                <w:sz w:val="18"/>
                <w:szCs w:val="18"/>
              </w:rPr>
            </w:pPr>
            <w:r>
              <w:rPr>
                <w:lang w:val="fr-FR"/>
              </w:rPr>
              <w:t>Jusqu’à nouvel ordre</w:t>
            </w:r>
          </w:p>
        </w:tc>
        <w:tc>
          <w:tcPr>
            <w:tcW w:w="450" w:type="dxa"/>
            <w:shd w:val="clear" w:color="auto" w:fill="auto"/>
          </w:tcPr>
          <w:p w14:paraId="0C34F2D0" w14:textId="77777777" w:rsidR="00047D1A" w:rsidRPr="00CE1950" w:rsidRDefault="00047D1A" w:rsidP="00C61D14">
            <w:pPr>
              <w:widowControl w:val="0"/>
              <w:spacing w:before="40" w:after="40"/>
              <w:ind w:left="57" w:right="57"/>
              <w:rPr>
                <w:bCs/>
                <w:sz w:val="18"/>
                <w:szCs w:val="18"/>
              </w:rPr>
            </w:pPr>
          </w:p>
        </w:tc>
      </w:tr>
    </w:tbl>
    <w:p w14:paraId="36A7DE11" w14:textId="77777777" w:rsidR="00047D1A" w:rsidRPr="00047D1A" w:rsidRDefault="00047D1A" w:rsidP="001F1D8F">
      <w:pPr>
        <w:pStyle w:val="SingleTxtG"/>
        <w:keepNext/>
        <w:spacing w:before="240"/>
        <w:ind w:left="2835" w:hanging="567"/>
      </w:pPr>
      <w:r w:rsidRPr="00047D1A">
        <w:rPr>
          <w:lang w:val="fr-FR"/>
        </w:rPr>
        <w:t>b)</w:t>
      </w:r>
      <w:r w:rsidRPr="00047D1A">
        <w:rPr>
          <w:lang w:val="fr-FR"/>
        </w:rPr>
        <w:tab/>
      </w:r>
      <w:r w:rsidRPr="00047D1A">
        <w:rPr>
          <w:lang w:val="fr-FR"/>
        </w:rPr>
        <w:tab/>
        <w:t>Sous «</w:t>
      </w:r>
      <w:r w:rsidR="001F1D8F">
        <w:rPr>
          <w:lang w:val="fr-FR"/>
        </w:rPr>
        <w:t> </w:t>
      </w:r>
      <w:r w:rsidRPr="00047D1A">
        <w:rPr>
          <w:b/>
          <w:lang w:val="fr-FR"/>
        </w:rPr>
        <w:t>Pour les fermetures</w:t>
      </w:r>
      <w:r w:rsidR="001F1D8F">
        <w:rPr>
          <w:b/>
          <w:lang w:val="fr-FR"/>
        </w:rPr>
        <w:t> </w:t>
      </w:r>
      <w:r w:rsidRPr="00047D1A">
        <w:rPr>
          <w:lang w:val="fr-FR"/>
        </w:rPr>
        <w:t>»</w:t>
      </w:r>
      <w:r w:rsidR="001F1D8F">
        <w:rPr>
          <w:lang w:val="fr-FR"/>
        </w:rPr>
        <w:t> </w:t>
      </w:r>
      <w:r w:rsidRPr="00047D1A">
        <w:rPr>
          <w:lang w:val="fr-FR"/>
        </w:rPr>
        <w:t>:</w:t>
      </w:r>
    </w:p>
    <w:p w14:paraId="60FEF649" w14:textId="77777777" w:rsidR="00047D1A" w:rsidRPr="00047D1A" w:rsidRDefault="00047D1A" w:rsidP="001F1D8F">
      <w:pPr>
        <w:pStyle w:val="Bullet2G"/>
      </w:pPr>
      <w:r w:rsidRPr="00047D1A">
        <w:rPr>
          <w:lang w:val="fr-FR"/>
        </w:rPr>
        <w:t>Pour «</w:t>
      </w:r>
      <w:r w:rsidR="001F1D8F">
        <w:rPr>
          <w:lang w:val="fr-FR"/>
        </w:rPr>
        <w:t> </w:t>
      </w:r>
      <w:r w:rsidRPr="00047D1A">
        <w:rPr>
          <w:lang w:val="fr-FR"/>
        </w:rPr>
        <w:t>EN ISO 17871:2015</w:t>
      </w:r>
      <w:r w:rsidR="001F1D8F">
        <w:rPr>
          <w:lang w:val="fr-FR"/>
        </w:rPr>
        <w:t> </w:t>
      </w:r>
      <w:r w:rsidRPr="00047D1A">
        <w:rPr>
          <w:lang w:val="fr-FR"/>
        </w:rPr>
        <w:t>», dans la colonne (4), remplacer le texte existant par «</w:t>
      </w:r>
      <w:r w:rsidR="001F1D8F">
        <w:rPr>
          <w:lang w:val="fr-FR"/>
        </w:rPr>
        <w:t> </w:t>
      </w:r>
      <w:r w:rsidRPr="00047D1A">
        <w:rPr>
          <w:lang w:val="fr-FR"/>
        </w:rPr>
        <w:t>Entre le 1</w:t>
      </w:r>
      <w:r w:rsidRPr="001F1D8F">
        <w:rPr>
          <w:vertAlign w:val="superscript"/>
          <w:lang w:val="fr-FR"/>
        </w:rPr>
        <w:t>er</w:t>
      </w:r>
      <w:r w:rsidR="001F1D8F">
        <w:rPr>
          <w:lang w:val="fr-FR"/>
        </w:rPr>
        <w:t xml:space="preserve"> </w:t>
      </w:r>
      <w:r w:rsidRPr="00047D1A">
        <w:rPr>
          <w:lang w:val="fr-FR"/>
        </w:rPr>
        <w:t>janvier 2017 et le 31 décembre 2021</w:t>
      </w:r>
      <w:r w:rsidR="001F1D8F">
        <w:rPr>
          <w:lang w:val="fr-FR"/>
        </w:rPr>
        <w:t> </w:t>
      </w:r>
      <w:r w:rsidRPr="00047D1A">
        <w:rPr>
          <w:lang w:val="fr-FR"/>
        </w:rPr>
        <w:t>».</w:t>
      </w:r>
    </w:p>
    <w:p w14:paraId="303B2CA1" w14:textId="77777777" w:rsidR="00047D1A" w:rsidRPr="00047D1A" w:rsidRDefault="00047D1A" w:rsidP="001F1D8F">
      <w:pPr>
        <w:pStyle w:val="Bullet2G"/>
      </w:pPr>
      <w:r w:rsidRPr="00047D1A">
        <w:rPr>
          <w:lang w:val="fr-FR"/>
        </w:rPr>
        <w:t>Après la rubrique existante pour la norme «</w:t>
      </w:r>
      <w:r w:rsidR="001F1D8F">
        <w:rPr>
          <w:lang w:val="fr-FR"/>
        </w:rPr>
        <w:t> </w:t>
      </w:r>
      <w:r w:rsidRPr="00047D1A">
        <w:rPr>
          <w:lang w:val="fr-FR"/>
        </w:rPr>
        <w:t>EN ISO 17871:2015</w:t>
      </w:r>
      <w:r w:rsidR="001F1D8F">
        <w:rPr>
          <w:lang w:val="fr-FR"/>
        </w:rPr>
        <w:t> </w:t>
      </w:r>
      <w:r w:rsidRPr="00047D1A">
        <w:rPr>
          <w:lang w:val="fr-FR"/>
        </w:rPr>
        <w:t>», ajouter la nouvelle rubrique suivante</w:t>
      </w:r>
      <w:r w:rsidR="001F1D8F">
        <w:rPr>
          <w:lang w:val="fr-FR"/>
        </w:rPr>
        <w:t> </w:t>
      </w:r>
      <w:r w:rsidRPr="00047D1A">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047D1A" w:rsidRPr="00CE1950" w14:paraId="21CF8209" w14:textId="77777777" w:rsidTr="00C5424A">
        <w:tc>
          <w:tcPr>
            <w:tcW w:w="1350" w:type="dxa"/>
          </w:tcPr>
          <w:p w14:paraId="692BFBB8" w14:textId="77777777" w:rsidR="00047D1A" w:rsidRPr="00C61D14" w:rsidRDefault="00047D1A" w:rsidP="00C5424A">
            <w:pPr>
              <w:widowControl w:val="0"/>
              <w:spacing w:before="40" w:after="40"/>
              <w:ind w:left="57" w:right="57"/>
              <w:rPr>
                <w:lang w:val="fr-FR"/>
              </w:rPr>
            </w:pPr>
            <w:r>
              <w:rPr>
                <w:lang w:val="fr-FR"/>
              </w:rPr>
              <w:t>EN ISO 17871:2015+</w:t>
            </w:r>
            <w:r w:rsidR="00F22372">
              <w:rPr>
                <w:lang w:val="fr-FR"/>
              </w:rPr>
              <w:br/>
            </w:r>
            <w:r>
              <w:rPr>
                <w:lang w:val="fr-FR"/>
              </w:rPr>
              <w:t>A1:2018</w:t>
            </w:r>
          </w:p>
        </w:tc>
        <w:tc>
          <w:tcPr>
            <w:tcW w:w="4230" w:type="dxa"/>
          </w:tcPr>
          <w:p w14:paraId="5764BCE0" w14:textId="77777777" w:rsidR="00047D1A" w:rsidRPr="00C61D14" w:rsidRDefault="00047D1A" w:rsidP="00C5424A">
            <w:pPr>
              <w:widowControl w:val="0"/>
              <w:spacing w:before="40" w:after="40"/>
              <w:ind w:left="57" w:right="57"/>
              <w:rPr>
                <w:lang w:val="fr-FR"/>
              </w:rPr>
            </w:pPr>
            <w:r>
              <w:rPr>
                <w:lang w:val="fr-FR"/>
              </w:rPr>
              <w:t xml:space="preserve">Bouteilles à gaz </w:t>
            </w:r>
            <w:r w:rsidR="00CA2F7A">
              <w:rPr>
                <w:lang w:val="fr-FR"/>
              </w:rPr>
              <w:t>−</w:t>
            </w:r>
            <w:r>
              <w:rPr>
                <w:lang w:val="fr-FR"/>
              </w:rPr>
              <w:t xml:space="preserve"> Robinets de bouteilles à ouverture rapide </w:t>
            </w:r>
            <w:r w:rsidR="00CA2F7A">
              <w:rPr>
                <w:lang w:val="fr-FR"/>
              </w:rPr>
              <w:t>−</w:t>
            </w:r>
            <w:r>
              <w:rPr>
                <w:lang w:val="fr-FR"/>
              </w:rPr>
              <w:t xml:space="preserve"> Spécifications et essais de type</w:t>
            </w:r>
          </w:p>
        </w:tc>
        <w:tc>
          <w:tcPr>
            <w:tcW w:w="1170" w:type="dxa"/>
          </w:tcPr>
          <w:p w14:paraId="4EAEC0F4" w14:textId="77777777" w:rsidR="00047D1A" w:rsidRPr="00C61D14" w:rsidRDefault="00047D1A" w:rsidP="00C5424A">
            <w:pPr>
              <w:widowControl w:val="0"/>
              <w:spacing w:before="40" w:after="40"/>
              <w:ind w:left="57" w:right="57"/>
              <w:rPr>
                <w:lang w:val="fr-FR"/>
              </w:rPr>
            </w:pPr>
            <w:r>
              <w:rPr>
                <w:lang w:val="fr-FR"/>
              </w:rPr>
              <w:t>6.2.3.1, 6.2.3.3 et 6.2.3.4</w:t>
            </w:r>
          </w:p>
        </w:tc>
        <w:tc>
          <w:tcPr>
            <w:tcW w:w="1260" w:type="dxa"/>
          </w:tcPr>
          <w:p w14:paraId="212D39D8" w14:textId="77777777" w:rsidR="00047D1A" w:rsidRPr="00C61D14" w:rsidRDefault="00047D1A" w:rsidP="00C5424A">
            <w:pPr>
              <w:widowControl w:val="0"/>
              <w:spacing w:before="40" w:after="40"/>
              <w:ind w:left="57" w:right="57"/>
              <w:rPr>
                <w:lang w:val="fr-FR"/>
              </w:rPr>
            </w:pPr>
            <w:r>
              <w:rPr>
                <w:lang w:val="fr-FR"/>
              </w:rPr>
              <w:t>Jusqu’à nouvel ordre</w:t>
            </w:r>
          </w:p>
        </w:tc>
        <w:tc>
          <w:tcPr>
            <w:tcW w:w="450" w:type="dxa"/>
          </w:tcPr>
          <w:p w14:paraId="5F10C7D8" w14:textId="77777777" w:rsidR="00047D1A" w:rsidRPr="00C61D14" w:rsidRDefault="00047D1A" w:rsidP="00C5424A">
            <w:pPr>
              <w:widowControl w:val="0"/>
              <w:spacing w:before="40" w:after="40"/>
              <w:ind w:left="57" w:right="57"/>
              <w:rPr>
                <w:lang w:val="fr-FR"/>
              </w:rPr>
            </w:pPr>
          </w:p>
        </w:tc>
      </w:tr>
    </w:tbl>
    <w:p w14:paraId="30BC6192" w14:textId="77777777" w:rsidR="00047D1A" w:rsidRPr="00047D1A" w:rsidRDefault="00047D1A" w:rsidP="00CA2F7A">
      <w:pPr>
        <w:pStyle w:val="SingleTxtG"/>
        <w:spacing w:before="240"/>
        <w:rPr>
          <w:i/>
          <w:iCs/>
        </w:rPr>
      </w:pPr>
      <w:r w:rsidRPr="00047D1A">
        <w:rPr>
          <w:i/>
          <w:lang w:val="fr-FR"/>
        </w:rPr>
        <w:t>(Document de référence</w:t>
      </w:r>
      <w:r w:rsidR="00CA2F7A">
        <w:rPr>
          <w:i/>
          <w:lang w:val="fr-FR"/>
        </w:rPr>
        <w:t> </w:t>
      </w:r>
      <w:r w:rsidRPr="00047D1A">
        <w:rPr>
          <w:i/>
          <w:lang w:val="fr-FR"/>
        </w:rPr>
        <w:t>: document informel INF.21/Add.1)</w:t>
      </w:r>
    </w:p>
    <w:p w14:paraId="45F7F0C3" w14:textId="77777777" w:rsidR="00047D1A" w:rsidRPr="00047D1A" w:rsidRDefault="00047D1A" w:rsidP="00CA2F7A">
      <w:pPr>
        <w:pStyle w:val="SingleTxtG"/>
        <w:keepNext/>
        <w:ind w:left="2268" w:hanging="1134"/>
      </w:pPr>
      <w:r w:rsidRPr="00047D1A">
        <w:rPr>
          <w:lang w:val="fr-FR"/>
        </w:rPr>
        <w:t>6.2.4.2</w:t>
      </w:r>
      <w:r w:rsidRPr="00047D1A">
        <w:rPr>
          <w:lang w:val="fr-FR"/>
        </w:rPr>
        <w:tab/>
        <w:t>Modifier le tableau comme suit</w:t>
      </w:r>
      <w:r w:rsidR="00CA2F7A">
        <w:rPr>
          <w:lang w:val="fr-FR"/>
        </w:rPr>
        <w:t> </w:t>
      </w:r>
      <w:r w:rsidRPr="00047D1A">
        <w:rPr>
          <w:lang w:val="fr-FR"/>
        </w:rPr>
        <w:t>:</w:t>
      </w:r>
    </w:p>
    <w:p w14:paraId="53DC30B2" w14:textId="77777777" w:rsidR="00047D1A" w:rsidRPr="00047D1A" w:rsidRDefault="00047D1A" w:rsidP="00CA2F7A">
      <w:pPr>
        <w:pStyle w:val="Bullet2G"/>
        <w:rPr>
          <w:iCs/>
        </w:rPr>
      </w:pPr>
      <w:r w:rsidRPr="00047D1A">
        <w:rPr>
          <w:lang w:val="fr-FR"/>
        </w:rPr>
        <w:t>Pour «</w:t>
      </w:r>
      <w:r w:rsidR="00CA2F7A">
        <w:rPr>
          <w:lang w:val="fr-FR"/>
        </w:rPr>
        <w:t> </w:t>
      </w:r>
      <w:r w:rsidRPr="00047D1A">
        <w:rPr>
          <w:lang w:val="fr-FR"/>
        </w:rPr>
        <w:t>EN 1968:2002+A1:2005 (sauf annexe B)</w:t>
      </w:r>
      <w:r w:rsidR="00CA2F7A">
        <w:rPr>
          <w:lang w:val="fr-FR"/>
        </w:rPr>
        <w:t> </w:t>
      </w:r>
      <w:r w:rsidRPr="00047D1A">
        <w:rPr>
          <w:lang w:val="fr-FR"/>
        </w:rPr>
        <w:t>», dans la colonne (3), remplacer le texte existant par «</w:t>
      </w:r>
      <w:r w:rsidR="00CA2F7A">
        <w:rPr>
          <w:lang w:val="fr-FR"/>
        </w:rPr>
        <w:t> </w:t>
      </w:r>
      <w:r w:rsidRPr="00047D1A">
        <w:rPr>
          <w:lang w:val="fr-FR"/>
        </w:rPr>
        <w:t>jusqu’au 31 décembre 2022</w:t>
      </w:r>
      <w:r w:rsidR="00CA2F7A">
        <w:rPr>
          <w:lang w:val="fr-FR"/>
        </w:rPr>
        <w:t> </w:t>
      </w:r>
      <w:r w:rsidRPr="00047D1A">
        <w:rPr>
          <w:lang w:val="fr-FR"/>
        </w:rPr>
        <w:t xml:space="preserve">». </w:t>
      </w:r>
    </w:p>
    <w:p w14:paraId="4144FDEC" w14:textId="77777777" w:rsidR="00047D1A" w:rsidRPr="00047D1A" w:rsidRDefault="00047D1A" w:rsidP="00CA2F7A">
      <w:pPr>
        <w:pStyle w:val="Bullet2G"/>
      </w:pPr>
      <w:r w:rsidRPr="00047D1A">
        <w:rPr>
          <w:lang w:val="fr-FR"/>
        </w:rPr>
        <w:t>Pour «</w:t>
      </w:r>
      <w:r w:rsidR="00CA2F7A">
        <w:rPr>
          <w:lang w:val="fr-FR"/>
        </w:rPr>
        <w:t> </w:t>
      </w:r>
      <w:r w:rsidRPr="00047D1A">
        <w:rPr>
          <w:lang w:val="fr-FR"/>
        </w:rPr>
        <w:t>EN 1802:2002 (sauf annexe B)</w:t>
      </w:r>
      <w:r w:rsidR="00CA2F7A">
        <w:rPr>
          <w:lang w:val="fr-FR"/>
        </w:rPr>
        <w:t> </w:t>
      </w:r>
      <w:r w:rsidRPr="00047D1A">
        <w:rPr>
          <w:lang w:val="fr-FR"/>
        </w:rPr>
        <w:t>», dans la colonne (3), remplacer le texte existant par «</w:t>
      </w:r>
      <w:r w:rsidR="00CA2F7A">
        <w:rPr>
          <w:lang w:val="fr-FR"/>
        </w:rPr>
        <w:t> </w:t>
      </w:r>
      <w:r w:rsidRPr="00047D1A">
        <w:rPr>
          <w:lang w:val="fr-FR"/>
        </w:rPr>
        <w:t>jusqu’au 31 décembre 2022</w:t>
      </w:r>
      <w:r w:rsidR="00CA2F7A">
        <w:rPr>
          <w:lang w:val="fr-FR"/>
        </w:rPr>
        <w:t> </w:t>
      </w:r>
      <w:r w:rsidRPr="00047D1A">
        <w:rPr>
          <w:lang w:val="fr-FR"/>
        </w:rPr>
        <w:t xml:space="preserve">». </w:t>
      </w:r>
    </w:p>
    <w:p w14:paraId="0ECE17BC" w14:textId="77777777" w:rsidR="00047D1A" w:rsidRPr="00047D1A" w:rsidRDefault="00047D1A" w:rsidP="00CA2F7A">
      <w:pPr>
        <w:pStyle w:val="Bullet2G"/>
      </w:pPr>
      <w:r w:rsidRPr="00047D1A">
        <w:rPr>
          <w:lang w:val="fr-FR"/>
        </w:rPr>
        <w:t>Après la rubrique existante pour la norme «</w:t>
      </w:r>
      <w:r w:rsidR="00CA2F7A">
        <w:rPr>
          <w:lang w:val="fr-FR"/>
        </w:rPr>
        <w:t> </w:t>
      </w:r>
      <w:r w:rsidRPr="00047D1A">
        <w:rPr>
          <w:lang w:val="fr-FR"/>
        </w:rPr>
        <w:t>EN 1802:2002 (sauf annexe B)</w:t>
      </w:r>
      <w:r w:rsidR="00CA2F7A">
        <w:rPr>
          <w:lang w:val="fr-FR"/>
        </w:rPr>
        <w:t> </w:t>
      </w:r>
      <w:r w:rsidRPr="00047D1A">
        <w:rPr>
          <w:lang w:val="fr-FR"/>
        </w:rPr>
        <w:t>», ajouter la nouvelle rubrique suivante</w:t>
      </w:r>
      <w:r w:rsidR="00CA2F7A">
        <w:rPr>
          <w:lang w:val="fr-FR"/>
        </w:rPr>
        <w:t> </w:t>
      </w:r>
      <w:r w:rsidRPr="00047D1A">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8"/>
        <w:gridCol w:w="5067"/>
        <w:gridCol w:w="1900"/>
      </w:tblGrid>
      <w:tr w:rsidR="00047D1A" w:rsidRPr="00CE1950" w14:paraId="09E8F9E1" w14:textId="77777777" w:rsidTr="00CA2F7A">
        <w:trPr>
          <w:trHeight w:val="1015"/>
        </w:trPr>
        <w:tc>
          <w:tcPr>
            <w:tcW w:w="1530" w:type="dxa"/>
          </w:tcPr>
          <w:p w14:paraId="13714856" w14:textId="77777777" w:rsidR="00047D1A" w:rsidRPr="00CE1950" w:rsidRDefault="00047D1A" w:rsidP="00CA2F7A">
            <w:pPr>
              <w:widowControl w:val="0"/>
              <w:spacing w:before="40" w:after="40"/>
              <w:ind w:left="57" w:right="57"/>
              <w:rPr>
                <w:bCs/>
                <w:iCs/>
                <w:sz w:val="18"/>
                <w:szCs w:val="18"/>
              </w:rPr>
            </w:pPr>
            <w:r>
              <w:rPr>
                <w:lang w:val="fr-FR"/>
              </w:rPr>
              <w:t>EN ISO 18119:[2018]</w:t>
            </w:r>
          </w:p>
        </w:tc>
        <w:tc>
          <w:tcPr>
            <w:tcW w:w="5040" w:type="dxa"/>
          </w:tcPr>
          <w:p w14:paraId="7BF0D831" w14:textId="77777777" w:rsidR="00047D1A" w:rsidRPr="00CE1950" w:rsidRDefault="00047D1A" w:rsidP="00CA2F7A">
            <w:pPr>
              <w:widowControl w:val="0"/>
              <w:spacing w:before="40" w:after="40"/>
              <w:ind w:left="57" w:right="57"/>
              <w:rPr>
                <w:bCs/>
                <w:noProof/>
                <w:sz w:val="18"/>
                <w:szCs w:val="18"/>
              </w:rPr>
            </w:pPr>
            <w:r>
              <w:rPr>
                <w:lang w:val="fr-FR"/>
              </w:rPr>
              <w:t xml:space="preserve">Bouteilles à gaz </w:t>
            </w:r>
            <w:r w:rsidR="00CA2F7A">
              <w:rPr>
                <w:lang w:val="fr-FR"/>
              </w:rPr>
              <w:t>−</w:t>
            </w:r>
            <w:r>
              <w:rPr>
                <w:lang w:val="fr-FR"/>
              </w:rPr>
              <w:t xml:space="preserve"> Bouteilles à gaz en acier et en alliages d’aluminium, sans soudure </w:t>
            </w:r>
            <w:r w:rsidR="00CA2F7A">
              <w:rPr>
                <w:lang w:val="fr-FR"/>
              </w:rPr>
              <w:t>−</w:t>
            </w:r>
            <w:r>
              <w:rPr>
                <w:lang w:val="fr-FR"/>
              </w:rPr>
              <w:t xml:space="preserve"> Contrôles et essais périodiques</w:t>
            </w:r>
          </w:p>
          <w:p w14:paraId="61A2BE8B" w14:textId="77777777" w:rsidR="00047D1A" w:rsidRPr="009A4504" w:rsidRDefault="00047D1A" w:rsidP="00CA2F7A">
            <w:pPr>
              <w:widowControl w:val="0"/>
              <w:spacing w:before="40" w:after="40"/>
              <w:ind w:left="57" w:right="57"/>
              <w:rPr>
                <w:bCs/>
                <w:i/>
                <w:iCs/>
                <w:sz w:val="18"/>
                <w:szCs w:val="18"/>
              </w:rPr>
            </w:pPr>
            <w:r w:rsidRPr="009A4504">
              <w:rPr>
                <w:b/>
                <w:i/>
                <w:lang w:val="fr-FR"/>
              </w:rPr>
              <w:t>NOTA</w:t>
            </w:r>
            <w:r w:rsidR="00546811">
              <w:rPr>
                <w:b/>
                <w:i/>
                <w:lang w:val="fr-FR"/>
              </w:rPr>
              <w:t> </w:t>
            </w:r>
            <w:r>
              <w:rPr>
                <w:i/>
                <w:lang w:val="fr-FR"/>
              </w:rPr>
              <w:t>:</w:t>
            </w:r>
            <w:r w:rsidRPr="009A4504">
              <w:rPr>
                <w:i/>
                <w:lang w:val="fr-FR"/>
              </w:rPr>
              <w:t xml:space="preserve"> Nonobstant l</w:t>
            </w:r>
            <w:r>
              <w:rPr>
                <w:i/>
                <w:lang w:val="fr-FR"/>
              </w:rPr>
              <w:t>’</w:t>
            </w:r>
            <w:r w:rsidRPr="009A4504">
              <w:rPr>
                <w:i/>
                <w:lang w:val="fr-FR"/>
              </w:rPr>
              <w:t>article B.1 de cette norme, toutes les bouteilles et tubes dont l</w:t>
            </w:r>
            <w:r>
              <w:rPr>
                <w:i/>
                <w:lang w:val="fr-FR"/>
              </w:rPr>
              <w:t>’</w:t>
            </w:r>
            <w:r w:rsidRPr="009A4504">
              <w:rPr>
                <w:i/>
                <w:lang w:val="fr-FR"/>
              </w:rPr>
              <w:t>épaisseur de paroi est inférieure à l</w:t>
            </w:r>
            <w:r>
              <w:rPr>
                <w:i/>
                <w:lang w:val="fr-FR"/>
              </w:rPr>
              <w:t>’</w:t>
            </w:r>
            <w:r w:rsidRPr="009A4504">
              <w:rPr>
                <w:i/>
                <w:lang w:val="fr-FR"/>
              </w:rPr>
              <w:t>épaisseur minimale de calcul doivent être rejetés.</w:t>
            </w:r>
          </w:p>
        </w:tc>
        <w:tc>
          <w:tcPr>
            <w:tcW w:w="1890" w:type="dxa"/>
          </w:tcPr>
          <w:p w14:paraId="3B74C652" w14:textId="77777777" w:rsidR="00047D1A" w:rsidRPr="00CE1950" w:rsidRDefault="00047D1A" w:rsidP="00CA2F7A">
            <w:pPr>
              <w:widowControl w:val="0"/>
              <w:spacing w:before="40" w:after="40"/>
              <w:ind w:left="57" w:right="57"/>
              <w:rPr>
                <w:bCs/>
                <w:sz w:val="18"/>
                <w:szCs w:val="18"/>
              </w:rPr>
            </w:pPr>
            <w:r>
              <w:rPr>
                <w:lang w:val="fr-FR"/>
              </w:rPr>
              <w:t>Obligatoirement à partir du 1</w:t>
            </w:r>
            <w:r w:rsidRPr="00546811">
              <w:rPr>
                <w:vertAlign w:val="superscript"/>
                <w:lang w:val="fr-FR"/>
              </w:rPr>
              <w:t>er</w:t>
            </w:r>
            <w:r w:rsidR="00546811">
              <w:rPr>
                <w:lang w:val="fr-FR"/>
              </w:rPr>
              <w:t xml:space="preserve"> </w:t>
            </w:r>
            <w:r>
              <w:rPr>
                <w:lang w:val="fr-FR"/>
              </w:rPr>
              <w:t>janvier 2023</w:t>
            </w:r>
          </w:p>
        </w:tc>
      </w:tr>
    </w:tbl>
    <w:p w14:paraId="49C6E828" w14:textId="77777777" w:rsidR="00047D1A" w:rsidRPr="00047D1A" w:rsidRDefault="00047D1A" w:rsidP="00546811">
      <w:pPr>
        <w:pStyle w:val="Bullet2G"/>
        <w:spacing w:before="240"/>
      </w:pPr>
      <w:r w:rsidRPr="00047D1A">
        <w:rPr>
          <w:lang w:val="fr-FR"/>
        </w:rPr>
        <w:t>Pour «</w:t>
      </w:r>
      <w:r w:rsidR="00546811">
        <w:rPr>
          <w:lang w:val="fr-FR"/>
        </w:rPr>
        <w:t> </w:t>
      </w:r>
      <w:r w:rsidRPr="00047D1A">
        <w:rPr>
          <w:lang w:val="fr-FR"/>
        </w:rPr>
        <w:t>EN 1440:2016 (sauf annexe C)</w:t>
      </w:r>
      <w:r w:rsidR="00546811">
        <w:rPr>
          <w:lang w:val="fr-FR"/>
        </w:rPr>
        <w:t> </w:t>
      </w:r>
      <w:r w:rsidRPr="00047D1A">
        <w:rPr>
          <w:lang w:val="fr-FR"/>
        </w:rPr>
        <w:t>», dans la colonne (3), remplacer le texte existant par «</w:t>
      </w:r>
      <w:r w:rsidR="00546811">
        <w:rPr>
          <w:lang w:val="fr-FR"/>
        </w:rPr>
        <w:t> </w:t>
      </w:r>
      <w:r w:rsidRPr="00047D1A">
        <w:rPr>
          <w:lang w:val="fr-FR"/>
        </w:rPr>
        <w:t>Jusqu’au 31 décembre 2021</w:t>
      </w:r>
      <w:r w:rsidR="00546811">
        <w:rPr>
          <w:lang w:val="fr-FR"/>
        </w:rPr>
        <w:t> </w:t>
      </w:r>
      <w:r w:rsidRPr="00047D1A">
        <w:rPr>
          <w:lang w:val="fr-FR"/>
        </w:rPr>
        <w:t xml:space="preserve">». </w:t>
      </w:r>
    </w:p>
    <w:p w14:paraId="6EC521F1" w14:textId="77777777" w:rsidR="00047D1A" w:rsidRPr="00047D1A" w:rsidRDefault="00047D1A" w:rsidP="00546811">
      <w:pPr>
        <w:pStyle w:val="Bullet2G"/>
        <w:keepNext/>
      </w:pPr>
      <w:r w:rsidRPr="00047D1A">
        <w:rPr>
          <w:lang w:val="fr-FR"/>
        </w:rPr>
        <w:lastRenderedPageBreak/>
        <w:t>Après la rubrique pour la norme «</w:t>
      </w:r>
      <w:r w:rsidR="00546811">
        <w:rPr>
          <w:lang w:val="fr-FR"/>
        </w:rPr>
        <w:t> </w:t>
      </w:r>
      <w:r w:rsidRPr="00047D1A">
        <w:rPr>
          <w:lang w:val="fr-FR"/>
        </w:rPr>
        <w:t>EN 1440:2016 (sauf annexe C)</w:t>
      </w:r>
      <w:r w:rsidR="00546811">
        <w:rPr>
          <w:lang w:val="fr-FR"/>
        </w:rPr>
        <w:t> </w:t>
      </w:r>
      <w:r w:rsidRPr="00047D1A">
        <w:rPr>
          <w:lang w:val="fr-FR"/>
        </w:rPr>
        <w:t>», ajouter la nouvelle rubrique suivante</w:t>
      </w:r>
      <w:r w:rsidR="00546811">
        <w:rPr>
          <w:lang w:val="fr-FR"/>
        </w:rPr>
        <w:t> </w:t>
      </w:r>
      <w:r w:rsidRPr="00047D1A">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2"/>
        <w:gridCol w:w="5130"/>
        <w:gridCol w:w="1843"/>
      </w:tblGrid>
      <w:tr w:rsidR="00047D1A" w:rsidRPr="00CE1950" w14:paraId="7C2209E5" w14:textId="77777777" w:rsidTr="00410EC9">
        <w:tc>
          <w:tcPr>
            <w:tcW w:w="1524" w:type="dxa"/>
            <w:vAlign w:val="center"/>
          </w:tcPr>
          <w:p w14:paraId="1BB40B78" w14:textId="77777777" w:rsidR="00047D1A" w:rsidRPr="00CE1950" w:rsidRDefault="00047D1A" w:rsidP="00546811">
            <w:pPr>
              <w:keepNext/>
              <w:widowControl w:val="0"/>
              <w:spacing w:before="40" w:after="40"/>
              <w:ind w:left="57" w:right="57"/>
              <w:rPr>
                <w:rFonts w:cs="Arial"/>
                <w:sz w:val="18"/>
                <w:szCs w:val="18"/>
              </w:rPr>
            </w:pPr>
            <w:r>
              <w:rPr>
                <w:lang w:val="fr-FR"/>
              </w:rPr>
              <w:t>EN 1440:2016 +</w:t>
            </w:r>
            <w:r w:rsidR="00F22372">
              <w:rPr>
                <w:lang w:val="fr-FR"/>
              </w:rPr>
              <w:br/>
            </w:r>
            <w:r>
              <w:rPr>
                <w:lang w:val="fr-FR"/>
              </w:rPr>
              <w:t>A1:2018 (sauf annexe C)</w:t>
            </w:r>
          </w:p>
        </w:tc>
        <w:tc>
          <w:tcPr>
            <w:tcW w:w="5103" w:type="dxa"/>
            <w:vAlign w:val="center"/>
          </w:tcPr>
          <w:p w14:paraId="6528CA3E" w14:textId="77777777" w:rsidR="00047D1A" w:rsidRPr="00CE1950" w:rsidRDefault="00047D1A" w:rsidP="00C61D14">
            <w:pPr>
              <w:widowControl w:val="0"/>
              <w:spacing w:before="40" w:after="40"/>
              <w:ind w:left="57" w:right="57"/>
              <w:rPr>
                <w:rFonts w:cs="Arial"/>
                <w:sz w:val="18"/>
                <w:szCs w:val="18"/>
              </w:rPr>
            </w:pPr>
            <w:r>
              <w:rPr>
                <w:lang w:val="fr-FR"/>
              </w:rPr>
              <w:t xml:space="preserve">Équipements pour GPL et leurs accessoires − </w:t>
            </w:r>
            <w:r w:rsidRPr="009A4504">
              <w:rPr>
                <w:lang w:val="fr-FR"/>
              </w:rPr>
              <w:t xml:space="preserve">Bouteilles de gaz de pétrole liquéfié (GPL) en acier soudé et brasé transportables et rechargeables </w:t>
            </w:r>
            <w:r w:rsidR="00546811">
              <w:rPr>
                <w:lang w:val="fr-FR"/>
              </w:rPr>
              <w:t>−</w:t>
            </w:r>
            <w:r w:rsidRPr="009A4504">
              <w:rPr>
                <w:lang w:val="fr-FR"/>
              </w:rPr>
              <w:t xml:space="preserve"> Contrôle périodique</w:t>
            </w:r>
          </w:p>
        </w:tc>
        <w:tc>
          <w:tcPr>
            <w:tcW w:w="1833" w:type="dxa"/>
          </w:tcPr>
          <w:p w14:paraId="68E38995" w14:textId="77777777" w:rsidR="00047D1A" w:rsidRPr="00CE1950" w:rsidRDefault="00047D1A" w:rsidP="00410EC9">
            <w:pPr>
              <w:widowControl w:val="0"/>
              <w:spacing w:before="40" w:after="40"/>
              <w:ind w:left="57" w:right="57"/>
              <w:rPr>
                <w:rFonts w:cs="Arial"/>
                <w:sz w:val="18"/>
                <w:szCs w:val="18"/>
              </w:rPr>
            </w:pPr>
            <w:r>
              <w:rPr>
                <w:lang w:val="fr-FR"/>
              </w:rPr>
              <w:t>Obligatoirement à partir du 1</w:t>
            </w:r>
            <w:r w:rsidRPr="00546811">
              <w:rPr>
                <w:vertAlign w:val="superscript"/>
                <w:lang w:val="fr-FR"/>
              </w:rPr>
              <w:t>er</w:t>
            </w:r>
            <w:r w:rsidR="00546811">
              <w:rPr>
                <w:lang w:val="fr-FR"/>
              </w:rPr>
              <w:t xml:space="preserve"> </w:t>
            </w:r>
            <w:r>
              <w:rPr>
                <w:lang w:val="fr-FR"/>
              </w:rPr>
              <w:t>janvier 2022</w:t>
            </w:r>
          </w:p>
        </w:tc>
      </w:tr>
    </w:tbl>
    <w:p w14:paraId="40E27E31" w14:textId="77777777" w:rsidR="00047D1A" w:rsidRPr="00047D1A" w:rsidRDefault="00047D1A" w:rsidP="00546811">
      <w:pPr>
        <w:pStyle w:val="Bullet2G"/>
        <w:spacing w:before="240"/>
      </w:pPr>
      <w:r w:rsidRPr="00047D1A">
        <w:rPr>
          <w:lang w:val="fr-FR"/>
        </w:rPr>
        <w:t>Pour «</w:t>
      </w:r>
      <w:r w:rsidR="00410EC9">
        <w:rPr>
          <w:lang w:val="fr-FR"/>
        </w:rPr>
        <w:t> </w:t>
      </w:r>
      <w:r w:rsidRPr="00047D1A">
        <w:rPr>
          <w:lang w:val="fr-FR"/>
        </w:rPr>
        <w:t>EN 16728:2016 (sauf art</w:t>
      </w:r>
      <w:r w:rsidR="00410EC9">
        <w:rPr>
          <w:lang w:val="fr-FR"/>
        </w:rPr>
        <w:t>. </w:t>
      </w:r>
      <w:r w:rsidRPr="00047D1A">
        <w:rPr>
          <w:lang w:val="fr-FR"/>
        </w:rPr>
        <w:t xml:space="preserve">3.5, </w:t>
      </w:r>
      <w:r w:rsidR="00410EC9" w:rsidRPr="00047D1A">
        <w:rPr>
          <w:lang w:val="fr-FR"/>
        </w:rPr>
        <w:t>a</w:t>
      </w:r>
      <w:r w:rsidRPr="00047D1A">
        <w:rPr>
          <w:lang w:val="fr-FR"/>
        </w:rPr>
        <w:t xml:space="preserve">nnexe F et </w:t>
      </w:r>
      <w:r w:rsidR="00410EC9" w:rsidRPr="00047D1A">
        <w:rPr>
          <w:lang w:val="fr-FR"/>
        </w:rPr>
        <w:t>a</w:t>
      </w:r>
      <w:r w:rsidRPr="00047D1A">
        <w:rPr>
          <w:lang w:val="fr-FR"/>
        </w:rPr>
        <w:t>nnexe G)</w:t>
      </w:r>
      <w:r w:rsidR="00410EC9">
        <w:rPr>
          <w:lang w:val="fr-FR"/>
        </w:rPr>
        <w:t> </w:t>
      </w:r>
      <w:r w:rsidRPr="00047D1A">
        <w:rPr>
          <w:lang w:val="fr-FR"/>
        </w:rPr>
        <w:t>», dans la colonne (3), remplacer le texte existant par «</w:t>
      </w:r>
      <w:r w:rsidR="00410EC9">
        <w:rPr>
          <w:lang w:val="fr-FR"/>
        </w:rPr>
        <w:t> </w:t>
      </w:r>
      <w:r w:rsidRPr="00047D1A">
        <w:rPr>
          <w:lang w:val="fr-FR"/>
        </w:rPr>
        <w:t>Jusqu’au 31 décembre 2021</w:t>
      </w:r>
      <w:r w:rsidR="00410EC9">
        <w:rPr>
          <w:lang w:val="fr-FR"/>
        </w:rPr>
        <w:t> </w:t>
      </w:r>
      <w:r w:rsidRPr="00047D1A">
        <w:rPr>
          <w:lang w:val="fr-FR"/>
        </w:rPr>
        <w:t xml:space="preserve">». </w:t>
      </w:r>
    </w:p>
    <w:p w14:paraId="4C0FFC23" w14:textId="77777777" w:rsidR="00047D1A" w:rsidRPr="00047D1A" w:rsidRDefault="00047D1A" w:rsidP="00546811">
      <w:pPr>
        <w:pStyle w:val="Bullet2G"/>
      </w:pPr>
      <w:r w:rsidRPr="00047D1A">
        <w:rPr>
          <w:lang w:val="fr-FR"/>
        </w:rPr>
        <w:t>Après la rubrique existante pour la norme «</w:t>
      </w:r>
      <w:r w:rsidR="00410EC9">
        <w:rPr>
          <w:lang w:val="fr-FR"/>
        </w:rPr>
        <w:t> </w:t>
      </w:r>
      <w:r w:rsidRPr="00047D1A">
        <w:rPr>
          <w:lang w:val="fr-FR"/>
        </w:rPr>
        <w:t>EN 16728:2016 (sauf art</w:t>
      </w:r>
      <w:r w:rsidR="00410EC9">
        <w:rPr>
          <w:lang w:val="fr-FR"/>
        </w:rPr>
        <w:t>. </w:t>
      </w:r>
      <w:r w:rsidRPr="00047D1A">
        <w:rPr>
          <w:lang w:val="fr-FR"/>
        </w:rPr>
        <w:t xml:space="preserve">3.5, </w:t>
      </w:r>
      <w:r w:rsidR="00410EC9" w:rsidRPr="00047D1A">
        <w:rPr>
          <w:lang w:val="fr-FR"/>
        </w:rPr>
        <w:t>a</w:t>
      </w:r>
      <w:r w:rsidRPr="00047D1A">
        <w:rPr>
          <w:lang w:val="fr-FR"/>
        </w:rPr>
        <w:t xml:space="preserve">nnexe F et </w:t>
      </w:r>
      <w:r w:rsidR="00410EC9" w:rsidRPr="00047D1A">
        <w:rPr>
          <w:lang w:val="fr-FR"/>
        </w:rPr>
        <w:t>a</w:t>
      </w:r>
      <w:r w:rsidRPr="00047D1A">
        <w:rPr>
          <w:lang w:val="fr-FR"/>
        </w:rPr>
        <w:t>nnexe G)</w:t>
      </w:r>
      <w:r w:rsidR="00410EC9">
        <w:rPr>
          <w:lang w:val="fr-FR"/>
        </w:rPr>
        <w:t> </w:t>
      </w:r>
      <w:r w:rsidRPr="00047D1A">
        <w:rPr>
          <w:lang w:val="fr-FR"/>
        </w:rPr>
        <w:t>», ajouter la nouvelle rubrique suivante</w:t>
      </w:r>
      <w:r w:rsidR="00410EC9">
        <w:rPr>
          <w:lang w:val="fr-FR"/>
        </w:rPr>
        <w:t> </w:t>
      </w:r>
      <w:r w:rsidRPr="00047D1A">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5123"/>
        <w:gridCol w:w="1851"/>
      </w:tblGrid>
      <w:tr w:rsidR="00047D1A" w:rsidRPr="00CE1950" w14:paraId="5A32F1BA" w14:textId="77777777" w:rsidTr="00410EC9">
        <w:tc>
          <w:tcPr>
            <w:tcW w:w="1531" w:type="dxa"/>
          </w:tcPr>
          <w:p w14:paraId="1C48987E" w14:textId="77777777" w:rsidR="00047D1A" w:rsidRPr="00CE1950" w:rsidRDefault="00047D1A" w:rsidP="00410EC9">
            <w:pPr>
              <w:widowControl w:val="0"/>
              <w:spacing w:before="40" w:after="40"/>
              <w:ind w:left="57" w:right="57"/>
              <w:rPr>
                <w:rFonts w:cs="Arial"/>
                <w:sz w:val="18"/>
                <w:szCs w:val="18"/>
              </w:rPr>
            </w:pPr>
            <w:r>
              <w:rPr>
                <w:lang w:val="fr-FR"/>
              </w:rPr>
              <w:t>EN 16728:2016+</w:t>
            </w:r>
            <w:r w:rsidR="00F22372">
              <w:rPr>
                <w:lang w:val="fr-FR"/>
              </w:rPr>
              <w:br/>
            </w:r>
            <w:r>
              <w:rPr>
                <w:lang w:val="fr-FR"/>
              </w:rPr>
              <w:t>A1:2018</w:t>
            </w:r>
          </w:p>
        </w:tc>
        <w:tc>
          <w:tcPr>
            <w:tcW w:w="5123" w:type="dxa"/>
          </w:tcPr>
          <w:p w14:paraId="280EE215" w14:textId="77777777" w:rsidR="00047D1A" w:rsidRPr="00CE1950" w:rsidRDefault="00047D1A" w:rsidP="00410EC9">
            <w:pPr>
              <w:widowControl w:val="0"/>
              <w:spacing w:before="40" w:after="40"/>
              <w:ind w:left="57" w:right="57"/>
              <w:rPr>
                <w:rFonts w:cs="Arial"/>
                <w:sz w:val="18"/>
                <w:szCs w:val="18"/>
              </w:rPr>
            </w:pPr>
            <w:r>
              <w:rPr>
                <w:lang w:val="fr-FR"/>
              </w:rPr>
              <w:t xml:space="preserve">Équipements pour GPL et leurs accessoires </w:t>
            </w:r>
            <w:r w:rsidR="00410EC9">
              <w:rPr>
                <w:lang w:val="fr-FR"/>
              </w:rPr>
              <w:t>− </w:t>
            </w:r>
            <w:r>
              <w:rPr>
                <w:lang w:val="fr-FR"/>
              </w:rPr>
              <w:t>Bouteilles transportables et rechargeables pour GPL autres que celles en acier soudé et brasé</w:t>
            </w:r>
            <w:r w:rsidR="00410EC9">
              <w:rPr>
                <w:lang w:val="fr-FR"/>
              </w:rPr>
              <w:t> −</w:t>
            </w:r>
            <w:r>
              <w:rPr>
                <w:lang w:val="fr-FR"/>
              </w:rPr>
              <w:t xml:space="preserve"> Contrôle périodique</w:t>
            </w:r>
          </w:p>
        </w:tc>
        <w:tc>
          <w:tcPr>
            <w:tcW w:w="1851" w:type="dxa"/>
          </w:tcPr>
          <w:p w14:paraId="5E03FDF8" w14:textId="77777777" w:rsidR="00047D1A" w:rsidRPr="00CE1950" w:rsidRDefault="00047D1A" w:rsidP="00410EC9">
            <w:pPr>
              <w:widowControl w:val="0"/>
              <w:spacing w:before="40" w:after="40"/>
              <w:ind w:left="57" w:right="57"/>
              <w:rPr>
                <w:rFonts w:cs="Arial"/>
                <w:sz w:val="18"/>
                <w:szCs w:val="18"/>
              </w:rPr>
            </w:pPr>
            <w:r>
              <w:rPr>
                <w:lang w:val="fr-FR"/>
              </w:rPr>
              <w:t>Obligatoirement à partir du 1</w:t>
            </w:r>
            <w:r w:rsidRPr="00410EC9">
              <w:rPr>
                <w:vertAlign w:val="superscript"/>
                <w:lang w:val="fr-FR"/>
              </w:rPr>
              <w:t>er</w:t>
            </w:r>
            <w:r w:rsidR="00410EC9">
              <w:rPr>
                <w:lang w:val="fr-FR"/>
              </w:rPr>
              <w:t xml:space="preserve"> </w:t>
            </w:r>
            <w:r>
              <w:rPr>
                <w:lang w:val="fr-FR"/>
              </w:rPr>
              <w:t>janvier 2022</w:t>
            </w:r>
          </w:p>
        </w:tc>
      </w:tr>
    </w:tbl>
    <w:p w14:paraId="6F705637" w14:textId="77777777" w:rsidR="00047D1A" w:rsidRPr="00047D1A" w:rsidRDefault="00047D1A" w:rsidP="00410EC9">
      <w:pPr>
        <w:pStyle w:val="SingleTxtG"/>
        <w:spacing w:before="240"/>
        <w:rPr>
          <w:i/>
          <w:iCs/>
        </w:rPr>
      </w:pPr>
      <w:r w:rsidRPr="00047D1A">
        <w:rPr>
          <w:i/>
          <w:lang w:val="fr-FR"/>
        </w:rPr>
        <w:t>(Document de référence</w:t>
      </w:r>
      <w:r w:rsidR="00410EC9">
        <w:rPr>
          <w:i/>
          <w:lang w:val="fr-FR"/>
        </w:rPr>
        <w:t> </w:t>
      </w:r>
      <w:r w:rsidRPr="00047D1A">
        <w:rPr>
          <w:i/>
          <w:lang w:val="fr-FR"/>
        </w:rPr>
        <w:t>: document informel INF.21/Add.1)</w:t>
      </w:r>
    </w:p>
    <w:p w14:paraId="43A88087" w14:textId="77777777" w:rsidR="00047D1A" w:rsidRPr="00047D1A" w:rsidRDefault="00047D1A" w:rsidP="00E24CB3">
      <w:pPr>
        <w:pStyle w:val="H1G"/>
      </w:pPr>
      <w:r w:rsidRPr="00047D1A">
        <w:rPr>
          <w:lang w:val="fr-FR"/>
        </w:rPr>
        <w:tab/>
      </w:r>
      <w:r w:rsidRPr="00047D1A">
        <w:rPr>
          <w:lang w:val="fr-FR"/>
        </w:rPr>
        <w:tab/>
        <w:t>Chapitre 6.8</w:t>
      </w:r>
    </w:p>
    <w:p w14:paraId="3257A152" w14:textId="77777777" w:rsidR="00047D1A" w:rsidRPr="00047D1A" w:rsidRDefault="00047D1A" w:rsidP="00E24CB3">
      <w:pPr>
        <w:pStyle w:val="SingleTxtG"/>
        <w:keepNext/>
        <w:ind w:left="2268" w:hanging="1134"/>
      </w:pPr>
      <w:r w:rsidRPr="00047D1A">
        <w:rPr>
          <w:lang w:val="fr-FR"/>
        </w:rPr>
        <w:t>[6.8.2.1.18</w:t>
      </w:r>
      <w:r w:rsidRPr="00047D1A">
        <w:rPr>
          <w:lang w:val="fr-FR"/>
        </w:rPr>
        <w:tab/>
        <w:t>Ajouter la phrase suivante à la fin de la note de bas de page 3</w:t>
      </w:r>
      <w:r w:rsidR="00E24CB3">
        <w:rPr>
          <w:lang w:val="fr-FR"/>
        </w:rPr>
        <w:t> </w:t>
      </w:r>
      <w:r w:rsidRPr="00047D1A">
        <w:rPr>
          <w:lang w:val="fr-FR"/>
        </w:rPr>
        <w:t>:</w:t>
      </w:r>
    </w:p>
    <w:p w14:paraId="66D49E4E" w14:textId="77777777" w:rsidR="00047D1A" w:rsidRPr="00047D1A" w:rsidRDefault="00047D1A" w:rsidP="00E24CB3">
      <w:pPr>
        <w:pStyle w:val="SingleTxtG"/>
        <w:keepNext/>
        <w:ind w:left="2268"/>
      </w:pPr>
      <w:r w:rsidRPr="00047D1A">
        <w:rPr>
          <w:lang w:val="fr-FR"/>
        </w:rPr>
        <w:t>«</w:t>
      </w:r>
      <w:r w:rsidR="00E24CB3">
        <w:rPr>
          <w:lang w:val="fr-FR"/>
        </w:rPr>
        <w:t> </w:t>
      </w:r>
      <w:r w:rsidRPr="00047D1A">
        <w:rPr>
          <w:lang w:val="fr-FR"/>
        </w:rPr>
        <w:t>Cependant, la section transversale des réservoirs selon le 6.8.2.1.14</w:t>
      </w:r>
      <w:r w:rsidR="00E24CB3">
        <w:rPr>
          <w:lang w:val="fr-FR"/>
        </w:rPr>
        <w:t> </w:t>
      </w:r>
      <w:r w:rsidRPr="00047D1A">
        <w:rPr>
          <w:lang w:val="fr-FR"/>
        </w:rPr>
        <w:t>a) peut présenter des renfoncements ou des saillies, comme des puisards, des évidements ou des trous d’homme encastrés, qui peuvent être en tôle plate ou façonnée (concave ou convexe). Les bosses et autres déformations involontaires ne doivent pas être considérées comme des renfoncements ou des saillies.</w:t>
      </w:r>
      <w:r w:rsidR="00E24CB3">
        <w:rPr>
          <w:lang w:val="fr-FR"/>
        </w:rPr>
        <w:t> </w:t>
      </w:r>
      <w:r w:rsidRPr="00047D1A">
        <w:rPr>
          <w:lang w:val="fr-FR"/>
        </w:rPr>
        <w:t>».]</w:t>
      </w:r>
    </w:p>
    <w:p w14:paraId="05C9F62C" w14:textId="77777777" w:rsidR="00047D1A" w:rsidRPr="00047D1A" w:rsidRDefault="00047D1A" w:rsidP="00047D1A">
      <w:pPr>
        <w:pStyle w:val="SingleTxtG"/>
        <w:rPr>
          <w:i/>
          <w:iCs/>
        </w:rPr>
      </w:pPr>
      <w:r w:rsidRPr="00047D1A">
        <w:rPr>
          <w:i/>
          <w:lang w:val="fr-FR"/>
        </w:rPr>
        <w:t>(Document de référence</w:t>
      </w:r>
      <w:r w:rsidR="00E24CB3">
        <w:rPr>
          <w:i/>
          <w:lang w:val="fr-FR"/>
        </w:rPr>
        <w:t> </w:t>
      </w:r>
      <w:r w:rsidRPr="00047D1A">
        <w:rPr>
          <w:i/>
          <w:lang w:val="fr-FR"/>
        </w:rPr>
        <w:t>: ECE/TRANS/WP.15/AC.1/150, annexe IV, tel que modifié)</w:t>
      </w:r>
    </w:p>
    <w:p w14:paraId="2FF5B5AD" w14:textId="77777777" w:rsidR="00047D1A" w:rsidRPr="00047D1A" w:rsidRDefault="00047D1A" w:rsidP="00EF40DB">
      <w:pPr>
        <w:pStyle w:val="SingleTxtG"/>
        <w:ind w:left="2268" w:hanging="1134"/>
      </w:pPr>
      <w:r w:rsidRPr="00047D1A">
        <w:rPr>
          <w:lang w:val="fr-FR"/>
        </w:rPr>
        <w:t>6.8.2.6.1</w:t>
      </w:r>
      <w:r w:rsidRPr="00047D1A">
        <w:rPr>
          <w:lang w:val="fr-FR"/>
        </w:rPr>
        <w:tab/>
        <w:t>Modifier le tableau comme suit</w:t>
      </w:r>
      <w:r w:rsidR="00E24CB3">
        <w:rPr>
          <w:lang w:val="fr-FR"/>
        </w:rPr>
        <w:t> </w:t>
      </w:r>
      <w:r w:rsidRPr="00047D1A">
        <w:rPr>
          <w:lang w:val="fr-FR"/>
        </w:rPr>
        <w:t>:</w:t>
      </w:r>
    </w:p>
    <w:p w14:paraId="00477077" w14:textId="77777777" w:rsidR="00047D1A" w:rsidRPr="00047D1A" w:rsidRDefault="00047D1A" w:rsidP="00E24CB3">
      <w:pPr>
        <w:pStyle w:val="SingleTxtG"/>
        <w:keepNext/>
        <w:spacing w:before="240"/>
        <w:ind w:left="2835" w:hanging="567"/>
      </w:pPr>
      <w:r w:rsidRPr="00047D1A">
        <w:rPr>
          <w:lang w:val="fr-FR"/>
        </w:rPr>
        <w:t>a)</w:t>
      </w:r>
      <w:r w:rsidRPr="00047D1A">
        <w:rPr>
          <w:lang w:val="fr-FR"/>
        </w:rPr>
        <w:tab/>
      </w:r>
      <w:r w:rsidRPr="00950503">
        <w:rPr>
          <w:lang w:val="fr-FR"/>
        </w:rPr>
        <w:t>Sous «</w:t>
      </w:r>
      <w:r w:rsidR="00E24CB3" w:rsidRPr="00950503">
        <w:rPr>
          <w:lang w:val="fr-FR"/>
        </w:rPr>
        <w:t> </w:t>
      </w:r>
      <w:r w:rsidRPr="00950503">
        <w:rPr>
          <w:b/>
          <w:lang w:val="fr-FR"/>
        </w:rPr>
        <w:t>Pour l</w:t>
      </w:r>
      <w:r w:rsidR="00C04622" w:rsidRPr="00950503">
        <w:rPr>
          <w:b/>
          <w:lang w:val="fr-FR"/>
        </w:rPr>
        <w:t>a conception et la construction des citernes</w:t>
      </w:r>
      <w:r w:rsidR="00E24CB3" w:rsidRPr="00950503">
        <w:rPr>
          <w:b/>
          <w:lang w:val="fr-FR"/>
        </w:rPr>
        <w:t> </w:t>
      </w:r>
      <w:r w:rsidRPr="00950503">
        <w:rPr>
          <w:lang w:val="fr-FR"/>
        </w:rPr>
        <w:t>»</w:t>
      </w:r>
      <w:r w:rsidR="00E24CB3" w:rsidRPr="00950503">
        <w:rPr>
          <w:lang w:val="fr-FR"/>
        </w:rPr>
        <w:t> </w:t>
      </w:r>
      <w:r w:rsidRPr="00950503">
        <w:rPr>
          <w:lang w:val="fr-FR"/>
        </w:rPr>
        <w:t>:</w:t>
      </w:r>
    </w:p>
    <w:p w14:paraId="4FB224B3" w14:textId="77777777" w:rsidR="00047D1A" w:rsidRPr="00047D1A" w:rsidRDefault="00047D1A" w:rsidP="003E685B">
      <w:pPr>
        <w:pStyle w:val="Bullet2G"/>
      </w:pPr>
      <w:r w:rsidRPr="00047D1A">
        <w:rPr>
          <w:lang w:val="fr-FR"/>
        </w:rPr>
        <w:t>Pour «</w:t>
      </w:r>
      <w:r w:rsidR="003E685B">
        <w:rPr>
          <w:lang w:val="fr-FR"/>
        </w:rPr>
        <w:t> </w:t>
      </w:r>
      <w:r w:rsidRPr="00047D1A">
        <w:rPr>
          <w:lang w:val="fr-FR"/>
        </w:rPr>
        <w:t xml:space="preserve">EN 14025:2013+A1:2016 (sauf </w:t>
      </w:r>
      <w:r w:rsidR="003E685B" w:rsidRPr="00047D1A">
        <w:rPr>
          <w:lang w:val="fr-FR"/>
        </w:rPr>
        <w:t>a</w:t>
      </w:r>
      <w:r w:rsidRPr="00047D1A">
        <w:rPr>
          <w:lang w:val="fr-FR"/>
        </w:rPr>
        <w:t>nnexe B)</w:t>
      </w:r>
      <w:r w:rsidR="003E685B">
        <w:rPr>
          <w:lang w:val="fr-FR"/>
        </w:rPr>
        <w:t> </w:t>
      </w:r>
      <w:r w:rsidRPr="00047D1A">
        <w:rPr>
          <w:lang w:val="fr-FR"/>
        </w:rPr>
        <w:t>», dans la colonne (4), remplacer le texte existant par «</w:t>
      </w:r>
      <w:r w:rsidR="003E685B">
        <w:rPr>
          <w:lang w:val="fr-FR"/>
        </w:rPr>
        <w:t> </w:t>
      </w:r>
      <w:r w:rsidRPr="00047D1A">
        <w:rPr>
          <w:lang w:val="fr-FR"/>
        </w:rPr>
        <w:t>Entre le 1</w:t>
      </w:r>
      <w:r w:rsidRPr="003E685B">
        <w:rPr>
          <w:vertAlign w:val="superscript"/>
          <w:lang w:val="fr-FR"/>
        </w:rPr>
        <w:t>er</w:t>
      </w:r>
      <w:r w:rsidR="003E685B">
        <w:rPr>
          <w:lang w:val="fr-FR"/>
        </w:rPr>
        <w:t xml:space="preserve"> </w:t>
      </w:r>
      <w:r w:rsidRPr="00047D1A">
        <w:rPr>
          <w:lang w:val="fr-FR"/>
        </w:rPr>
        <w:t>janvier 2017 et le 31 décembre 2021</w:t>
      </w:r>
      <w:r w:rsidR="003E685B">
        <w:rPr>
          <w:lang w:val="fr-FR"/>
        </w:rPr>
        <w:t> </w:t>
      </w:r>
      <w:r w:rsidRPr="00047D1A">
        <w:rPr>
          <w:lang w:val="fr-FR"/>
        </w:rPr>
        <w:t xml:space="preserve">». </w:t>
      </w:r>
    </w:p>
    <w:p w14:paraId="0036CBF6" w14:textId="77777777" w:rsidR="00047D1A" w:rsidRPr="00047D1A" w:rsidRDefault="00047D1A" w:rsidP="003E685B">
      <w:pPr>
        <w:pStyle w:val="Bullet2G"/>
      </w:pPr>
      <w:r w:rsidRPr="00047D1A">
        <w:rPr>
          <w:lang w:val="fr-FR"/>
        </w:rPr>
        <w:t>Après la rubrique existante pour la norme «</w:t>
      </w:r>
      <w:r w:rsidR="003E685B">
        <w:rPr>
          <w:lang w:val="fr-FR"/>
        </w:rPr>
        <w:t> </w:t>
      </w:r>
      <w:r w:rsidRPr="00047D1A">
        <w:rPr>
          <w:lang w:val="fr-FR"/>
        </w:rPr>
        <w:t xml:space="preserve">EN 14025:2013+A1:2016 (sauf </w:t>
      </w:r>
      <w:r w:rsidR="003E685B" w:rsidRPr="00047D1A">
        <w:rPr>
          <w:lang w:val="fr-FR"/>
        </w:rPr>
        <w:t>a</w:t>
      </w:r>
      <w:r w:rsidRPr="00047D1A">
        <w:rPr>
          <w:lang w:val="fr-FR"/>
        </w:rPr>
        <w:t>nnexe B)</w:t>
      </w:r>
      <w:r w:rsidR="003E685B">
        <w:rPr>
          <w:lang w:val="fr-FR"/>
        </w:rPr>
        <w:t> </w:t>
      </w:r>
      <w:r w:rsidRPr="00047D1A">
        <w:rPr>
          <w:lang w:val="fr-FR"/>
        </w:rPr>
        <w:t>», insérer les nouvelles rubriques suivantes</w:t>
      </w:r>
      <w:r w:rsidR="003E685B">
        <w:rPr>
          <w:lang w:val="fr-FR"/>
        </w:rPr>
        <w:t> </w:t>
      </w:r>
      <w:r w:rsidRPr="00047D1A">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1"/>
        <w:gridCol w:w="4347"/>
        <w:gridCol w:w="756"/>
        <w:gridCol w:w="1607"/>
        <w:gridCol w:w="284"/>
      </w:tblGrid>
      <w:tr w:rsidR="00E917D7" w:rsidRPr="00CE1950" w14:paraId="6E39DE7A" w14:textId="77777777" w:rsidTr="003E685B">
        <w:tc>
          <w:tcPr>
            <w:tcW w:w="1440" w:type="dxa"/>
          </w:tcPr>
          <w:p w14:paraId="513B5191" w14:textId="77777777" w:rsidR="00E917D7" w:rsidRPr="00CE1950" w:rsidRDefault="00E917D7" w:rsidP="003E685B">
            <w:pPr>
              <w:widowControl w:val="0"/>
              <w:spacing w:before="40" w:after="40"/>
              <w:ind w:left="57" w:right="57"/>
              <w:rPr>
                <w:rFonts w:cs="Arial"/>
                <w:sz w:val="18"/>
                <w:szCs w:val="18"/>
              </w:rPr>
            </w:pPr>
            <w:r>
              <w:rPr>
                <w:lang w:val="fr-FR"/>
              </w:rPr>
              <w:t>EN 14025:2018</w:t>
            </w:r>
          </w:p>
        </w:tc>
        <w:tc>
          <w:tcPr>
            <w:tcW w:w="4140" w:type="dxa"/>
          </w:tcPr>
          <w:p w14:paraId="6BB5002A" w14:textId="77777777" w:rsidR="00E917D7" w:rsidRPr="00CE1950" w:rsidRDefault="00E917D7" w:rsidP="003E685B">
            <w:pPr>
              <w:widowControl w:val="0"/>
              <w:spacing w:before="40" w:after="40"/>
              <w:ind w:left="57" w:right="57"/>
              <w:rPr>
                <w:rFonts w:cs="Arial"/>
                <w:sz w:val="18"/>
                <w:szCs w:val="18"/>
              </w:rPr>
            </w:pPr>
            <w:r w:rsidRPr="00ED292B">
              <w:rPr>
                <w:lang w:val="fr-FR"/>
              </w:rPr>
              <w:t xml:space="preserve">Citernes pour le transport de matières dangereuses </w:t>
            </w:r>
            <w:r w:rsidR="003E685B">
              <w:rPr>
                <w:lang w:val="fr-FR"/>
              </w:rPr>
              <w:t>− </w:t>
            </w:r>
            <w:r w:rsidRPr="00ED292B">
              <w:rPr>
                <w:lang w:val="fr-FR"/>
              </w:rPr>
              <w:t xml:space="preserve">Citernes métalliques sous pression </w:t>
            </w:r>
            <w:r w:rsidR="003E685B">
              <w:rPr>
                <w:lang w:val="fr-FR"/>
              </w:rPr>
              <w:t>−</w:t>
            </w:r>
            <w:r w:rsidRPr="00ED292B">
              <w:rPr>
                <w:lang w:val="fr-FR"/>
              </w:rPr>
              <w:t xml:space="preserve"> Conception et fabrication</w:t>
            </w:r>
          </w:p>
          <w:p w14:paraId="19D44757" w14:textId="77777777" w:rsidR="00E917D7" w:rsidRPr="00ED292B" w:rsidRDefault="00E917D7" w:rsidP="003E685B">
            <w:pPr>
              <w:widowControl w:val="0"/>
              <w:spacing w:before="40" w:after="40"/>
              <w:ind w:left="57" w:right="57"/>
              <w:rPr>
                <w:rFonts w:cs="Arial"/>
                <w:i/>
                <w:sz w:val="18"/>
                <w:szCs w:val="18"/>
              </w:rPr>
            </w:pPr>
            <w:r w:rsidRPr="00ED292B">
              <w:rPr>
                <w:b/>
                <w:i/>
                <w:lang w:val="fr-FR"/>
              </w:rPr>
              <w:t>NOTA</w:t>
            </w:r>
            <w:r w:rsidR="003E685B">
              <w:rPr>
                <w:b/>
                <w:i/>
                <w:lang w:val="fr-FR"/>
              </w:rPr>
              <w:t> </w:t>
            </w:r>
            <w:r w:rsidRPr="00ED292B">
              <w:rPr>
                <w:i/>
                <w:lang w:val="fr-FR"/>
              </w:rPr>
              <w:t>: Les matériaux des réservoirs doivent au moins être attestés par un certificat de type 3.1 délivré conformément à la norme EN 10204.</w:t>
            </w:r>
          </w:p>
        </w:tc>
        <w:tc>
          <w:tcPr>
            <w:tcW w:w="720" w:type="dxa"/>
          </w:tcPr>
          <w:p w14:paraId="7FC1A6A6" w14:textId="77777777" w:rsidR="00E917D7" w:rsidRPr="00CE1950" w:rsidRDefault="00E917D7" w:rsidP="003E685B">
            <w:pPr>
              <w:widowControl w:val="0"/>
              <w:spacing w:before="40" w:after="40"/>
              <w:ind w:left="57" w:right="57"/>
              <w:rPr>
                <w:rFonts w:cs="Arial"/>
                <w:sz w:val="18"/>
                <w:szCs w:val="18"/>
              </w:rPr>
            </w:pPr>
            <w:r>
              <w:rPr>
                <w:lang w:val="fr-FR"/>
              </w:rPr>
              <w:t>6.8.2.1 et 6.8.3.1</w:t>
            </w:r>
          </w:p>
        </w:tc>
        <w:tc>
          <w:tcPr>
            <w:tcW w:w="1530" w:type="dxa"/>
          </w:tcPr>
          <w:p w14:paraId="43232A89" w14:textId="77777777" w:rsidR="00E917D7" w:rsidRPr="00CE1950" w:rsidRDefault="00E917D7" w:rsidP="003E685B">
            <w:pPr>
              <w:widowControl w:val="0"/>
              <w:spacing w:before="40" w:after="40"/>
              <w:ind w:left="57" w:right="57"/>
              <w:rPr>
                <w:rFonts w:cs="Arial"/>
                <w:sz w:val="18"/>
                <w:szCs w:val="18"/>
              </w:rPr>
            </w:pPr>
            <w:r>
              <w:rPr>
                <w:lang w:val="fr-FR"/>
              </w:rPr>
              <w:t>Jusqu’à nouvel ordre</w:t>
            </w:r>
          </w:p>
        </w:tc>
        <w:tc>
          <w:tcPr>
            <w:tcW w:w="270" w:type="dxa"/>
            <w:vAlign w:val="center"/>
          </w:tcPr>
          <w:p w14:paraId="3723A9E7" w14:textId="77777777" w:rsidR="00E917D7" w:rsidRPr="00CE1950" w:rsidRDefault="00E917D7" w:rsidP="001244E0">
            <w:pPr>
              <w:widowControl w:val="0"/>
              <w:spacing w:before="40" w:after="40"/>
              <w:ind w:left="57" w:right="57"/>
              <w:rPr>
                <w:rFonts w:cs="Arial"/>
                <w:sz w:val="18"/>
                <w:szCs w:val="18"/>
              </w:rPr>
            </w:pPr>
          </w:p>
        </w:tc>
      </w:tr>
      <w:tr w:rsidR="00E917D7" w:rsidRPr="00CE1950" w14:paraId="5346DD4E" w14:textId="77777777" w:rsidTr="003E685B">
        <w:tc>
          <w:tcPr>
            <w:tcW w:w="1440" w:type="dxa"/>
          </w:tcPr>
          <w:p w14:paraId="3D18ED2D" w14:textId="77777777" w:rsidR="00E917D7" w:rsidRPr="00CE1950" w:rsidRDefault="00E917D7" w:rsidP="003E685B">
            <w:pPr>
              <w:widowControl w:val="0"/>
              <w:spacing w:before="40" w:after="40"/>
              <w:ind w:left="57" w:right="57"/>
              <w:rPr>
                <w:rFonts w:cs="Arial"/>
                <w:sz w:val="18"/>
                <w:szCs w:val="18"/>
              </w:rPr>
            </w:pPr>
            <w:r>
              <w:rPr>
                <w:lang w:val="fr-FR"/>
              </w:rPr>
              <w:t>EN 12972:2018</w:t>
            </w:r>
          </w:p>
        </w:tc>
        <w:tc>
          <w:tcPr>
            <w:tcW w:w="4140" w:type="dxa"/>
          </w:tcPr>
          <w:p w14:paraId="004F9EC2" w14:textId="77777777" w:rsidR="00E917D7" w:rsidRPr="00CE1950" w:rsidRDefault="00E917D7" w:rsidP="003E685B">
            <w:pPr>
              <w:widowControl w:val="0"/>
              <w:spacing w:before="40" w:after="40"/>
              <w:ind w:left="57" w:right="57"/>
              <w:rPr>
                <w:rFonts w:cs="Arial"/>
                <w:sz w:val="18"/>
                <w:szCs w:val="18"/>
              </w:rPr>
            </w:pPr>
            <w:r>
              <w:rPr>
                <w:lang w:val="fr-FR"/>
              </w:rPr>
              <w:t xml:space="preserve">Citernes destinées au transport de matières dangereuses </w:t>
            </w:r>
            <w:r w:rsidR="00AC7B68">
              <w:rPr>
                <w:lang w:val="fr-FR"/>
              </w:rPr>
              <w:t>−</w:t>
            </w:r>
            <w:r>
              <w:rPr>
                <w:lang w:val="fr-FR"/>
              </w:rPr>
              <w:t xml:space="preserve"> Épreuve, contrôle et marquage des citernes métalliques</w:t>
            </w:r>
          </w:p>
        </w:tc>
        <w:tc>
          <w:tcPr>
            <w:tcW w:w="720" w:type="dxa"/>
          </w:tcPr>
          <w:p w14:paraId="098A2FED" w14:textId="77777777" w:rsidR="00E917D7" w:rsidRPr="00CE1950" w:rsidRDefault="00E917D7" w:rsidP="003E685B">
            <w:pPr>
              <w:widowControl w:val="0"/>
              <w:spacing w:before="40" w:after="40"/>
              <w:ind w:left="57" w:right="57"/>
              <w:rPr>
                <w:rFonts w:cs="Arial"/>
                <w:sz w:val="18"/>
                <w:szCs w:val="18"/>
              </w:rPr>
            </w:pPr>
            <w:r>
              <w:rPr>
                <w:lang w:val="fr-FR"/>
              </w:rPr>
              <w:t>6.8.2.3</w:t>
            </w:r>
          </w:p>
        </w:tc>
        <w:tc>
          <w:tcPr>
            <w:tcW w:w="1530" w:type="dxa"/>
          </w:tcPr>
          <w:p w14:paraId="155D5A76" w14:textId="77777777" w:rsidR="00E917D7" w:rsidRPr="00AC7B68" w:rsidRDefault="00E917D7" w:rsidP="003E685B">
            <w:pPr>
              <w:widowControl w:val="0"/>
              <w:spacing w:before="40" w:after="40"/>
              <w:ind w:left="57" w:right="57"/>
              <w:rPr>
                <w:rFonts w:cs="Arial"/>
                <w:spacing w:val="-4"/>
                <w:sz w:val="18"/>
                <w:szCs w:val="18"/>
              </w:rPr>
            </w:pPr>
            <w:r w:rsidRPr="00AC7B68">
              <w:rPr>
                <w:spacing w:val="-4"/>
                <w:lang w:val="fr-FR"/>
              </w:rPr>
              <w:t>Obligatoirement à partir du 1</w:t>
            </w:r>
            <w:r w:rsidRPr="00AC7B68">
              <w:rPr>
                <w:spacing w:val="-4"/>
                <w:vertAlign w:val="superscript"/>
                <w:lang w:val="fr-FR"/>
              </w:rPr>
              <w:t>er</w:t>
            </w:r>
            <w:r w:rsidR="00AC7B68" w:rsidRPr="00AC7B68">
              <w:rPr>
                <w:spacing w:val="-4"/>
                <w:lang w:val="fr-FR"/>
              </w:rPr>
              <w:t xml:space="preserve"> </w:t>
            </w:r>
            <w:r w:rsidRPr="00AC7B68">
              <w:rPr>
                <w:spacing w:val="-4"/>
                <w:lang w:val="fr-FR"/>
              </w:rPr>
              <w:t>janvier 2022</w:t>
            </w:r>
          </w:p>
        </w:tc>
        <w:tc>
          <w:tcPr>
            <w:tcW w:w="270" w:type="dxa"/>
            <w:vAlign w:val="center"/>
          </w:tcPr>
          <w:p w14:paraId="39642E09" w14:textId="77777777" w:rsidR="00E917D7" w:rsidRPr="00CE1950" w:rsidRDefault="00E917D7" w:rsidP="001244E0">
            <w:pPr>
              <w:widowControl w:val="0"/>
              <w:spacing w:before="40" w:after="40"/>
              <w:ind w:left="57" w:right="57"/>
              <w:rPr>
                <w:rFonts w:cs="Arial"/>
                <w:sz w:val="18"/>
                <w:szCs w:val="18"/>
              </w:rPr>
            </w:pPr>
          </w:p>
        </w:tc>
      </w:tr>
    </w:tbl>
    <w:p w14:paraId="60A4ED2C" w14:textId="77777777" w:rsidR="00E917D7" w:rsidRPr="00E917D7" w:rsidRDefault="00E917D7" w:rsidP="00AC7B68">
      <w:pPr>
        <w:pStyle w:val="Bullet2G"/>
        <w:spacing w:before="240"/>
      </w:pPr>
      <w:r w:rsidRPr="00E917D7">
        <w:rPr>
          <w:lang w:val="fr-FR"/>
        </w:rPr>
        <w:t>Pour «</w:t>
      </w:r>
      <w:r w:rsidR="00AC7B68">
        <w:rPr>
          <w:lang w:val="fr-FR"/>
        </w:rPr>
        <w:t> </w:t>
      </w:r>
      <w:r w:rsidRPr="00E917D7">
        <w:rPr>
          <w:lang w:val="fr-FR"/>
        </w:rPr>
        <w:t>EN 12493:2013+A1:2014+AC:2015 (sauf annexe C)</w:t>
      </w:r>
      <w:r w:rsidR="00AC7B68">
        <w:rPr>
          <w:lang w:val="fr-FR"/>
        </w:rPr>
        <w:t> </w:t>
      </w:r>
      <w:r w:rsidRPr="00E917D7">
        <w:rPr>
          <w:lang w:val="fr-FR"/>
        </w:rPr>
        <w:t>», dans la colonne (4), remplacer le texte existant par «</w:t>
      </w:r>
      <w:r w:rsidR="00AC7B68">
        <w:rPr>
          <w:lang w:val="fr-FR"/>
        </w:rPr>
        <w:t> </w:t>
      </w:r>
      <w:r w:rsidRPr="00E917D7">
        <w:rPr>
          <w:lang w:val="fr-FR"/>
        </w:rPr>
        <w:t>Entre le 1</w:t>
      </w:r>
      <w:r w:rsidRPr="00AC7B68">
        <w:rPr>
          <w:vertAlign w:val="superscript"/>
          <w:lang w:val="fr-FR"/>
        </w:rPr>
        <w:t>er</w:t>
      </w:r>
      <w:r w:rsidR="00AC7B68">
        <w:rPr>
          <w:lang w:val="fr-FR"/>
        </w:rPr>
        <w:t xml:space="preserve"> </w:t>
      </w:r>
      <w:r w:rsidRPr="00E917D7">
        <w:rPr>
          <w:lang w:val="fr-FR"/>
        </w:rPr>
        <w:t>janvier 2017 et le 31</w:t>
      </w:r>
      <w:r w:rsidR="00AC7B68">
        <w:rPr>
          <w:lang w:val="fr-FR"/>
        </w:rPr>
        <w:t> </w:t>
      </w:r>
      <w:r w:rsidRPr="00E917D7">
        <w:rPr>
          <w:lang w:val="fr-FR"/>
        </w:rPr>
        <w:t>décembre 2022</w:t>
      </w:r>
      <w:r w:rsidR="00AC7B68">
        <w:rPr>
          <w:lang w:val="fr-FR"/>
        </w:rPr>
        <w:t> </w:t>
      </w:r>
      <w:r w:rsidRPr="00E917D7">
        <w:rPr>
          <w:lang w:val="fr-FR"/>
        </w:rPr>
        <w:t xml:space="preserve">». </w:t>
      </w:r>
    </w:p>
    <w:p w14:paraId="322BAA25" w14:textId="77777777" w:rsidR="00E917D7" w:rsidRPr="00E917D7" w:rsidRDefault="00E917D7" w:rsidP="00AC7B68">
      <w:pPr>
        <w:pStyle w:val="Bullet2G"/>
        <w:keepNext/>
      </w:pPr>
      <w:r w:rsidRPr="00E917D7">
        <w:rPr>
          <w:lang w:val="fr-FR"/>
        </w:rPr>
        <w:lastRenderedPageBreak/>
        <w:t>Après la rubrique existante pour la norme «</w:t>
      </w:r>
      <w:r w:rsidR="00AC7B68">
        <w:rPr>
          <w:lang w:val="fr-FR"/>
        </w:rPr>
        <w:t> </w:t>
      </w:r>
      <w:r w:rsidRPr="00E917D7">
        <w:rPr>
          <w:lang w:val="fr-FR"/>
        </w:rPr>
        <w:t>EN 12493:2013</w:t>
      </w:r>
      <w:r w:rsidR="00AC7B68">
        <w:rPr>
          <w:lang w:val="fr-FR"/>
        </w:rPr>
        <w:br/>
      </w:r>
      <w:r w:rsidRPr="00E917D7">
        <w:rPr>
          <w:lang w:val="fr-FR"/>
        </w:rPr>
        <w:t>+A1:2014+AC:2015 (sauf annexe C)</w:t>
      </w:r>
      <w:r w:rsidR="00AC7B68">
        <w:rPr>
          <w:lang w:val="fr-FR"/>
        </w:rPr>
        <w:t> </w:t>
      </w:r>
      <w:r w:rsidRPr="00E917D7">
        <w:rPr>
          <w:lang w:val="fr-FR"/>
        </w:rPr>
        <w:t>», insérer la nouvelle rubrique suivante</w:t>
      </w:r>
      <w:r w:rsidR="00AC7B68">
        <w:rPr>
          <w:lang w:val="fr-FR"/>
        </w:rPr>
        <w:t> </w:t>
      </w:r>
      <w:r w:rsidRPr="00E917D7">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3"/>
        <w:gridCol w:w="4003"/>
        <w:gridCol w:w="1600"/>
        <w:gridCol w:w="1145"/>
        <w:gridCol w:w="254"/>
      </w:tblGrid>
      <w:tr w:rsidR="00E917D7" w:rsidRPr="00CE1950" w14:paraId="509C327C" w14:textId="77777777" w:rsidTr="00F22372">
        <w:tc>
          <w:tcPr>
            <w:tcW w:w="1503" w:type="dxa"/>
          </w:tcPr>
          <w:p w14:paraId="502B1C44" w14:textId="77777777" w:rsidR="00E917D7" w:rsidRPr="00CE1950" w:rsidRDefault="00E917D7" w:rsidP="00AC7B68">
            <w:pPr>
              <w:keepNext/>
              <w:widowControl w:val="0"/>
              <w:spacing w:before="40" w:after="40"/>
              <w:ind w:left="57" w:right="57"/>
              <w:rPr>
                <w:bCs/>
                <w:iCs/>
                <w:sz w:val="18"/>
                <w:szCs w:val="18"/>
              </w:rPr>
            </w:pPr>
            <w:r w:rsidRPr="00F22372">
              <w:rPr>
                <w:spacing w:val="-4"/>
                <w:lang w:val="fr-FR"/>
              </w:rPr>
              <w:t>EN 12493:2013+</w:t>
            </w:r>
            <w:r w:rsidR="00C414E5">
              <w:rPr>
                <w:lang w:val="fr-FR"/>
              </w:rPr>
              <w:br/>
            </w:r>
            <w:r>
              <w:rPr>
                <w:lang w:val="fr-FR"/>
              </w:rPr>
              <w:t>A2:2018 (sauf annexe C)</w:t>
            </w:r>
          </w:p>
        </w:tc>
        <w:tc>
          <w:tcPr>
            <w:tcW w:w="4003" w:type="dxa"/>
          </w:tcPr>
          <w:p w14:paraId="20E839D7" w14:textId="77777777" w:rsidR="00E917D7" w:rsidRPr="00CE1950" w:rsidRDefault="00E917D7" w:rsidP="00AC7B68">
            <w:pPr>
              <w:keepNext/>
              <w:widowControl w:val="0"/>
              <w:spacing w:before="40" w:after="40"/>
              <w:ind w:left="57" w:right="57"/>
              <w:rPr>
                <w:bCs/>
                <w:iCs/>
                <w:sz w:val="18"/>
                <w:szCs w:val="18"/>
              </w:rPr>
            </w:pPr>
            <w:r>
              <w:rPr>
                <w:lang w:val="fr-FR"/>
              </w:rPr>
              <w:t xml:space="preserve">Équipements pour GPL et leurs accessoires </w:t>
            </w:r>
            <w:r w:rsidR="00C414E5">
              <w:rPr>
                <w:lang w:val="fr-FR"/>
              </w:rPr>
              <w:t>−</w:t>
            </w:r>
            <w:r>
              <w:rPr>
                <w:lang w:val="fr-FR"/>
              </w:rPr>
              <w:t xml:space="preserve"> Réservoirs sous pression en acier soudé des camions-citernes pour GPL </w:t>
            </w:r>
            <w:r w:rsidR="00C414E5">
              <w:rPr>
                <w:lang w:val="fr-FR"/>
              </w:rPr>
              <w:t>−</w:t>
            </w:r>
            <w:r>
              <w:rPr>
                <w:lang w:val="fr-FR"/>
              </w:rPr>
              <w:t xml:space="preserve"> Conception et construction</w:t>
            </w:r>
          </w:p>
        </w:tc>
        <w:tc>
          <w:tcPr>
            <w:tcW w:w="1600" w:type="dxa"/>
          </w:tcPr>
          <w:p w14:paraId="07FFBE7B" w14:textId="77777777" w:rsidR="00E917D7" w:rsidRPr="00ED292B" w:rsidRDefault="00E917D7" w:rsidP="00AC7B68">
            <w:pPr>
              <w:widowControl w:val="0"/>
              <w:spacing w:before="40" w:after="40"/>
              <w:ind w:left="57" w:right="57"/>
              <w:rPr>
                <w:lang w:val="fr-FR"/>
              </w:rPr>
            </w:pPr>
            <w:r w:rsidRPr="00ED292B">
              <w:rPr>
                <w:lang w:val="fr-FR"/>
              </w:rPr>
              <w:t>6.8.2.1, 6.8.2.5</w:t>
            </w:r>
          </w:p>
          <w:p w14:paraId="793B3232" w14:textId="77777777" w:rsidR="00E917D7" w:rsidRPr="00ED292B" w:rsidRDefault="00E917D7" w:rsidP="00AC7B68">
            <w:pPr>
              <w:widowControl w:val="0"/>
              <w:spacing w:before="40" w:after="40"/>
              <w:ind w:left="57" w:right="57"/>
              <w:rPr>
                <w:lang w:val="fr-FR"/>
              </w:rPr>
            </w:pPr>
            <w:r w:rsidRPr="00ED292B">
              <w:rPr>
                <w:lang w:val="fr-FR"/>
              </w:rPr>
              <w:t>6.8.3.1, 6.8.3.5</w:t>
            </w:r>
          </w:p>
          <w:p w14:paraId="6F01AD3C" w14:textId="77777777" w:rsidR="00E917D7" w:rsidRPr="00CE1950" w:rsidRDefault="00E917D7" w:rsidP="00AC7B68">
            <w:pPr>
              <w:widowControl w:val="0"/>
              <w:spacing w:before="40" w:after="40"/>
              <w:ind w:left="57" w:right="57"/>
              <w:rPr>
                <w:bCs/>
                <w:sz w:val="18"/>
                <w:szCs w:val="18"/>
              </w:rPr>
            </w:pPr>
            <w:r w:rsidRPr="00ED292B">
              <w:rPr>
                <w:lang w:val="fr-FR"/>
              </w:rPr>
              <w:t xml:space="preserve">6.8.5.1 à </w:t>
            </w:r>
            <w:r>
              <w:rPr>
                <w:lang w:val="fr-FR"/>
              </w:rPr>
              <w:t>6</w:t>
            </w:r>
            <w:r w:rsidRPr="00ED292B">
              <w:rPr>
                <w:lang w:val="fr-FR"/>
              </w:rPr>
              <w:t>.8.5.3</w:t>
            </w:r>
          </w:p>
        </w:tc>
        <w:tc>
          <w:tcPr>
            <w:tcW w:w="1145" w:type="dxa"/>
          </w:tcPr>
          <w:p w14:paraId="2E5FC76A" w14:textId="77777777" w:rsidR="00E917D7" w:rsidRPr="00CE1950" w:rsidRDefault="00E917D7" w:rsidP="00AC7B68">
            <w:pPr>
              <w:widowControl w:val="0"/>
              <w:spacing w:before="40" w:after="40"/>
              <w:ind w:left="57" w:right="57"/>
              <w:rPr>
                <w:bCs/>
                <w:sz w:val="18"/>
                <w:szCs w:val="18"/>
              </w:rPr>
            </w:pPr>
            <w:r>
              <w:rPr>
                <w:lang w:val="fr-FR"/>
              </w:rPr>
              <w:t>Jusqu’à nouvel ordre</w:t>
            </w:r>
          </w:p>
        </w:tc>
        <w:tc>
          <w:tcPr>
            <w:tcW w:w="254" w:type="dxa"/>
          </w:tcPr>
          <w:p w14:paraId="2B7207A6" w14:textId="77777777" w:rsidR="00E917D7" w:rsidRPr="00CE1950" w:rsidRDefault="00E917D7" w:rsidP="00AC7B68">
            <w:pPr>
              <w:widowControl w:val="0"/>
              <w:spacing w:before="40" w:after="40"/>
              <w:ind w:left="57" w:right="57"/>
              <w:rPr>
                <w:bCs/>
                <w:sz w:val="18"/>
                <w:szCs w:val="18"/>
              </w:rPr>
            </w:pPr>
          </w:p>
        </w:tc>
      </w:tr>
    </w:tbl>
    <w:p w14:paraId="1349AE52" w14:textId="77777777" w:rsidR="00E917D7" w:rsidRPr="00F22372" w:rsidRDefault="00E917D7" w:rsidP="00C414E5">
      <w:pPr>
        <w:pStyle w:val="SingleTxtG"/>
        <w:keepNext/>
        <w:spacing w:before="240"/>
        <w:ind w:left="2835" w:hanging="567"/>
      </w:pPr>
      <w:r w:rsidRPr="00F22372">
        <w:rPr>
          <w:lang w:val="fr-FR"/>
        </w:rPr>
        <w:t>b)</w:t>
      </w:r>
      <w:r w:rsidRPr="00F22372">
        <w:rPr>
          <w:lang w:val="fr-FR"/>
        </w:rPr>
        <w:tab/>
        <w:t>Sous «</w:t>
      </w:r>
      <w:r w:rsidR="00C414E5" w:rsidRPr="00F22372">
        <w:rPr>
          <w:lang w:val="fr-FR"/>
        </w:rPr>
        <w:t> </w:t>
      </w:r>
      <w:r w:rsidRPr="00F22372">
        <w:rPr>
          <w:b/>
          <w:lang w:val="fr-FR"/>
        </w:rPr>
        <w:t>Pour les équipements</w:t>
      </w:r>
      <w:r w:rsidR="00C414E5" w:rsidRPr="00F22372">
        <w:rPr>
          <w:b/>
          <w:lang w:val="fr-FR"/>
        </w:rPr>
        <w:t> </w:t>
      </w:r>
      <w:r w:rsidRPr="00F22372">
        <w:rPr>
          <w:lang w:val="fr-FR"/>
        </w:rPr>
        <w:t>»</w:t>
      </w:r>
      <w:r w:rsidR="00C414E5" w:rsidRPr="00F22372">
        <w:rPr>
          <w:lang w:val="fr-FR"/>
        </w:rPr>
        <w:t> </w:t>
      </w:r>
      <w:r w:rsidRPr="00F22372">
        <w:rPr>
          <w:lang w:val="fr-FR"/>
        </w:rPr>
        <w:t>:</w:t>
      </w:r>
    </w:p>
    <w:p w14:paraId="0CB12927" w14:textId="77777777" w:rsidR="00E917D7" w:rsidRPr="00F22372" w:rsidRDefault="00E917D7" w:rsidP="00F22372">
      <w:pPr>
        <w:pStyle w:val="Bullet2G"/>
        <w:keepNext/>
      </w:pPr>
      <w:r w:rsidRPr="00F22372">
        <w:rPr>
          <w:lang w:val="fr-FR"/>
        </w:rPr>
        <w:t>Pour la norme «</w:t>
      </w:r>
      <w:r w:rsidR="00F22372">
        <w:rPr>
          <w:lang w:val="fr-FR"/>
        </w:rPr>
        <w:t> </w:t>
      </w:r>
      <w:r w:rsidRPr="00F22372">
        <w:rPr>
          <w:lang w:val="fr-FR"/>
        </w:rPr>
        <w:t>EN 13317:2002+A1:2006</w:t>
      </w:r>
      <w:r w:rsidR="001455AE">
        <w:rPr>
          <w:lang w:val="fr-FR"/>
        </w:rPr>
        <w:t> </w:t>
      </w:r>
      <w:r w:rsidRPr="00F22372">
        <w:rPr>
          <w:lang w:val="fr-FR"/>
        </w:rPr>
        <w:t>», dans la colonne (4), remplacer le texte existant par «</w:t>
      </w:r>
      <w:r w:rsidR="001455AE">
        <w:rPr>
          <w:lang w:val="fr-FR"/>
        </w:rPr>
        <w:t> </w:t>
      </w:r>
      <w:r w:rsidRPr="00F22372">
        <w:rPr>
          <w:lang w:val="fr-FR"/>
        </w:rPr>
        <w:t>entre le 1</w:t>
      </w:r>
      <w:r w:rsidRPr="001455AE">
        <w:rPr>
          <w:vertAlign w:val="superscript"/>
          <w:lang w:val="fr-FR"/>
        </w:rPr>
        <w:t>er</w:t>
      </w:r>
      <w:r w:rsidR="001455AE">
        <w:rPr>
          <w:lang w:val="fr-FR"/>
        </w:rPr>
        <w:t xml:space="preserve"> </w:t>
      </w:r>
      <w:r w:rsidRPr="00F22372">
        <w:rPr>
          <w:lang w:val="fr-FR"/>
        </w:rPr>
        <w:t>janvier 2009 et le 31 décembre 2021</w:t>
      </w:r>
      <w:r w:rsidR="001455AE">
        <w:rPr>
          <w:lang w:val="fr-FR"/>
        </w:rPr>
        <w:t> </w:t>
      </w:r>
      <w:r w:rsidRPr="00F22372">
        <w:rPr>
          <w:lang w:val="fr-FR"/>
        </w:rPr>
        <w:t xml:space="preserve">». </w:t>
      </w:r>
    </w:p>
    <w:p w14:paraId="03847AD7" w14:textId="77777777" w:rsidR="00E917D7" w:rsidRPr="00E917D7" w:rsidRDefault="00E917D7" w:rsidP="00F22372">
      <w:pPr>
        <w:pStyle w:val="Bullet2G"/>
        <w:keepNext/>
      </w:pPr>
      <w:r w:rsidRPr="00F22372">
        <w:rPr>
          <w:lang w:val="fr-FR"/>
        </w:rPr>
        <w:t xml:space="preserve">Après la rubrique existante </w:t>
      </w:r>
      <w:r w:rsidRPr="00E917D7">
        <w:rPr>
          <w:lang w:val="fr-FR"/>
        </w:rPr>
        <w:t>pour la norme «</w:t>
      </w:r>
      <w:r w:rsidR="001455AE">
        <w:rPr>
          <w:lang w:val="fr-FR"/>
        </w:rPr>
        <w:t> </w:t>
      </w:r>
      <w:r w:rsidRPr="00E917D7">
        <w:rPr>
          <w:lang w:val="fr-FR"/>
        </w:rPr>
        <w:t>EN 13317:2002+A1:2006</w:t>
      </w:r>
      <w:r w:rsidR="001455AE">
        <w:rPr>
          <w:lang w:val="fr-FR"/>
        </w:rPr>
        <w:t> </w:t>
      </w:r>
      <w:r w:rsidRPr="00E917D7">
        <w:rPr>
          <w:lang w:val="fr-FR"/>
        </w:rPr>
        <w:t>», insérer la nouvelle rubrique suivante</w:t>
      </w:r>
      <w:r w:rsidR="001455AE">
        <w:rPr>
          <w:lang w:val="fr-FR"/>
        </w:rPr>
        <w:t> </w:t>
      </w:r>
      <w:r w:rsidRPr="00E917D7">
        <w:rPr>
          <w:lang w:val="fr-FR"/>
        </w:rPr>
        <w:t>:</w:t>
      </w:r>
    </w:p>
    <w:tbl>
      <w:tblPr>
        <w:tblW w:w="8506"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501"/>
        <w:gridCol w:w="4003"/>
        <w:gridCol w:w="1596"/>
        <w:gridCol w:w="1148"/>
        <w:gridCol w:w="258"/>
      </w:tblGrid>
      <w:tr w:rsidR="00E917D7" w:rsidRPr="00CE1950" w14:paraId="04072D5E" w14:textId="77777777" w:rsidTr="00F22372">
        <w:trPr>
          <w:trHeight w:val="517"/>
        </w:trPr>
        <w:tc>
          <w:tcPr>
            <w:tcW w:w="1501" w:type="dxa"/>
            <w:tcBorders>
              <w:top w:val="single" w:sz="4" w:space="0" w:color="auto"/>
            </w:tcBorders>
          </w:tcPr>
          <w:p w14:paraId="0C692A07" w14:textId="77777777" w:rsidR="00E917D7" w:rsidRPr="00CE1950" w:rsidRDefault="00E917D7" w:rsidP="00C414E5">
            <w:pPr>
              <w:widowControl w:val="0"/>
              <w:spacing w:before="40" w:after="40"/>
              <w:ind w:left="57" w:right="57"/>
              <w:rPr>
                <w:rFonts w:cs="Arial"/>
                <w:sz w:val="18"/>
                <w:szCs w:val="18"/>
              </w:rPr>
            </w:pPr>
            <w:r>
              <w:rPr>
                <w:lang w:val="fr-FR"/>
              </w:rPr>
              <w:t>EN 13317:2018</w:t>
            </w:r>
          </w:p>
        </w:tc>
        <w:tc>
          <w:tcPr>
            <w:tcW w:w="4003" w:type="dxa"/>
            <w:tcBorders>
              <w:top w:val="single" w:sz="4" w:space="0" w:color="auto"/>
            </w:tcBorders>
          </w:tcPr>
          <w:p w14:paraId="397E108E" w14:textId="77777777" w:rsidR="00E917D7" w:rsidRPr="00CE1950" w:rsidRDefault="00E917D7" w:rsidP="00C414E5">
            <w:pPr>
              <w:widowControl w:val="0"/>
              <w:spacing w:before="40" w:after="40"/>
              <w:ind w:left="57" w:right="57"/>
              <w:rPr>
                <w:rFonts w:cs="Arial"/>
                <w:sz w:val="18"/>
                <w:szCs w:val="18"/>
              </w:rPr>
            </w:pPr>
            <w:r w:rsidRPr="00EF117A">
              <w:rPr>
                <w:lang w:val="fr-FR"/>
              </w:rPr>
              <w:t xml:space="preserve">Citernes pour le transport de matières dangereuses </w:t>
            </w:r>
            <w:r w:rsidR="001455AE">
              <w:rPr>
                <w:lang w:val="fr-FR"/>
              </w:rPr>
              <w:t>−</w:t>
            </w:r>
            <w:r w:rsidRPr="00EF117A">
              <w:rPr>
                <w:lang w:val="fr-FR"/>
              </w:rPr>
              <w:t xml:space="preserve"> Équipements de service pour citernes </w:t>
            </w:r>
            <w:r w:rsidR="001455AE">
              <w:rPr>
                <w:lang w:val="fr-FR"/>
              </w:rPr>
              <w:t>−</w:t>
            </w:r>
            <w:r w:rsidRPr="00EF117A">
              <w:rPr>
                <w:lang w:val="fr-FR"/>
              </w:rPr>
              <w:t xml:space="preserve"> Couvercle de trou d</w:t>
            </w:r>
            <w:r>
              <w:rPr>
                <w:lang w:val="fr-FR"/>
              </w:rPr>
              <w:t>’</w:t>
            </w:r>
            <w:r w:rsidRPr="00EF117A">
              <w:rPr>
                <w:lang w:val="fr-FR"/>
              </w:rPr>
              <w:t>homme</w:t>
            </w:r>
          </w:p>
        </w:tc>
        <w:tc>
          <w:tcPr>
            <w:tcW w:w="1596" w:type="dxa"/>
            <w:tcBorders>
              <w:top w:val="single" w:sz="4" w:space="0" w:color="auto"/>
            </w:tcBorders>
          </w:tcPr>
          <w:p w14:paraId="344DF266" w14:textId="77777777" w:rsidR="00E917D7" w:rsidRPr="00CE1950" w:rsidRDefault="00E917D7" w:rsidP="00C414E5">
            <w:pPr>
              <w:widowControl w:val="0"/>
              <w:spacing w:before="40" w:after="40"/>
              <w:ind w:left="57" w:right="57"/>
              <w:rPr>
                <w:rFonts w:cs="Arial"/>
                <w:sz w:val="18"/>
                <w:szCs w:val="18"/>
              </w:rPr>
            </w:pPr>
            <w:r>
              <w:rPr>
                <w:lang w:val="fr-FR"/>
              </w:rPr>
              <w:t>6.8.2.2 et 6.8.2.4.1</w:t>
            </w:r>
          </w:p>
        </w:tc>
        <w:tc>
          <w:tcPr>
            <w:tcW w:w="1148" w:type="dxa"/>
            <w:tcBorders>
              <w:top w:val="single" w:sz="6" w:space="0" w:color="auto"/>
              <w:left w:val="single" w:sz="6" w:space="0" w:color="auto"/>
              <w:bottom w:val="single" w:sz="6" w:space="0" w:color="auto"/>
              <w:right w:val="single" w:sz="6" w:space="0" w:color="auto"/>
            </w:tcBorders>
          </w:tcPr>
          <w:p w14:paraId="2D591297" w14:textId="77777777" w:rsidR="00E917D7" w:rsidRPr="00CE1950" w:rsidRDefault="00E917D7" w:rsidP="00C414E5">
            <w:pPr>
              <w:widowControl w:val="0"/>
              <w:spacing w:before="40" w:after="40"/>
              <w:ind w:left="57" w:right="57"/>
              <w:rPr>
                <w:rFonts w:cs="Arial"/>
                <w:sz w:val="18"/>
                <w:szCs w:val="18"/>
              </w:rPr>
            </w:pPr>
            <w:r>
              <w:rPr>
                <w:lang w:val="fr-FR"/>
              </w:rPr>
              <w:t>Jusqu’à nouvel ordre</w:t>
            </w:r>
          </w:p>
        </w:tc>
        <w:tc>
          <w:tcPr>
            <w:tcW w:w="258" w:type="dxa"/>
            <w:tcBorders>
              <w:top w:val="single" w:sz="4" w:space="0" w:color="auto"/>
            </w:tcBorders>
            <w:vAlign w:val="center"/>
          </w:tcPr>
          <w:p w14:paraId="4D2AF509" w14:textId="77777777" w:rsidR="00E917D7" w:rsidRPr="00CE1950" w:rsidRDefault="00E917D7" w:rsidP="001244E0">
            <w:pPr>
              <w:widowControl w:val="0"/>
              <w:spacing w:before="40" w:after="40"/>
              <w:ind w:left="57" w:right="57"/>
              <w:rPr>
                <w:rFonts w:cs="Arial"/>
                <w:sz w:val="18"/>
                <w:szCs w:val="18"/>
              </w:rPr>
            </w:pPr>
          </w:p>
        </w:tc>
      </w:tr>
    </w:tbl>
    <w:p w14:paraId="2264337C" w14:textId="77777777" w:rsidR="00E917D7" w:rsidRPr="00E917D7" w:rsidRDefault="00E917D7" w:rsidP="00F22372">
      <w:pPr>
        <w:pStyle w:val="SingleTxtG"/>
        <w:spacing w:before="240"/>
        <w:rPr>
          <w:i/>
          <w:iCs/>
        </w:rPr>
      </w:pPr>
      <w:r w:rsidRPr="00E917D7">
        <w:rPr>
          <w:i/>
          <w:lang w:val="fr-FR"/>
        </w:rPr>
        <w:t>(Document de référence</w:t>
      </w:r>
      <w:r w:rsidR="001455AE">
        <w:rPr>
          <w:i/>
          <w:lang w:val="fr-FR"/>
        </w:rPr>
        <w:t> </w:t>
      </w:r>
      <w:r w:rsidRPr="00E917D7">
        <w:rPr>
          <w:i/>
          <w:lang w:val="fr-FR"/>
        </w:rPr>
        <w:t>: document informel INF.21/Add.1)</w:t>
      </w:r>
    </w:p>
    <w:p w14:paraId="7917E8B2" w14:textId="77777777" w:rsidR="00E917D7" w:rsidRPr="00E917D7" w:rsidRDefault="00E917D7" w:rsidP="00EF40DB">
      <w:pPr>
        <w:pStyle w:val="SingleTxtG"/>
        <w:ind w:left="2268" w:hanging="1134"/>
      </w:pPr>
      <w:r w:rsidRPr="00E917D7">
        <w:rPr>
          <w:lang w:val="fr-FR"/>
        </w:rPr>
        <w:t>6.8.2.6.2</w:t>
      </w:r>
      <w:r w:rsidRPr="00E917D7">
        <w:rPr>
          <w:lang w:val="fr-FR"/>
        </w:rPr>
        <w:tab/>
        <w:t>Pour «</w:t>
      </w:r>
      <w:r w:rsidR="001455AE">
        <w:rPr>
          <w:lang w:val="fr-FR"/>
        </w:rPr>
        <w:t> </w:t>
      </w:r>
      <w:r w:rsidRPr="00E917D7">
        <w:rPr>
          <w:lang w:val="fr-FR"/>
        </w:rPr>
        <w:t>EN 12972:2007</w:t>
      </w:r>
      <w:r w:rsidR="001455AE">
        <w:rPr>
          <w:lang w:val="fr-FR"/>
        </w:rPr>
        <w:t> </w:t>
      </w:r>
      <w:r w:rsidRPr="00E917D7">
        <w:rPr>
          <w:lang w:val="fr-FR"/>
        </w:rPr>
        <w:t>», dans la colonne (4), remplacer le texte existant par «</w:t>
      </w:r>
      <w:r w:rsidR="001455AE">
        <w:rPr>
          <w:lang w:val="fr-FR"/>
        </w:rPr>
        <w:t> </w:t>
      </w:r>
      <w:r w:rsidRPr="00E917D7">
        <w:rPr>
          <w:lang w:val="fr-FR"/>
        </w:rPr>
        <w:t>Jusqu’au 30 juin 2021</w:t>
      </w:r>
      <w:r w:rsidR="001455AE">
        <w:rPr>
          <w:lang w:val="fr-FR"/>
        </w:rPr>
        <w:t> </w:t>
      </w:r>
      <w:r w:rsidRPr="00E917D7">
        <w:rPr>
          <w:lang w:val="fr-FR"/>
        </w:rPr>
        <w:t xml:space="preserve">». </w:t>
      </w:r>
    </w:p>
    <w:p w14:paraId="2546EDE6" w14:textId="77777777" w:rsidR="00E917D7" w:rsidRPr="00E917D7" w:rsidRDefault="00E917D7" w:rsidP="00F22372">
      <w:pPr>
        <w:pStyle w:val="Bullet2G"/>
        <w:keepNext/>
      </w:pPr>
      <w:r w:rsidRPr="00E917D7">
        <w:rPr>
          <w:lang w:val="fr-FR"/>
        </w:rPr>
        <w:t>Ajouter la nouvelle rubrique suivante après celle applicable à la norme «</w:t>
      </w:r>
      <w:r w:rsidR="001455AE">
        <w:rPr>
          <w:lang w:val="fr-FR"/>
        </w:rPr>
        <w:t> </w:t>
      </w:r>
      <w:r w:rsidRPr="00E917D7">
        <w:rPr>
          <w:lang w:val="fr-FR"/>
        </w:rPr>
        <w:t>EN</w:t>
      </w:r>
      <w:r w:rsidR="001455AE">
        <w:rPr>
          <w:lang w:val="fr-FR"/>
        </w:rPr>
        <w:t> </w:t>
      </w:r>
      <w:r w:rsidRPr="00E917D7">
        <w:rPr>
          <w:lang w:val="fr-FR"/>
        </w:rPr>
        <w:t>12972:2007</w:t>
      </w:r>
      <w:r w:rsidR="001455AE">
        <w:rPr>
          <w:lang w:val="fr-FR"/>
        </w:rPr>
        <w:t> </w:t>
      </w:r>
      <w:r w:rsidRPr="00E917D7">
        <w:rPr>
          <w:lang w:val="fr-FR"/>
        </w:rPr>
        <w:t>»</w:t>
      </w:r>
      <w:r w:rsidR="001455AE">
        <w:rPr>
          <w:lang w:val="fr-FR"/>
        </w:rPr>
        <w:t> </w:t>
      </w:r>
      <w:r w:rsidRPr="00E917D7">
        <w:rPr>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3993"/>
        <w:gridCol w:w="1331"/>
        <w:gridCol w:w="1445"/>
        <w:gridCol w:w="224"/>
      </w:tblGrid>
      <w:tr w:rsidR="00DF5233" w:rsidRPr="00CE1950" w14:paraId="0016C449" w14:textId="77777777" w:rsidTr="00C5424A">
        <w:tc>
          <w:tcPr>
            <w:tcW w:w="1512" w:type="dxa"/>
          </w:tcPr>
          <w:p w14:paraId="2D216680" w14:textId="77777777" w:rsidR="00DF5233" w:rsidRPr="00CE1950" w:rsidRDefault="00DF5233" w:rsidP="00C5424A">
            <w:pPr>
              <w:widowControl w:val="0"/>
              <w:spacing w:before="40" w:after="40"/>
              <w:ind w:left="57" w:right="57"/>
              <w:rPr>
                <w:rFonts w:cs="Arial"/>
                <w:sz w:val="18"/>
                <w:szCs w:val="18"/>
              </w:rPr>
            </w:pPr>
            <w:r>
              <w:rPr>
                <w:lang w:val="fr-FR"/>
              </w:rPr>
              <w:t>EN 12972:2018</w:t>
            </w:r>
          </w:p>
        </w:tc>
        <w:tc>
          <w:tcPr>
            <w:tcW w:w="3993" w:type="dxa"/>
          </w:tcPr>
          <w:p w14:paraId="7565FD16" w14:textId="77777777" w:rsidR="00DF5233" w:rsidRPr="00CE1950" w:rsidRDefault="00DF5233" w:rsidP="00C5424A">
            <w:pPr>
              <w:widowControl w:val="0"/>
              <w:spacing w:before="40" w:after="40"/>
              <w:ind w:left="57" w:right="57"/>
              <w:rPr>
                <w:rFonts w:cs="Arial"/>
                <w:sz w:val="18"/>
                <w:szCs w:val="18"/>
              </w:rPr>
            </w:pPr>
            <w:r>
              <w:rPr>
                <w:lang w:val="fr-FR"/>
              </w:rPr>
              <w:t xml:space="preserve">Citernes destinées au transport de matières dangereuses </w:t>
            </w:r>
            <w:r w:rsidR="001455AE">
              <w:rPr>
                <w:lang w:val="fr-FR"/>
              </w:rPr>
              <w:t>−</w:t>
            </w:r>
            <w:r>
              <w:rPr>
                <w:lang w:val="fr-FR"/>
              </w:rPr>
              <w:t xml:space="preserve"> Épreuve, contrôle et marquage des citernes métalliques</w:t>
            </w:r>
          </w:p>
        </w:tc>
        <w:tc>
          <w:tcPr>
            <w:tcW w:w="1331" w:type="dxa"/>
          </w:tcPr>
          <w:p w14:paraId="64AB24DC" w14:textId="77777777" w:rsidR="00DF5233" w:rsidRPr="00CE1950" w:rsidRDefault="00DF5233" w:rsidP="00C5424A">
            <w:pPr>
              <w:widowControl w:val="0"/>
              <w:spacing w:before="40" w:after="40"/>
              <w:ind w:left="57" w:right="57"/>
              <w:rPr>
                <w:rFonts w:cs="Arial"/>
                <w:sz w:val="18"/>
                <w:szCs w:val="18"/>
              </w:rPr>
            </w:pPr>
            <w:r>
              <w:rPr>
                <w:lang w:val="fr-FR"/>
              </w:rPr>
              <w:t>6.8.2.4</w:t>
            </w:r>
          </w:p>
          <w:p w14:paraId="14B1ED1B" w14:textId="77777777" w:rsidR="00DF5233" w:rsidRPr="00CE1950" w:rsidRDefault="00DF5233" w:rsidP="00C5424A">
            <w:pPr>
              <w:widowControl w:val="0"/>
              <w:spacing w:before="40" w:after="40"/>
              <w:ind w:left="57" w:right="57"/>
              <w:rPr>
                <w:rFonts w:cs="Arial"/>
                <w:sz w:val="18"/>
                <w:szCs w:val="18"/>
              </w:rPr>
            </w:pPr>
            <w:r w:rsidRPr="00EF117A">
              <w:rPr>
                <w:lang w:val="fr-FR"/>
              </w:rPr>
              <w:t>6.8.3.4</w:t>
            </w:r>
          </w:p>
        </w:tc>
        <w:tc>
          <w:tcPr>
            <w:tcW w:w="1445" w:type="dxa"/>
          </w:tcPr>
          <w:p w14:paraId="08E1EED7" w14:textId="77777777" w:rsidR="00DF5233" w:rsidRPr="00CE1950" w:rsidRDefault="00DF5233" w:rsidP="00C5424A">
            <w:pPr>
              <w:widowControl w:val="0"/>
              <w:spacing w:before="40" w:after="40"/>
              <w:ind w:left="57" w:right="57"/>
              <w:rPr>
                <w:rFonts w:cs="Arial"/>
                <w:sz w:val="18"/>
                <w:szCs w:val="18"/>
              </w:rPr>
            </w:pPr>
            <w:r>
              <w:rPr>
                <w:lang w:val="fr-FR"/>
              </w:rPr>
              <w:t xml:space="preserve">Obligatoirement à partir du </w:t>
            </w:r>
            <w:r w:rsidR="001455AE">
              <w:rPr>
                <w:lang w:val="fr-FR"/>
              </w:rPr>
              <w:br/>
            </w:r>
            <w:r>
              <w:rPr>
                <w:lang w:val="fr-FR"/>
              </w:rPr>
              <w:t>1</w:t>
            </w:r>
            <w:r w:rsidRPr="001455AE">
              <w:rPr>
                <w:vertAlign w:val="superscript"/>
                <w:lang w:val="fr-FR"/>
              </w:rPr>
              <w:t>er</w:t>
            </w:r>
            <w:r w:rsidR="001455AE">
              <w:rPr>
                <w:lang w:val="fr-FR"/>
              </w:rPr>
              <w:t xml:space="preserve"> </w:t>
            </w:r>
            <w:r>
              <w:rPr>
                <w:lang w:val="fr-FR"/>
              </w:rPr>
              <w:t>juillet 2021</w:t>
            </w:r>
          </w:p>
        </w:tc>
        <w:tc>
          <w:tcPr>
            <w:tcW w:w="224" w:type="dxa"/>
            <w:vAlign w:val="center"/>
          </w:tcPr>
          <w:p w14:paraId="5E947343" w14:textId="77777777" w:rsidR="00DF5233" w:rsidRPr="00CE1950" w:rsidRDefault="00DF5233" w:rsidP="001244E0">
            <w:pPr>
              <w:widowControl w:val="0"/>
              <w:spacing w:before="40" w:after="40"/>
              <w:ind w:left="57" w:right="57"/>
              <w:rPr>
                <w:rFonts w:cs="Arial"/>
                <w:sz w:val="18"/>
                <w:szCs w:val="18"/>
              </w:rPr>
            </w:pPr>
          </w:p>
        </w:tc>
      </w:tr>
    </w:tbl>
    <w:p w14:paraId="0474CA10" w14:textId="77777777" w:rsidR="00DF5233" w:rsidRPr="00DF5233" w:rsidRDefault="00DF5233" w:rsidP="00F22372">
      <w:pPr>
        <w:pStyle w:val="SingleTxtG"/>
        <w:spacing w:before="240"/>
        <w:rPr>
          <w:i/>
          <w:iCs/>
        </w:rPr>
      </w:pPr>
      <w:r w:rsidRPr="00DF5233">
        <w:rPr>
          <w:i/>
          <w:lang w:val="fr-FR"/>
        </w:rPr>
        <w:t>(Document de référence</w:t>
      </w:r>
      <w:r w:rsidR="001455AE">
        <w:rPr>
          <w:i/>
          <w:lang w:val="fr-FR"/>
        </w:rPr>
        <w:t> </w:t>
      </w:r>
      <w:r w:rsidRPr="00DF5233">
        <w:rPr>
          <w:i/>
          <w:lang w:val="fr-FR"/>
        </w:rPr>
        <w:t>: document informel INF.21/Add.1)</w:t>
      </w:r>
    </w:p>
    <w:p w14:paraId="0F787B5E" w14:textId="77777777" w:rsidR="00DF5233" w:rsidRPr="00DF5233" w:rsidRDefault="00DF5233" w:rsidP="00EF40DB">
      <w:pPr>
        <w:pStyle w:val="SingleTxtG"/>
        <w:ind w:left="2268" w:hanging="1134"/>
        <w:rPr>
          <w:iCs/>
        </w:rPr>
      </w:pPr>
      <w:r w:rsidRPr="00DF5233">
        <w:rPr>
          <w:lang w:val="fr-FR"/>
        </w:rPr>
        <w:t>6.8.4 d)</w:t>
      </w:r>
      <w:r w:rsidRPr="00DF5233">
        <w:rPr>
          <w:lang w:val="fr-FR"/>
        </w:rPr>
        <w:tab/>
        <w:t>Pour TT11, dans le paragraphe après le tableau, remplacer «</w:t>
      </w:r>
      <w:r w:rsidR="001455AE">
        <w:rPr>
          <w:lang w:val="fr-FR"/>
        </w:rPr>
        <w:t> </w:t>
      </w:r>
      <w:r w:rsidRPr="00DF5233">
        <w:rPr>
          <w:lang w:val="fr-FR"/>
        </w:rPr>
        <w:t>EN</w:t>
      </w:r>
      <w:r w:rsidR="00FE1CE6">
        <w:rPr>
          <w:lang w:val="fr-FR"/>
        </w:rPr>
        <w:t> </w:t>
      </w:r>
      <w:r w:rsidRPr="00DF5233">
        <w:rPr>
          <w:lang w:val="fr-FR"/>
        </w:rPr>
        <w:t>14025:2013+A1:2016</w:t>
      </w:r>
      <w:r w:rsidR="001455AE">
        <w:rPr>
          <w:lang w:val="fr-FR"/>
        </w:rPr>
        <w:t> </w:t>
      </w:r>
      <w:r w:rsidRPr="00DF5233">
        <w:rPr>
          <w:lang w:val="fr-FR"/>
        </w:rPr>
        <w:t>» par «</w:t>
      </w:r>
      <w:r w:rsidR="001455AE">
        <w:rPr>
          <w:lang w:val="fr-FR"/>
        </w:rPr>
        <w:t> </w:t>
      </w:r>
      <w:r w:rsidRPr="00DF5233">
        <w:rPr>
          <w:lang w:val="fr-FR"/>
        </w:rPr>
        <w:t>EN 14025:2018</w:t>
      </w:r>
      <w:r w:rsidR="001455AE">
        <w:rPr>
          <w:lang w:val="fr-FR"/>
        </w:rPr>
        <w:t> </w:t>
      </w:r>
      <w:r w:rsidRPr="00DF5233">
        <w:rPr>
          <w:lang w:val="fr-FR"/>
        </w:rPr>
        <w:t>» et remplacer «</w:t>
      </w:r>
      <w:r w:rsidR="001455AE">
        <w:rPr>
          <w:lang w:val="fr-FR"/>
        </w:rPr>
        <w:t> </w:t>
      </w:r>
      <w:r w:rsidRPr="00DF5233">
        <w:rPr>
          <w:lang w:val="fr-FR"/>
        </w:rPr>
        <w:t>EN</w:t>
      </w:r>
      <w:r w:rsidR="001455AE">
        <w:rPr>
          <w:lang w:val="fr-FR"/>
        </w:rPr>
        <w:t> </w:t>
      </w:r>
      <w:r w:rsidRPr="00DF5233">
        <w:rPr>
          <w:lang w:val="fr-FR"/>
        </w:rPr>
        <w:t>12493:2013+A1:2014+AC:2015</w:t>
      </w:r>
      <w:r w:rsidR="00FE1CE6">
        <w:rPr>
          <w:lang w:val="fr-FR"/>
        </w:rPr>
        <w:t> </w:t>
      </w:r>
      <w:r w:rsidRPr="00DF5233">
        <w:rPr>
          <w:lang w:val="fr-FR"/>
        </w:rPr>
        <w:t>» par «</w:t>
      </w:r>
      <w:r w:rsidR="00FE1CE6">
        <w:rPr>
          <w:lang w:val="fr-FR"/>
        </w:rPr>
        <w:t> </w:t>
      </w:r>
      <w:r w:rsidRPr="00DF5233">
        <w:rPr>
          <w:lang w:val="fr-FR"/>
        </w:rPr>
        <w:t>EN 12493:2013+A2:2018</w:t>
      </w:r>
      <w:r w:rsidR="00FE1CE6">
        <w:rPr>
          <w:lang w:val="fr-FR"/>
        </w:rPr>
        <w:t> </w:t>
      </w:r>
      <w:r w:rsidRPr="00DF5233">
        <w:rPr>
          <w:lang w:val="fr-FR"/>
        </w:rPr>
        <w:t xml:space="preserve">». </w:t>
      </w:r>
    </w:p>
    <w:p w14:paraId="1C218515" w14:textId="77777777" w:rsidR="00DF5233" w:rsidRPr="00DF5233" w:rsidRDefault="00DF5233" w:rsidP="00DF5233">
      <w:pPr>
        <w:pStyle w:val="SingleTxtG"/>
        <w:rPr>
          <w:i/>
          <w:iCs/>
        </w:rPr>
      </w:pPr>
      <w:r w:rsidRPr="00DF5233">
        <w:rPr>
          <w:i/>
          <w:lang w:val="fr-FR"/>
        </w:rPr>
        <w:t>(Document de référence</w:t>
      </w:r>
      <w:r w:rsidR="00FE1CE6">
        <w:rPr>
          <w:i/>
          <w:lang w:val="fr-FR"/>
        </w:rPr>
        <w:t> </w:t>
      </w:r>
      <w:r w:rsidRPr="00DF5233">
        <w:rPr>
          <w:i/>
          <w:lang w:val="fr-FR"/>
        </w:rPr>
        <w:t>: document informel INF.21/Add.1)</w:t>
      </w:r>
    </w:p>
    <w:p w14:paraId="4CFB464C" w14:textId="77777777" w:rsidR="00DF5233" w:rsidRPr="00DF5233" w:rsidRDefault="00DF5233" w:rsidP="00EF40DB">
      <w:pPr>
        <w:pStyle w:val="SingleTxtG"/>
        <w:ind w:left="2268" w:hanging="1134"/>
      </w:pPr>
      <w:r w:rsidRPr="00DF5233">
        <w:rPr>
          <w:lang w:val="fr-FR"/>
        </w:rPr>
        <w:t>6.8.3.4.12</w:t>
      </w:r>
      <w:r w:rsidRPr="00DF5233">
        <w:rPr>
          <w:lang w:val="fr-FR"/>
        </w:rPr>
        <w:tab/>
        <w:t>Remplacer «</w:t>
      </w:r>
      <w:r w:rsidR="00FE1CE6">
        <w:rPr>
          <w:lang w:val="fr-FR"/>
        </w:rPr>
        <w:t> </w:t>
      </w:r>
      <w:r w:rsidRPr="00DF5233">
        <w:rPr>
          <w:lang w:val="fr-FR"/>
        </w:rPr>
        <w:t>6.8.3.4.6</w:t>
      </w:r>
      <w:r w:rsidR="00FE1CE6">
        <w:rPr>
          <w:lang w:val="fr-FR"/>
        </w:rPr>
        <w:t> </w:t>
      </w:r>
      <w:r w:rsidRPr="00DF5233">
        <w:rPr>
          <w:lang w:val="fr-FR"/>
        </w:rPr>
        <w:t>» par «</w:t>
      </w:r>
      <w:r w:rsidR="00FE1CE6">
        <w:rPr>
          <w:lang w:val="fr-FR"/>
        </w:rPr>
        <w:t> </w:t>
      </w:r>
      <w:r w:rsidRPr="00DF5233">
        <w:rPr>
          <w:lang w:val="fr-FR"/>
        </w:rPr>
        <w:t>6.8.2.4.2 et 6.8.2.4.3</w:t>
      </w:r>
      <w:r w:rsidR="00FE1CE6">
        <w:rPr>
          <w:lang w:val="fr-FR"/>
        </w:rPr>
        <w:t> </w:t>
      </w:r>
      <w:r w:rsidRPr="00DF5233">
        <w:rPr>
          <w:lang w:val="fr-FR"/>
        </w:rPr>
        <w:t>».</w:t>
      </w:r>
    </w:p>
    <w:p w14:paraId="5EC4A6CD" w14:textId="77777777" w:rsidR="00DF5233" w:rsidRPr="00DF5233" w:rsidRDefault="00DF5233" w:rsidP="00DF5233">
      <w:pPr>
        <w:pStyle w:val="SingleTxtG"/>
        <w:rPr>
          <w:i/>
          <w:iCs/>
        </w:rPr>
      </w:pPr>
      <w:r w:rsidRPr="00DF5233">
        <w:rPr>
          <w:i/>
          <w:lang w:val="fr-FR"/>
        </w:rPr>
        <w:t>(Document de référence</w:t>
      </w:r>
      <w:r w:rsidR="00FE1CE6">
        <w:rPr>
          <w:i/>
          <w:lang w:val="fr-FR"/>
        </w:rPr>
        <w:t> </w:t>
      </w:r>
      <w:r w:rsidRPr="00DF5233">
        <w:rPr>
          <w:i/>
          <w:lang w:val="fr-FR"/>
        </w:rPr>
        <w:t>: document informel INF.21/Add.1)</w:t>
      </w:r>
    </w:p>
    <w:p w14:paraId="393FF478" w14:textId="77777777" w:rsidR="00DF5233" w:rsidRPr="00DF5233" w:rsidRDefault="00DF5233" w:rsidP="00F22372">
      <w:pPr>
        <w:pStyle w:val="H1G"/>
      </w:pPr>
      <w:r w:rsidRPr="00DF5233">
        <w:rPr>
          <w:lang w:val="fr-FR"/>
        </w:rPr>
        <w:tab/>
      </w:r>
      <w:r w:rsidRPr="00DF5233">
        <w:rPr>
          <w:lang w:val="fr-FR"/>
        </w:rPr>
        <w:tab/>
        <w:t>Chapitre 6.9</w:t>
      </w:r>
    </w:p>
    <w:p w14:paraId="65926BF2" w14:textId="77777777" w:rsidR="00DF5233" w:rsidRPr="00DF5233" w:rsidRDefault="00DF5233" w:rsidP="00EF40DB">
      <w:pPr>
        <w:pStyle w:val="SingleTxtG"/>
        <w:ind w:left="2268" w:hanging="1134"/>
      </w:pPr>
      <w:r w:rsidRPr="00DF5233">
        <w:rPr>
          <w:lang w:val="fr-FR"/>
        </w:rPr>
        <w:t>6.9.6.1</w:t>
      </w:r>
      <w:r w:rsidRPr="00DF5233">
        <w:rPr>
          <w:lang w:val="fr-FR"/>
        </w:rPr>
        <w:tab/>
      </w:r>
      <w:r w:rsidRPr="00DF5233">
        <w:rPr>
          <w:lang w:val="fr-FR"/>
        </w:rPr>
        <w:tab/>
        <w:t>À la fin du deuxième tiret, remplacer «</w:t>
      </w:r>
      <w:r w:rsidR="00FE1CE6">
        <w:rPr>
          <w:lang w:val="fr-FR"/>
        </w:rPr>
        <w:t> </w:t>
      </w:r>
      <w:r w:rsidRPr="00DF5233">
        <w:rPr>
          <w:lang w:val="fr-FR"/>
        </w:rPr>
        <w:t>.</w:t>
      </w:r>
      <w:r w:rsidR="00FE1CE6">
        <w:rPr>
          <w:lang w:val="fr-FR"/>
        </w:rPr>
        <w:t> </w:t>
      </w:r>
      <w:r w:rsidRPr="00DF5233">
        <w:rPr>
          <w:lang w:val="fr-FR"/>
        </w:rPr>
        <w:t>» par «</w:t>
      </w:r>
      <w:r w:rsidR="00FE1CE6">
        <w:rPr>
          <w:lang w:val="fr-FR"/>
        </w:rPr>
        <w:t> </w:t>
      </w:r>
      <w:r w:rsidRPr="00DF5233">
        <w:rPr>
          <w:lang w:val="fr-FR"/>
        </w:rPr>
        <w:t>;</w:t>
      </w:r>
      <w:r w:rsidR="00FE1CE6">
        <w:rPr>
          <w:lang w:val="fr-FR"/>
        </w:rPr>
        <w:t> </w:t>
      </w:r>
      <w:r w:rsidRPr="00DF5233">
        <w:rPr>
          <w:lang w:val="fr-FR"/>
        </w:rPr>
        <w:t>» et ajouter un troisième tiret, comme suit</w:t>
      </w:r>
      <w:r w:rsidR="00FE1CE6">
        <w:rPr>
          <w:lang w:val="fr-FR"/>
        </w:rPr>
        <w:t> </w:t>
      </w:r>
      <w:r w:rsidRPr="00DF5233">
        <w:rPr>
          <w:lang w:val="fr-FR"/>
        </w:rPr>
        <w:t>:</w:t>
      </w:r>
    </w:p>
    <w:p w14:paraId="3D440046" w14:textId="77777777" w:rsidR="00DF5233" w:rsidRPr="00DF5233" w:rsidRDefault="00DF5233" w:rsidP="00FE1CE6">
      <w:pPr>
        <w:pStyle w:val="SingleTxtG"/>
        <w:ind w:left="2268"/>
      </w:pPr>
      <w:r w:rsidRPr="00DF5233">
        <w:rPr>
          <w:lang w:val="fr-FR"/>
        </w:rPr>
        <w:t>«</w:t>
      </w:r>
      <w:r w:rsidR="00FE1CE6">
        <w:rPr>
          <w:lang w:val="fr-FR"/>
        </w:rPr>
        <w:t> </w:t>
      </w:r>
      <w:r w:rsidRPr="00DF5233">
        <w:rPr>
          <w:lang w:val="fr-FR"/>
        </w:rPr>
        <w:t>- lorsqu’un code-citerne est requis conformément au 6.8.2.5.2, la deuxième partie du code-citerne doit indiquer la valeur la plus élevée de la pression de calcul pour la ou les matières dont le transport est autorisé conformément au certificat d’agrément de type.</w:t>
      </w:r>
      <w:r w:rsidR="00FE1CE6">
        <w:rPr>
          <w:lang w:val="fr-FR"/>
        </w:rPr>
        <w:t> </w:t>
      </w:r>
      <w:r w:rsidRPr="00DF5233">
        <w:rPr>
          <w:lang w:val="fr-FR"/>
        </w:rPr>
        <w:t>».</w:t>
      </w:r>
    </w:p>
    <w:p w14:paraId="74CB63B4" w14:textId="77777777" w:rsidR="00DF5233" w:rsidRPr="00DF5233" w:rsidRDefault="00DF5233" w:rsidP="00DF5233">
      <w:pPr>
        <w:pStyle w:val="SingleTxtG"/>
        <w:rPr>
          <w:i/>
          <w:iCs/>
        </w:rPr>
      </w:pPr>
      <w:r w:rsidRPr="00DF5233">
        <w:rPr>
          <w:i/>
          <w:lang w:val="fr-FR"/>
        </w:rPr>
        <w:t>(Document de référence</w:t>
      </w:r>
      <w:r w:rsidR="00FE1CE6">
        <w:rPr>
          <w:i/>
          <w:lang w:val="fr-FR"/>
        </w:rPr>
        <w:t> </w:t>
      </w:r>
      <w:r w:rsidRPr="00DF5233">
        <w:rPr>
          <w:i/>
          <w:lang w:val="fr-FR"/>
        </w:rPr>
        <w:t>: document informel INF.21/Add.1)</w:t>
      </w:r>
    </w:p>
    <w:p w14:paraId="39BCEE45" w14:textId="77777777" w:rsidR="00DF5233" w:rsidRPr="00DF5233" w:rsidRDefault="00DF5233" w:rsidP="00DF5233">
      <w:pPr>
        <w:pStyle w:val="HChG"/>
      </w:pPr>
      <w:r>
        <w:rPr>
          <w:lang w:val="fr-FR"/>
        </w:rPr>
        <w:br w:type="page"/>
      </w:r>
      <w:r w:rsidRPr="00DF5233">
        <w:rPr>
          <w:lang w:val="fr-FR"/>
        </w:rPr>
        <w:lastRenderedPageBreak/>
        <w:tab/>
        <w:t>Annexe II</w:t>
      </w:r>
      <w:bookmarkStart w:id="66" w:name="_Toc499903696"/>
      <w:bookmarkEnd w:id="66"/>
    </w:p>
    <w:p w14:paraId="200DACE7" w14:textId="77777777" w:rsidR="00DF5233" w:rsidRPr="00DF5233" w:rsidRDefault="00DF5233" w:rsidP="00FE1CE6">
      <w:pPr>
        <w:pStyle w:val="HChG"/>
      </w:pPr>
      <w:r w:rsidRPr="00DF5233">
        <w:rPr>
          <w:lang w:val="fr-FR"/>
        </w:rPr>
        <w:tab/>
      </w:r>
      <w:r w:rsidRPr="00DF5233">
        <w:rPr>
          <w:lang w:val="fr-FR"/>
        </w:rPr>
        <w:tab/>
      </w:r>
      <w:bookmarkStart w:id="67" w:name="_Hlk6317638"/>
      <w:r w:rsidRPr="00DF5233">
        <w:rPr>
          <w:lang w:val="fr-FR"/>
        </w:rPr>
        <w:t>Ligne directrice pour l’application de la norme EN 12972 (Citernes destinées au transport des matières dangereuses −</w:t>
      </w:r>
      <w:r w:rsidR="00FE1CE6">
        <w:rPr>
          <w:lang w:val="fr-FR"/>
        </w:rPr>
        <w:t> </w:t>
      </w:r>
      <w:r w:rsidRPr="00DF5233">
        <w:rPr>
          <w:lang w:val="fr-FR"/>
        </w:rPr>
        <w:t>Épreuve, contrôle et marquage des citernes métalliques) afin de respecter les prescriptions du RID et de l’ADR</w:t>
      </w:r>
      <w:bookmarkEnd w:id="67"/>
    </w:p>
    <w:p w14:paraId="47AED99B" w14:textId="77777777" w:rsidR="00DF5233" w:rsidRPr="00DF5233" w:rsidRDefault="00FE1CE6" w:rsidP="00DF5233">
      <w:pPr>
        <w:pStyle w:val="SingleTxtG"/>
      </w:pPr>
      <w:r>
        <w:rPr>
          <w:lang w:val="fr-FR"/>
        </w:rPr>
        <w:tab/>
      </w:r>
      <w:r w:rsidR="00DF5233" w:rsidRPr="00DF5233">
        <w:rPr>
          <w:lang w:val="fr-FR"/>
        </w:rPr>
        <w:t>Pour respecter les prescriptions de l’ADR, il convient d’appliquer la norme EN</w:t>
      </w:r>
      <w:r w:rsidR="00A17EB3">
        <w:rPr>
          <w:lang w:val="fr-FR"/>
        </w:rPr>
        <w:t> </w:t>
      </w:r>
      <w:r w:rsidR="00DF5233" w:rsidRPr="00DF5233">
        <w:rPr>
          <w:lang w:val="fr-FR"/>
        </w:rPr>
        <w:t>12972:2007 citée en référence au 6.8.2.6.2 de l’ADR en tenant compte des exigences du RID et de l’ADR, conformément au 1.1.5.</w:t>
      </w:r>
    </w:p>
    <w:p w14:paraId="19DEF849" w14:textId="77777777" w:rsidR="00DF5233" w:rsidRPr="00DF5233" w:rsidRDefault="00FE1CE6" w:rsidP="00DF5233">
      <w:pPr>
        <w:pStyle w:val="SingleTxtG"/>
      </w:pPr>
      <w:r>
        <w:rPr>
          <w:lang w:val="fr-FR"/>
        </w:rPr>
        <w:tab/>
      </w:r>
      <w:r w:rsidR="00DF5233" w:rsidRPr="00DF5233">
        <w:rPr>
          <w:lang w:val="fr-FR"/>
        </w:rPr>
        <w:t>La norme EN 12972:2018 ayant été publiée, il a été décidé que cette norme serait citée en référence dans l’édition 2021 de l’ADR.</w:t>
      </w:r>
    </w:p>
    <w:p w14:paraId="19E7CE5B" w14:textId="77777777" w:rsidR="00DF5233" w:rsidRPr="00DF5233" w:rsidRDefault="00F166BD" w:rsidP="00DF5233">
      <w:pPr>
        <w:pStyle w:val="SingleTxtG"/>
      </w:pPr>
      <w:r>
        <w:rPr>
          <w:lang w:val="fr-FR"/>
        </w:rPr>
        <w:tab/>
      </w:r>
      <w:r w:rsidR="00DF5233" w:rsidRPr="00DF5233">
        <w:rPr>
          <w:lang w:val="fr-FR"/>
        </w:rPr>
        <w:t>Pour faciliter le respect et l’application cohérente de l’édition 2019 de l’ADR, il est demandé aux autorités compétentes d’approuver l’utilisation de la norme EN</w:t>
      </w:r>
      <w:r>
        <w:rPr>
          <w:lang w:val="fr-FR"/>
        </w:rPr>
        <w:t> </w:t>
      </w:r>
      <w:r w:rsidR="00DF5233" w:rsidRPr="00DF5233">
        <w:rPr>
          <w:lang w:val="fr-FR"/>
        </w:rPr>
        <w:t>12972:2018 aux fins d’épreuve et de contrôle des citernes conformément au paragraphe</w:t>
      </w:r>
      <w:r>
        <w:rPr>
          <w:lang w:val="fr-FR"/>
        </w:rPr>
        <w:t> </w:t>
      </w:r>
      <w:r w:rsidR="00DF5233" w:rsidRPr="00DF5233">
        <w:rPr>
          <w:lang w:val="fr-FR"/>
        </w:rPr>
        <w:t>3 du 6.8.2.7 de l’ADR, dès que possible, mais au plus tard le 1</w:t>
      </w:r>
      <w:r w:rsidR="00DF5233" w:rsidRPr="00F166BD">
        <w:rPr>
          <w:vertAlign w:val="superscript"/>
          <w:lang w:val="fr-FR"/>
        </w:rPr>
        <w:t>er</w:t>
      </w:r>
      <w:r>
        <w:rPr>
          <w:lang w:val="fr-FR"/>
        </w:rPr>
        <w:t> </w:t>
      </w:r>
      <w:r w:rsidR="00DF5233" w:rsidRPr="00DF5233">
        <w:rPr>
          <w:lang w:val="fr-FR"/>
        </w:rPr>
        <w:t>janvier 2020.</w:t>
      </w:r>
    </w:p>
    <w:p w14:paraId="6CE4379F" w14:textId="77777777" w:rsidR="00DF5233" w:rsidRPr="00DF5233" w:rsidRDefault="00DF5233" w:rsidP="00DF5233">
      <w:pPr>
        <w:pStyle w:val="SingleTxtG"/>
        <w:rPr>
          <w:i/>
          <w:iCs/>
        </w:rPr>
      </w:pPr>
      <w:r w:rsidRPr="00DF5233">
        <w:rPr>
          <w:i/>
          <w:lang w:val="fr-FR"/>
        </w:rPr>
        <w:t>(Document de référence</w:t>
      </w:r>
      <w:r w:rsidR="00F166BD">
        <w:rPr>
          <w:i/>
          <w:lang w:val="fr-FR"/>
        </w:rPr>
        <w:t> </w:t>
      </w:r>
      <w:r w:rsidRPr="00DF5233">
        <w:rPr>
          <w:i/>
          <w:lang w:val="fr-FR"/>
        </w:rPr>
        <w:t>: document informel INF.21/Add.1)</w:t>
      </w:r>
    </w:p>
    <w:p w14:paraId="0A36C24E" w14:textId="77777777" w:rsidR="00595DEA" w:rsidRPr="00F166BD" w:rsidRDefault="00F166BD" w:rsidP="00F166BD">
      <w:pPr>
        <w:pStyle w:val="SingleTxtG"/>
        <w:spacing w:before="240" w:after="0"/>
        <w:jc w:val="center"/>
        <w:rPr>
          <w:u w:val="single"/>
        </w:rPr>
      </w:pPr>
      <w:r>
        <w:rPr>
          <w:u w:val="single"/>
        </w:rPr>
        <w:tab/>
      </w:r>
      <w:r>
        <w:rPr>
          <w:u w:val="single"/>
        </w:rPr>
        <w:tab/>
      </w:r>
      <w:r>
        <w:rPr>
          <w:u w:val="single"/>
        </w:rPr>
        <w:tab/>
      </w:r>
    </w:p>
    <w:sectPr w:rsidR="00595DEA" w:rsidRPr="00F166BD" w:rsidSect="00595DE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6D8D" w14:textId="77777777" w:rsidR="003E685B" w:rsidRDefault="003E685B" w:rsidP="00F95C08">
      <w:pPr>
        <w:spacing w:line="240" w:lineRule="auto"/>
      </w:pPr>
    </w:p>
  </w:endnote>
  <w:endnote w:type="continuationSeparator" w:id="0">
    <w:p w14:paraId="6F73E298" w14:textId="77777777" w:rsidR="003E685B" w:rsidRPr="00AC3823" w:rsidRDefault="003E685B" w:rsidP="00AC3823">
      <w:pPr>
        <w:pStyle w:val="Footer"/>
      </w:pPr>
    </w:p>
  </w:endnote>
  <w:endnote w:type="continuationNotice" w:id="1">
    <w:p w14:paraId="73E47BD6" w14:textId="77777777" w:rsidR="003E685B" w:rsidRDefault="003E68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41C9" w14:textId="77777777" w:rsidR="003E685B" w:rsidRPr="00595DEA" w:rsidRDefault="003E685B" w:rsidP="00595DEA">
    <w:pPr>
      <w:pStyle w:val="Footer"/>
      <w:tabs>
        <w:tab w:val="right" w:pos="9638"/>
      </w:tabs>
    </w:pPr>
    <w:r w:rsidRPr="00595DEA">
      <w:rPr>
        <w:b/>
        <w:sz w:val="18"/>
      </w:rPr>
      <w:fldChar w:fldCharType="begin"/>
    </w:r>
    <w:r w:rsidRPr="00595DEA">
      <w:rPr>
        <w:b/>
        <w:sz w:val="18"/>
      </w:rPr>
      <w:instrText xml:space="preserve"> PAGE  \* MERGEFORMAT </w:instrText>
    </w:r>
    <w:r w:rsidRPr="00595DEA">
      <w:rPr>
        <w:b/>
        <w:sz w:val="18"/>
      </w:rPr>
      <w:fldChar w:fldCharType="separate"/>
    </w:r>
    <w:r w:rsidRPr="00595DEA">
      <w:rPr>
        <w:b/>
        <w:noProof/>
        <w:sz w:val="18"/>
      </w:rPr>
      <w:t>2</w:t>
    </w:r>
    <w:r w:rsidRPr="00595DEA">
      <w:rPr>
        <w:b/>
        <w:sz w:val="18"/>
      </w:rPr>
      <w:fldChar w:fldCharType="end"/>
    </w:r>
    <w:r>
      <w:rPr>
        <w:b/>
        <w:sz w:val="18"/>
      </w:rPr>
      <w:tab/>
    </w:r>
    <w:r>
      <w:t>GE.18-19569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FB26" w14:textId="77777777" w:rsidR="003E685B" w:rsidRPr="00595DEA" w:rsidRDefault="003E685B" w:rsidP="00595DEA">
    <w:pPr>
      <w:pStyle w:val="Footer"/>
      <w:tabs>
        <w:tab w:val="right" w:pos="9638"/>
      </w:tabs>
      <w:rPr>
        <w:b/>
        <w:sz w:val="18"/>
      </w:rPr>
    </w:pPr>
    <w:r>
      <w:t>GE.18-19569</w:t>
    </w:r>
    <w:r>
      <w:tab/>
    </w:r>
    <w:r w:rsidRPr="00595DEA">
      <w:rPr>
        <w:b/>
        <w:sz w:val="18"/>
      </w:rPr>
      <w:fldChar w:fldCharType="begin"/>
    </w:r>
    <w:r w:rsidRPr="00595DEA">
      <w:rPr>
        <w:b/>
        <w:sz w:val="18"/>
      </w:rPr>
      <w:instrText xml:space="preserve"> PAGE  \* MERGEFORMAT </w:instrText>
    </w:r>
    <w:r w:rsidRPr="00595DEA">
      <w:rPr>
        <w:b/>
        <w:sz w:val="18"/>
      </w:rPr>
      <w:fldChar w:fldCharType="separate"/>
    </w:r>
    <w:r w:rsidRPr="00595DEA">
      <w:rPr>
        <w:b/>
        <w:noProof/>
        <w:sz w:val="18"/>
      </w:rPr>
      <w:t>3</w:t>
    </w:r>
    <w:r w:rsidRPr="00595D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EEF1" w14:textId="77777777" w:rsidR="003E685B" w:rsidRPr="00595DEA" w:rsidRDefault="003E685B" w:rsidP="00595DEA">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55F319FF" wp14:editId="6A3939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18-19569  (F)    030419    160419</w:t>
    </w:r>
    <w:r>
      <w:rPr>
        <w:sz w:val="20"/>
      </w:rPr>
      <w:br/>
    </w:r>
    <w:r w:rsidRPr="00595DEA">
      <w:rPr>
        <w:rFonts w:ascii="C39T30Lfz" w:hAnsi="C39T30Lfz"/>
        <w:sz w:val="56"/>
      </w:rPr>
      <w:t></w:t>
    </w:r>
    <w:r w:rsidRPr="00595DEA">
      <w:rPr>
        <w:rFonts w:ascii="C39T30Lfz" w:hAnsi="C39T30Lfz"/>
        <w:sz w:val="56"/>
      </w:rPr>
      <w:t></w:t>
    </w:r>
    <w:r w:rsidRPr="00595DEA">
      <w:rPr>
        <w:rFonts w:ascii="C39T30Lfz" w:hAnsi="C39T30Lfz"/>
        <w:sz w:val="56"/>
      </w:rPr>
      <w:t></w:t>
    </w:r>
    <w:r w:rsidRPr="00595DEA">
      <w:rPr>
        <w:rFonts w:ascii="C39T30Lfz" w:hAnsi="C39T30Lfz"/>
        <w:sz w:val="56"/>
      </w:rPr>
      <w:t></w:t>
    </w:r>
    <w:r w:rsidRPr="00595DEA">
      <w:rPr>
        <w:rFonts w:ascii="C39T30Lfz" w:hAnsi="C39T30Lfz"/>
        <w:sz w:val="56"/>
      </w:rPr>
      <w:t></w:t>
    </w:r>
    <w:r w:rsidRPr="00595DEA">
      <w:rPr>
        <w:rFonts w:ascii="C39T30Lfz" w:hAnsi="C39T30Lfz"/>
        <w:sz w:val="56"/>
      </w:rPr>
      <w:t></w:t>
    </w:r>
    <w:r w:rsidRPr="00595DEA">
      <w:rPr>
        <w:rFonts w:ascii="C39T30Lfz" w:hAnsi="C39T30Lfz"/>
        <w:sz w:val="56"/>
      </w:rPr>
      <w:t></w:t>
    </w:r>
    <w:r w:rsidRPr="00595DEA">
      <w:rPr>
        <w:rFonts w:ascii="C39T30Lfz" w:hAnsi="C39T30Lfz"/>
        <w:sz w:val="56"/>
      </w:rPr>
      <w:t></w:t>
    </w:r>
    <w:r w:rsidRPr="00595DEA">
      <w:rPr>
        <w:rFonts w:ascii="C39T30Lfz" w:hAnsi="C39T30Lfz"/>
        <w:sz w:val="56"/>
      </w:rPr>
      <w:t></w:t>
    </w:r>
    <w:r>
      <w:rPr>
        <w:noProof/>
        <w:sz w:val="20"/>
      </w:rPr>
      <w:drawing>
        <wp:anchor distT="0" distB="0" distL="114300" distR="114300" simplePos="0" relativeHeight="251658240" behindDoc="0" locked="0" layoutInCell="1" allowOverlap="1" wp14:anchorId="09AC9D89" wp14:editId="3E244E23">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15/2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05DF" w14:textId="77777777" w:rsidR="003E685B" w:rsidRPr="00AC3823" w:rsidRDefault="003E685B" w:rsidP="00AC3823">
      <w:pPr>
        <w:pStyle w:val="Footer"/>
        <w:tabs>
          <w:tab w:val="right" w:pos="2155"/>
        </w:tabs>
        <w:spacing w:after="80" w:line="240" w:lineRule="atLeast"/>
        <w:ind w:left="680"/>
        <w:rPr>
          <w:u w:val="single"/>
        </w:rPr>
      </w:pPr>
      <w:r>
        <w:rPr>
          <w:u w:val="single"/>
        </w:rPr>
        <w:tab/>
      </w:r>
    </w:p>
  </w:footnote>
  <w:footnote w:type="continuationSeparator" w:id="0">
    <w:p w14:paraId="402EB957" w14:textId="77777777" w:rsidR="003E685B" w:rsidRPr="00AC3823" w:rsidRDefault="003E685B" w:rsidP="00AC3823">
      <w:pPr>
        <w:pStyle w:val="Footer"/>
        <w:tabs>
          <w:tab w:val="right" w:pos="2155"/>
        </w:tabs>
        <w:spacing w:after="80" w:line="240" w:lineRule="atLeast"/>
        <w:ind w:left="680"/>
        <w:rPr>
          <w:u w:val="single"/>
        </w:rPr>
      </w:pPr>
      <w:r>
        <w:rPr>
          <w:u w:val="single"/>
        </w:rPr>
        <w:tab/>
      </w:r>
    </w:p>
  </w:footnote>
  <w:footnote w:type="continuationNotice" w:id="1">
    <w:p w14:paraId="36CBEFF5" w14:textId="77777777" w:rsidR="003E685B" w:rsidRPr="00AC3823" w:rsidRDefault="003E685B">
      <w:pPr>
        <w:spacing w:line="240" w:lineRule="auto"/>
        <w:rPr>
          <w:sz w:val="2"/>
          <w:szCs w:val="2"/>
        </w:rPr>
      </w:pPr>
    </w:p>
  </w:footnote>
  <w:footnote w:id="2">
    <w:p w14:paraId="11D6657E" w14:textId="77777777" w:rsidR="003E685B" w:rsidRPr="00FC7A28" w:rsidRDefault="003E685B" w:rsidP="00856234">
      <w:pPr>
        <w:pStyle w:val="FootnoteText"/>
      </w:pPr>
      <w:r w:rsidRPr="007A72B0">
        <w:rPr>
          <w:lang w:val="fr-FR"/>
        </w:rPr>
        <w:tab/>
      </w:r>
      <w:r w:rsidRPr="00FC7A28">
        <w:rPr>
          <w:rStyle w:val="FootnoteReference"/>
          <w:lang w:val="fr-FR"/>
        </w:rPr>
        <w:footnoteRef/>
      </w:r>
      <w:r>
        <w:rPr>
          <w:lang w:val="fr-FR"/>
        </w:rPr>
        <w:tab/>
      </w:r>
      <w:r>
        <w:rPr>
          <w:u w:val="single"/>
          <w:lang w:val="fr-FR"/>
        </w:rPr>
        <w:t>Note du secrétariat</w:t>
      </w:r>
      <w:r w:rsidRPr="00856234">
        <w:rPr>
          <w:lang w:val="fr-FR"/>
        </w:rPr>
        <w:t> </w:t>
      </w:r>
      <w:r>
        <w:rPr>
          <w:lang w:val="fr-FR"/>
        </w:rPr>
        <w:t xml:space="preserve">: Après la session, le </w:t>
      </w:r>
      <w:r w:rsidRPr="00856234">
        <w:t>secrétariat</w:t>
      </w:r>
      <w:r>
        <w:rPr>
          <w:lang w:val="fr-FR"/>
        </w:rPr>
        <w:t xml:space="preserve"> a été informé que la correction avait déjà été prise en compte dans la version russe de l’édition 2019 de l’ADR.</w:t>
      </w:r>
      <w:bookmarkStart w:id="28" w:name="_Hlk530577613"/>
      <w:bookmarkEnd w:id="2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CE4A" w14:textId="29E7F22C" w:rsidR="003E685B" w:rsidRPr="00595DEA" w:rsidRDefault="00AA0A81">
    <w:pPr>
      <w:pStyle w:val="Header"/>
    </w:pPr>
    <w:r>
      <w:fldChar w:fldCharType="begin"/>
    </w:r>
    <w:r>
      <w:instrText xml:space="preserve"> TITLE  \* MERGEFORMAT </w:instrText>
    </w:r>
    <w:r>
      <w:fldChar w:fldCharType="separate"/>
    </w:r>
    <w:r w:rsidR="005C08E1">
      <w:t>ECE/TRANS/WP.15/244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399A" w14:textId="05A44C85" w:rsidR="003E685B" w:rsidRPr="00595DEA" w:rsidRDefault="00AA0A81" w:rsidP="00595DEA">
    <w:pPr>
      <w:pStyle w:val="Header"/>
      <w:jc w:val="right"/>
    </w:pPr>
    <w:r>
      <w:fldChar w:fldCharType="begin"/>
    </w:r>
    <w:r>
      <w:instrText xml:space="preserve"> TITLE  \* MERGEFORMAT </w:instrText>
    </w:r>
    <w:r>
      <w:fldChar w:fldCharType="separate"/>
    </w:r>
    <w:r w:rsidR="005C08E1">
      <w:t>ECE/TRANS/WP.15/244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D21C32"/>
    <w:multiLevelType w:val="hybridMultilevel"/>
    <w:tmpl w:val="D3447438"/>
    <w:lvl w:ilvl="0" w:tplc="E2EC1E82">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3DB5705"/>
    <w:multiLevelType w:val="hybridMultilevel"/>
    <w:tmpl w:val="A2F65EBC"/>
    <w:lvl w:ilvl="0" w:tplc="384AC2FA">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lvlOverride w:ilvl="0">
      <w:lvl w:ilvl="0" w:tplc="E2EC1E82">
        <w:start w:val="1"/>
        <w:numFmt w:val="decimal"/>
        <w:lvlText w:val="%1."/>
        <w:lvlJc w:val="left"/>
        <w:pPr>
          <w:ind w:left="1140" w:hanging="435"/>
        </w:pPr>
        <w:rPr>
          <w:rFonts w:hint="default"/>
        </w:rPr>
      </w:lvl>
    </w:lvlOverride>
  </w:num>
  <w:num w:numId="18">
    <w:abstractNumId w:val="15"/>
    <w:lvlOverride w:ilvl="0">
      <w:lvl w:ilvl="0" w:tplc="384AC2FA">
        <w:start w:val="2"/>
        <w:numFmt w:val="decimal"/>
        <w:lvlText w:val="%1."/>
        <w:lvlJc w:val="left"/>
        <w:pPr>
          <w:ind w:left="1065" w:hanging="360"/>
        </w:pPr>
        <w:rPr>
          <w:rFonts w:hint="default"/>
        </w:rPr>
      </w:lvl>
    </w:lvlOverride>
  </w:num>
  <w:num w:numId="19">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AC"/>
    <w:rsid w:val="00017F94"/>
    <w:rsid w:val="00023842"/>
    <w:rsid w:val="000334F9"/>
    <w:rsid w:val="00040D08"/>
    <w:rsid w:val="00045FEB"/>
    <w:rsid w:val="00047D1A"/>
    <w:rsid w:val="00064611"/>
    <w:rsid w:val="0007796D"/>
    <w:rsid w:val="00080D28"/>
    <w:rsid w:val="00081098"/>
    <w:rsid w:val="00083179"/>
    <w:rsid w:val="000B7790"/>
    <w:rsid w:val="00111F2F"/>
    <w:rsid w:val="001244E0"/>
    <w:rsid w:val="0012735B"/>
    <w:rsid w:val="0014365E"/>
    <w:rsid w:val="00143C66"/>
    <w:rsid w:val="001455AE"/>
    <w:rsid w:val="00176178"/>
    <w:rsid w:val="00192446"/>
    <w:rsid w:val="001F1D8F"/>
    <w:rsid w:val="001F525A"/>
    <w:rsid w:val="00223272"/>
    <w:rsid w:val="0024779E"/>
    <w:rsid w:val="00257168"/>
    <w:rsid w:val="002744B8"/>
    <w:rsid w:val="0027644D"/>
    <w:rsid w:val="002832AC"/>
    <w:rsid w:val="002D48D6"/>
    <w:rsid w:val="002D7C93"/>
    <w:rsid w:val="00305801"/>
    <w:rsid w:val="00386F84"/>
    <w:rsid w:val="003916DE"/>
    <w:rsid w:val="003E685B"/>
    <w:rsid w:val="003F57EC"/>
    <w:rsid w:val="00410EC9"/>
    <w:rsid w:val="00421996"/>
    <w:rsid w:val="00433E2B"/>
    <w:rsid w:val="00434352"/>
    <w:rsid w:val="00441C3B"/>
    <w:rsid w:val="00446FE5"/>
    <w:rsid w:val="00452396"/>
    <w:rsid w:val="004837D8"/>
    <w:rsid w:val="004E2EED"/>
    <w:rsid w:val="004E468C"/>
    <w:rsid w:val="00516415"/>
    <w:rsid w:val="0051709D"/>
    <w:rsid w:val="00544F8F"/>
    <w:rsid w:val="00546811"/>
    <w:rsid w:val="005505B7"/>
    <w:rsid w:val="00573BE5"/>
    <w:rsid w:val="00586ED3"/>
    <w:rsid w:val="00595DEA"/>
    <w:rsid w:val="00596AA9"/>
    <w:rsid w:val="005C08E1"/>
    <w:rsid w:val="00630670"/>
    <w:rsid w:val="00637F8F"/>
    <w:rsid w:val="0064062C"/>
    <w:rsid w:val="00676E72"/>
    <w:rsid w:val="00695955"/>
    <w:rsid w:val="006A7AAC"/>
    <w:rsid w:val="006C28AF"/>
    <w:rsid w:val="0071601D"/>
    <w:rsid w:val="00750505"/>
    <w:rsid w:val="00766EB9"/>
    <w:rsid w:val="00792999"/>
    <w:rsid w:val="007A62E6"/>
    <w:rsid w:val="007C71F2"/>
    <w:rsid w:val="007F20FA"/>
    <w:rsid w:val="0080684C"/>
    <w:rsid w:val="00821075"/>
    <w:rsid w:val="008255BA"/>
    <w:rsid w:val="00856234"/>
    <w:rsid w:val="00871C75"/>
    <w:rsid w:val="008776DC"/>
    <w:rsid w:val="009446C0"/>
    <w:rsid w:val="00950503"/>
    <w:rsid w:val="009705C8"/>
    <w:rsid w:val="00990B03"/>
    <w:rsid w:val="009C1CF4"/>
    <w:rsid w:val="009F6B74"/>
    <w:rsid w:val="00A0274D"/>
    <w:rsid w:val="00A033EA"/>
    <w:rsid w:val="00A121AC"/>
    <w:rsid w:val="00A17EB3"/>
    <w:rsid w:val="00A3029F"/>
    <w:rsid w:val="00A30353"/>
    <w:rsid w:val="00A841AB"/>
    <w:rsid w:val="00AA0A81"/>
    <w:rsid w:val="00AC3823"/>
    <w:rsid w:val="00AC7B68"/>
    <w:rsid w:val="00AE323C"/>
    <w:rsid w:val="00AF0CB5"/>
    <w:rsid w:val="00AF21C4"/>
    <w:rsid w:val="00B00181"/>
    <w:rsid w:val="00B00B0D"/>
    <w:rsid w:val="00B45F2E"/>
    <w:rsid w:val="00B758F6"/>
    <w:rsid w:val="00B765F7"/>
    <w:rsid w:val="00B9634F"/>
    <w:rsid w:val="00BA0CA9"/>
    <w:rsid w:val="00BA15C3"/>
    <w:rsid w:val="00BD3434"/>
    <w:rsid w:val="00C02897"/>
    <w:rsid w:val="00C04622"/>
    <w:rsid w:val="00C13393"/>
    <w:rsid w:val="00C314C5"/>
    <w:rsid w:val="00C321FA"/>
    <w:rsid w:val="00C335A1"/>
    <w:rsid w:val="00C414E5"/>
    <w:rsid w:val="00C5424A"/>
    <w:rsid w:val="00C61D14"/>
    <w:rsid w:val="00C97039"/>
    <w:rsid w:val="00CA2F7A"/>
    <w:rsid w:val="00CA7C92"/>
    <w:rsid w:val="00D3439C"/>
    <w:rsid w:val="00DA68B0"/>
    <w:rsid w:val="00DB1831"/>
    <w:rsid w:val="00DD3BFD"/>
    <w:rsid w:val="00DE084A"/>
    <w:rsid w:val="00DF5233"/>
    <w:rsid w:val="00DF6678"/>
    <w:rsid w:val="00E0299A"/>
    <w:rsid w:val="00E24CB3"/>
    <w:rsid w:val="00E85C74"/>
    <w:rsid w:val="00E917D7"/>
    <w:rsid w:val="00EA6547"/>
    <w:rsid w:val="00EF2E22"/>
    <w:rsid w:val="00EF40DB"/>
    <w:rsid w:val="00F166BD"/>
    <w:rsid w:val="00F22372"/>
    <w:rsid w:val="00F35BAF"/>
    <w:rsid w:val="00F65DD1"/>
    <w:rsid w:val="00F660DF"/>
    <w:rsid w:val="00F871EF"/>
    <w:rsid w:val="00F94664"/>
    <w:rsid w:val="00F9573C"/>
    <w:rsid w:val="00F95C08"/>
    <w:rsid w:val="00FD58E7"/>
    <w:rsid w:val="00FE1C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09CD3"/>
  <w15:docId w15:val="{86B3A30A-E2C4-4500-BEF1-CACA8069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595DEA"/>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434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oj/direct-acces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7817</Words>
  <Characters>44559</Characters>
  <Application>Microsoft Office Word</Application>
  <DocSecurity>0</DocSecurity>
  <Lines>371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ECE/TRANS/WP.15/244</vt:lpstr>
      <vt:lpstr>ECE/TRANS/WP.15/244</vt:lpstr>
    </vt:vector>
  </TitlesOfParts>
  <Company>DCM</Company>
  <LinksUpToDate>false</LinksUpToDate>
  <CharactersWithSpaces>52272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ECE/TRANS/WP.15/244</dc:title>
  <dc:subject/>
  <dc:creator>Sandrine CLERE</dc:creator>
  <cp:keywords/>
  <cp:lastModifiedBy>Christine Barrio-Champeau</cp:lastModifiedBy>
  <cp:revision>2</cp:revision>
  <cp:lastPrinted>2019-04-16T12:41:00Z</cp:lastPrinted>
  <dcterms:created xsi:type="dcterms:W3CDTF">2019-04-17T07:36:00Z</dcterms:created>
  <dcterms:modified xsi:type="dcterms:W3CDTF">2019-04-17T07:36:00Z</dcterms:modified>
</cp:coreProperties>
</file>