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781EE6ED" w14:textId="77777777" w:rsidTr="00387CD4">
        <w:trPr>
          <w:trHeight w:hRule="exact" w:val="851"/>
        </w:trPr>
        <w:tc>
          <w:tcPr>
            <w:tcW w:w="142" w:type="dxa"/>
            <w:tcBorders>
              <w:bottom w:val="single" w:sz="4" w:space="0" w:color="auto"/>
            </w:tcBorders>
          </w:tcPr>
          <w:p w14:paraId="5E130EF8" w14:textId="77777777" w:rsidR="002D5AAC" w:rsidRDefault="002D5AAC" w:rsidP="001B48B6">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C322F97"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C58721F" w14:textId="77777777" w:rsidR="002D5AAC" w:rsidRDefault="001B48B6" w:rsidP="001B48B6">
            <w:pPr>
              <w:jc w:val="right"/>
            </w:pPr>
            <w:r w:rsidRPr="001B48B6">
              <w:rPr>
                <w:sz w:val="40"/>
              </w:rPr>
              <w:t>ECE</w:t>
            </w:r>
            <w:r>
              <w:t>/TRANS/WP.15/2019/19</w:t>
            </w:r>
          </w:p>
        </w:tc>
      </w:tr>
      <w:tr w:rsidR="002D5AAC" w:rsidRPr="00347F88" w14:paraId="3D0DBE6B" w14:textId="77777777" w:rsidTr="00387CD4">
        <w:trPr>
          <w:trHeight w:hRule="exact" w:val="2835"/>
        </w:trPr>
        <w:tc>
          <w:tcPr>
            <w:tcW w:w="1280" w:type="dxa"/>
            <w:gridSpan w:val="2"/>
            <w:tcBorders>
              <w:top w:val="single" w:sz="4" w:space="0" w:color="auto"/>
              <w:bottom w:val="single" w:sz="12" w:space="0" w:color="auto"/>
            </w:tcBorders>
          </w:tcPr>
          <w:p w14:paraId="548DFFDE" w14:textId="77777777" w:rsidR="002D5AAC" w:rsidRDefault="002E5067" w:rsidP="00387CD4">
            <w:pPr>
              <w:spacing w:before="120"/>
              <w:jc w:val="center"/>
            </w:pPr>
            <w:r>
              <w:rPr>
                <w:noProof/>
                <w:lang w:val="fr-CH" w:eastAsia="fr-CH"/>
              </w:rPr>
              <w:drawing>
                <wp:inline distT="0" distB="0" distL="0" distR="0" wp14:anchorId="117A0B61" wp14:editId="121340B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69DC588"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DAFE319" w14:textId="77777777" w:rsidR="002D5AAC" w:rsidRDefault="001B48B6" w:rsidP="00387CD4">
            <w:pPr>
              <w:spacing w:before="240"/>
              <w:rPr>
                <w:lang w:val="en-US"/>
              </w:rPr>
            </w:pPr>
            <w:r>
              <w:rPr>
                <w:lang w:val="en-US"/>
              </w:rPr>
              <w:t>Distr.: General</w:t>
            </w:r>
          </w:p>
          <w:p w14:paraId="6FA8171D" w14:textId="77777777" w:rsidR="001B48B6" w:rsidRDefault="001B48B6" w:rsidP="001B48B6">
            <w:pPr>
              <w:spacing w:line="240" w:lineRule="exact"/>
              <w:rPr>
                <w:lang w:val="en-US"/>
              </w:rPr>
            </w:pPr>
            <w:r>
              <w:rPr>
                <w:lang w:val="en-US"/>
              </w:rPr>
              <w:t>21 August 2019</w:t>
            </w:r>
          </w:p>
          <w:p w14:paraId="1E8B95FE" w14:textId="77777777" w:rsidR="001B48B6" w:rsidRDefault="001B48B6" w:rsidP="001B48B6">
            <w:pPr>
              <w:spacing w:line="240" w:lineRule="exact"/>
              <w:rPr>
                <w:lang w:val="en-US"/>
              </w:rPr>
            </w:pPr>
            <w:r>
              <w:rPr>
                <w:lang w:val="en-US"/>
              </w:rPr>
              <w:t>Russian</w:t>
            </w:r>
          </w:p>
          <w:p w14:paraId="6C05FED2" w14:textId="77777777" w:rsidR="001B48B6" w:rsidRPr="008D53B6" w:rsidRDefault="001B48B6" w:rsidP="001B48B6">
            <w:pPr>
              <w:spacing w:line="240" w:lineRule="exact"/>
              <w:rPr>
                <w:lang w:val="en-US"/>
              </w:rPr>
            </w:pPr>
            <w:r>
              <w:rPr>
                <w:lang w:val="en-US"/>
              </w:rPr>
              <w:t>Original: English</w:t>
            </w:r>
          </w:p>
        </w:tc>
      </w:tr>
    </w:tbl>
    <w:p w14:paraId="534ED9B9" w14:textId="77777777" w:rsidR="001B48B6" w:rsidRDefault="008A37C8" w:rsidP="00255343">
      <w:pPr>
        <w:spacing w:before="120"/>
        <w:rPr>
          <w:b/>
          <w:sz w:val="28"/>
          <w:szCs w:val="28"/>
        </w:rPr>
      </w:pPr>
      <w:r w:rsidRPr="00245892">
        <w:rPr>
          <w:b/>
          <w:sz w:val="28"/>
          <w:szCs w:val="28"/>
        </w:rPr>
        <w:t>Европейская экономическая комиссия</w:t>
      </w:r>
    </w:p>
    <w:p w14:paraId="130379A8" w14:textId="77777777" w:rsidR="00A60764" w:rsidRPr="00007B0E" w:rsidRDefault="00A60764" w:rsidP="00A60764">
      <w:pPr>
        <w:spacing w:before="120"/>
        <w:rPr>
          <w:sz w:val="28"/>
          <w:szCs w:val="28"/>
        </w:rPr>
      </w:pPr>
      <w:r w:rsidRPr="00007B0E">
        <w:rPr>
          <w:sz w:val="28"/>
          <w:szCs w:val="28"/>
        </w:rPr>
        <w:t>Комитет по внутреннему транспорту</w:t>
      </w:r>
    </w:p>
    <w:p w14:paraId="075EE7A5" w14:textId="77777777" w:rsidR="00A60764" w:rsidRPr="00007B0E" w:rsidRDefault="00A60764" w:rsidP="00A60764">
      <w:pPr>
        <w:spacing w:before="120"/>
        <w:rPr>
          <w:sz w:val="24"/>
          <w:szCs w:val="24"/>
        </w:rPr>
      </w:pPr>
      <w:r w:rsidRPr="00007B0E">
        <w:rPr>
          <w:b/>
          <w:bCs/>
          <w:sz w:val="24"/>
          <w:szCs w:val="24"/>
        </w:rPr>
        <w:t>Рабочая группа по перевозкам опасных грузов</w:t>
      </w:r>
    </w:p>
    <w:p w14:paraId="5EE94E9A" w14:textId="77777777" w:rsidR="00A60764" w:rsidRPr="00007B0E" w:rsidRDefault="00A60764" w:rsidP="00A60764">
      <w:pPr>
        <w:spacing w:before="120"/>
        <w:rPr>
          <w:b/>
          <w:bCs/>
        </w:rPr>
      </w:pPr>
      <w:r>
        <w:rPr>
          <w:b/>
          <w:bCs/>
        </w:rPr>
        <w:t>107-я сессия</w:t>
      </w:r>
      <w:r>
        <w:t xml:space="preserve"> </w:t>
      </w:r>
    </w:p>
    <w:p w14:paraId="3779437C" w14:textId="77777777" w:rsidR="00A60764" w:rsidRPr="00007B0E" w:rsidRDefault="00A60764" w:rsidP="00A60764">
      <w:r>
        <w:t xml:space="preserve">Женева, 11–15 ноября 2019 года </w:t>
      </w:r>
    </w:p>
    <w:p w14:paraId="421EC835" w14:textId="77777777" w:rsidR="00A60764" w:rsidRPr="00007B0E" w:rsidRDefault="00A60764" w:rsidP="00A60764">
      <w:r>
        <w:t>Пункт 5 b) предварительной повестки дня</w:t>
      </w:r>
    </w:p>
    <w:p w14:paraId="31F38321" w14:textId="77777777" w:rsidR="00A60764" w:rsidRPr="00007B0E" w:rsidRDefault="00A60764" w:rsidP="00A60764">
      <w:pPr>
        <w:rPr>
          <w:b/>
          <w:bCs/>
        </w:rPr>
      </w:pPr>
      <w:r>
        <w:rPr>
          <w:b/>
          <w:bCs/>
        </w:rPr>
        <w:t>Предложения о внесении поправок в приложения A и B к ДОПОГ:</w:t>
      </w:r>
    </w:p>
    <w:p w14:paraId="65FA55B6" w14:textId="77777777" w:rsidR="00A60764" w:rsidRPr="00007B0E" w:rsidRDefault="00A60764" w:rsidP="00A60764">
      <w:pPr>
        <w:rPr>
          <w:b/>
          <w:bCs/>
        </w:rPr>
      </w:pPr>
      <w:r>
        <w:rPr>
          <w:b/>
          <w:bCs/>
        </w:rPr>
        <w:t>различные предложения</w:t>
      </w:r>
    </w:p>
    <w:p w14:paraId="4FB72752" w14:textId="77777777" w:rsidR="00A60764" w:rsidRPr="00007B0E" w:rsidRDefault="00A60764" w:rsidP="00A60764">
      <w:pPr>
        <w:pStyle w:val="HChG"/>
      </w:pPr>
      <w:r>
        <w:tab/>
      </w:r>
      <w:r>
        <w:tab/>
      </w:r>
      <w:r>
        <w:rPr>
          <w:bCs/>
        </w:rPr>
        <w:t>Опасные грузы, освобожденные от действия ограничений проезда через туннели</w:t>
      </w:r>
    </w:p>
    <w:p w14:paraId="406C4676" w14:textId="77777777" w:rsidR="00A60764" w:rsidRDefault="00A60764" w:rsidP="00A60764">
      <w:pPr>
        <w:pStyle w:val="H1G"/>
        <w:rPr>
          <w:b w:val="0"/>
          <w:bCs/>
          <w:sz w:val="20"/>
        </w:rPr>
      </w:pPr>
      <w:r>
        <w:tab/>
      </w:r>
      <w:r>
        <w:tab/>
      </w:r>
      <w:r>
        <w:rPr>
          <w:bCs/>
        </w:rPr>
        <w:t>Передано правительством Швейцарии</w:t>
      </w:r>
      <w:r w:rsidRPr="00A12FD2">
        <w:rPr>
          <w:b w:val="0"/>
          <w:bCs/>
          <w:sz w:val="20"/>
        </w:rPr>
        <w:footnoteReference w:customMarkFollows="1" w:id="1"/>
        <w:sym w:font="Symbol" w:char="F02A"/>
      </w:r>
    </w:p>
    <w:tbl>
      <w:tblPr>
        <w:tblStyle w:val="TableGrid"/>
        <w:tblW w:w="0" w:type="auto"/>
        <w:jc w:val="center"/>
        <w:tblLook w:val="05E0" w:firstRow="1" w:lastRow="1" w:firstColumn="1" w:lastColumn="1" w:noHBand="0" w:noVBand="1"/>
      </w:tblPr>
      <w:tblGrid>
        <w:gridCol w:w="9628"/>
      </w:tblGrid>
      <w:tr w:rsidR="00347F88" w:rsidRPr="00347F88" w14:paraId="3C0F1034" w14:textId="77777777" w:rsidTr="00850215">
        <w:trPr>
          <w:jc w:val="center"/>
        </w:trPr>
        <w:tc>
          <w:tcPr>
            <w:tcW w:w="9637" w:type="dxa"/>
            <w:tcBorders>
              <w:bottom w:val="nil"/>
            </w:tcBorders>
          </w:tcPr>
          <w:p w14:paraId="14D7F642" w14:textId="77777777" w:rsidR="00347F88" w:rsidRPr="00347F88" w:rsidRDefault="00347F88" w:rsidP="00850215">
            <w:pPr>
              <w:tabs>
                <w:tab w:val="left" w:pos="255"/>
              </w:tabs>
              <w:spacing w:before="240" w:after="120"/>
              <w:rPr>
                <w:rFonts w:cs="Times New Roman"/>
                <w:sz w:val="24"/>
              </w:rPr>
            </w:pPr>
            <w:r w:rsidRPr="00347F88">
              <w:rPr>
                <w:rFonts w:cs="Times New Roman"/>
              </w:rPr>
              <w:tab/>
            </w:r>
            <w:r w:rsidRPr="00347F88">
              <w:rPr>
                <w:rFonts w:cs="Times New Roman"/>
                <w:i/>
                <w:sz w:val="24"/>
              </w:rPr>
              <w:t>Резюме</w:t>
            </w:r>
          </w:p>
        </w:tc>
      </w:tr>
      <w:tr w:rsidR="00347F88" w:rsidRPr="00347F88" w14:paraId="3418B522" w14:textId="77777777" w:rsidTr="00850215">
        <w:trPr>
          <w:jc w:val="center"/>
        </w:trPr>
        <w:tc>
          <w:tcPr>
            <w:tcW w:w="9637" w:type="dxa"/>
            <w:tcBorders>
              <w:top w:val="nil"/>
              <w:bottom w:val="nil"/>
            </w:tcBorders>
            <w:shd w:val="clear" w:color="auto" w:fill="auto"/>
          </w:tcPr>
          <w:p w14:paraId="28ED66A5" w14:textId="77777777" w:rsidR="00347F88" w:rsidRPr="00007B0E" w:rsidRDefault="00347F88" w:rsidP="00347F88">
            <w:pPr>
              <w:pStyle w:val="SingleTxtG"/>
              <w:tabs>
                <w:tab w:val="left" w:pos="3677"/>
              </w:tabs>
              <w:ind w:left="3677" w:hanging="2543"/>
            </w:pPr>
            <w:r>
              <w:rPr>
                <w:b/>
                <w:bCs/>
              </w:rPr>
              <w:t>Существо предложения</w:t>
            </w:r>
            <w:r>
              <w:t>:</w:t>
            </w:r>
            <w:r>
              <w:tab/>
              <w:t>В тексты, касающиеся грузов, для которых в колонке 15 таблицы А главы 3.2 указан знак «(─)», следует включить более полную информацию, с тем чтобы обеспечить безопасность и облегчить принятие решений относительно проезда через туннели, на которые распространяются ограничения.</w:t>
            </w:r>
          </w:p>
          <w:p w14:paraId="368793EB" w14:textId="77777777" w:rsidR="00347F88" w:rsidRPr="00D51929" w:rsidRDefault="00347F88" w:rsidP="00347F88">
            <w:pPr>
              <w:pStyle w:val="SingleTxtG"/>
              <w:tabs>
                <w:tab w:val="left" w:pos="3677"/>
              </w:tabs>
              <w:ind w:left="3677" w:hanging="2543"/>
            </w:pPr>
            <w:r>
              <w:rPr>
                <w:b/>
                <w:bCs/>
              </w:rPr>
              <w:t>Предлагаемое решение</w:t>
            </w:r>
            <w:r>
              <w:t>:</w:t>
            </w:r>
            <w:r>
              <w:tab/>
              <w:t>Изменить текст подраздела 1.1.3.6, пунктов 1.9.5.3.6, 5.4.1.1.10, 8.6.3.1, 8.6.3.2, 8.6.3.3 и раздела 8.6.4.</w:t>
            </w:r>
          </w:p>
          <w:p w14:paraId="0A427F42" w14:textId="77777777" w:rsidR="00347F88" w:rsidRPr="00347F88" w:rsidRDefault="00347F88" w:rsidP="00347F88">
            <w:pPr>
              <w:pStyle w:val="SingleTxtG"/>
              <w:tabs>
                <w:tab w:val="left" w:pos="3673"/>
              </w:tabs>
            </w:pPr>
            <w:r>
              <w:rPr>
                <w:b/>
                <w:bCs/>
              </w:rPr>
              <w:t>Справочные документы</w:t>
            </w:r>
            <w:r>
              <w:t xml:space="preserve">: </w:t>
            </w:r>
            <w:r>
              <w:tab/>
              <w:t>ECE/TRANS/WP.15/2019/8, ECE/TRANS/WP.15/246.</w:t>
            </w:r>
          </w:p>
        </w:tc>
      </w:tr>
      <w:tr w:rsidR="00347F88" w:rsidRPr="00347F88" w14:paraId="49EB37B7" w14:textId="77777777" w:rsidTr="00850215">
        <w:trPr>
          <w:jc w:val="center"/>
        </w:trPr>
        <w:tc>
          <w:tcPr>
            <w:tcW w:w="9637" w:type="dxa"/>
            <w:tcBorders>
              <w:top w:val="nil"/>
            </w:tcBorders>
          </w:tcPr>
          <w:p w14:paraId="32E9AEFF" w14:textId="77777777" w:rsidR="00347F88" w:rsidRPr="00347F88" w:rsidRDefault="00347F88" w:rsidP="00850215">
            <w:pPr>
              <w:rPr>
                <w:rFonts w:cs="Times New Roman"/>
              </w:rPr>
            </w:pPr>
          </w:p>
        </w:tc>
      </w:tr>
    </w:tbl>
    <w:p w14:paraId="5FC54178" w14:textId="77777777" w:rsidR="00A60764" w:rsidRPr="0090361F" w:rsidRDefault="00A60764" w:rsidP="00A60764">
      <w:pPr>
        <w:pStyle w:val="HChG"/>
      </w:pPr>
      <w:r>
        <w:tab/>
      </w:r>
      <w:r>
        <w:tab/>
      </w:r>
      <w:r>
        <w:rPr>
          <w:bCs/>
        </w:rPr>
        <w:t>Введение</w:t>
      </w:r>
    </w:p>
    <w:p w14:paraId="2D6D7834" w14:textId="77777777" w:rsidR="00A60764" w:rsidRPr="00007B0E" w:rsidRDefault="00A60764" w:rsidP="00A60764">
      <w:pPr>
        <w:pStyle w:val="SingleTxtG"/>
      </w:pPr>
      <w:r>
        <w:t>1.</w:t>
      </w:r>
      <w:r>
        <w:tab/>
        <w:t xml:space="preserve">В ходе 106-й сессии были высказаны различные замечания по документу ECE/TRANS/WP.15/2019/8, в которых предлагалось уточнить, как следует действовать в случае совместной погрузки опасных грузов, для которых в колонке 15 таблицы А главы 3.2 проставлен знак «(─)», и других опасных грузов, которым назначен код ограничения проезда через туннели, отличный от «(─)». В итоге было предложено провести дальнейшие консультации с делегациями, которые высказали замечания, с целью подготовки еще одного предложения. </w:t>
      </w:r>
    </w:p>
    <w:p w14:paraId="5BA93409" w14:textId="77777777" w:rsidR="00A60764" w:rsidRPr="00007B0E" w:rsidRDefault="00A60764" w:rsidP="00EB03DD">
      <w:pPr>
        <w:pStyle w:val="SingleTxtG"/>
        <w:spacing w:line="232" w:lineRule="atLeast"/>
      </w:pPr>
      <w:r>
        <w:lastRenderedPageBreak/>
        <w:t>2.</w:t>
      </w:r>
      <w:r>
        <w:tab/>
        <w:t xml:space="preserve">Было высказано мнение о том, что соответствующие положения следует включить не только в пункт 5.4.1.1.1 k), как это было предложено в первоначальном документе, но и в раздел 1.9.5 или в главу 8.6. Некоторые делегаты также предложили упомянуть об этом в подразделе 1.1.3.6. </w:t>
      </w:r>
    </w:p>
    <w:p w14:paraId="053E329C" w14:textId="77777777" w:rsidR="00A60764" w:rsidRPr="00007B0E" w:rsidRDefault="00A60764" w:rsidP="00EB03DD">
      <w:pPr>
        <w:pStyle w:val="SingleTxtG"/>
        <w:spacing w:line="232" w:lineRule="atLeast"/>
      </w:pPr>
      <w:r>
        <w:t>3.</w:t>
      </w:r>
      <w:r>
        <w:tab/>
        <w:t>В ходе проведенных консультаций был поднят вопрос о том, что концепция подраздела 1.1.3.6 касается всего груза транспортной единицы: транспортная единица либо может использовать концепцию подраздела 1.1.3.6, либо нет (как единое целое). Можно провести сравнение с взрывчатыми веществами: если рассчитанное значение для всего груза превышает 1 000, но значение для взрывчатых веществ в грузе (рассчитанное отдельно) не превышает 1 000, то ко всей транспортной единице не может применяться менее жесткое ограничение в отношении использования транспортного средства EX в составе транспортной единицы (7.2.4, V2), что было бы возможно, если бы груз в транспортной единице включал только указанные взрывчатые вещества. Следовательно, в случае такой перевозки необходимо использовать транспортные средства ЕХ (даже несмотря на то, что количество самих взрывчатых веществ не превышает 1 000).</w:t>
      </w:r>
    </w:p>
    <w:p w14:paraId="3E284F62" w14:textId="77777777" w:rsidR="00A60764" w:rsidRPr="00007B0E" w:rsidRDefault="00A60764" w:rsidP="00EB03DD">
      <w:pPr>
        <w:pStyle w:val="SingleTxtG"/>
        <w:spacing w:line="232" w:lineRule="atLeast"/>
      </w:pPr>
      <w:r>
        <w:t>4.</w:t>
      </w:r>
      <w:r>
        <w:tab/>
        <w:t>Это объясняется тем, что в разделе 1.1.3 (1.1.3.6.2) не предусматривается применение изъятия, сформулированного в пункте 7.2.4, V2, и, даже если концепция подраздела 1.1.3.6 фактически касается всего груза, после включения изъятия из этой концепции в сам подраздел 1.1.3.6 освобожденные опасные грузы не должны рассматриваться как часть груза. Один из примеров такого подхода можно обнаружить в пункте 1.1.3.6.5, где перечисленные освобожденные опасные грузы определяются как не являющиеся частью груза, который должен учитываться при расчете максимального общего количества для целей подраздела 1.1.3.6. Таким образом, включая изъятие непосредственно в подраздел 1.1.3.6 (1.1.3.6.6), мы должны добиться того же результата, что и в случае пункта 1.1.3.6.5, и освобожденные опасные грузы в случае ограничений проезда через туннели больше не должны учитываться при расчете максимального общего количества. Поскольку необходимо сообщить о</w:t>
      </w:r>
      <w:r w:rsidRPr="000938F4">
        <w:t xml:space="preserve"> </w:t>
      </w:r>
      <w:r>
        <w:t>такой ситуации, требуется принять ряд положений также и в других частях правил.</w:t>
      </w:r>
    </w:p>
    <w:p w14:paraId="2B7A2BBC" w14:textId="77777777" w:rsidR="00A60764" w:rsidRPr="00007B0E" w:rsidRDefault="00A60764" w:rsidP="00EB03DD">
      <w:pPr>
        <w:pStyle w:val="SingleTxtG"/>
        <w:spacing w:line="232" w:lineRule="atLeast"/>
      </w:pPr>
      <w:r>
        <w:t>5.</w:t>
      </w:r>
      <w:r>
        <w:tab/>
        <w:t xml:space="preserve">В нижеследующем предложении мы приводим полный набор положений нового пункта 1.1.3.6.6, пункта 1.9.5.3.6, нового пункта 5.4.1.1.10, пунктов 8.6.3.1, 8.6.3.2, 8.6.3.3 и раздела 8.6.4. </w:t>
      </w:r>
    </w:p>
    <w:p w14:paraId="08EC8991" w14:textId="77777777" w:rsidR="00A60764" w:rsidRPr="00007B0E" w:rsidRDefault="00A60764" w:rsidP="00EB03DD">
      <w:pPr>
        <w:pStyle w:val="SingleTxtG"/>
        <w:spacing w:line="232" w:lineRule="atLeast"/>
      </w:pPr>
      <w:r>
        <w:t>6.</w:t>
      </w:r>
      <w:r>
        <w:tab/>
        <w:t>С формальной точки зрения текста, включенного в пункт 1.1.3.6.6, должно быть достаточно, поскольку упоминание об изъятии для туннелей уже содержится в разделе</w:t>
      </w:r>
      <w:r w:rsidR="002B4746">
        <w:t> </w:t>
      </w:r>
      <w:r>
        <w:t>1.1.3 (а именно в пункте 1.1.3.6.6), и с учетом того, что предусмотренные в разделе 1.1.3 изъятия уже прямо исключены из сферы применения ограничений проезда через туннели в пункте 1.9.5.3.6 и пункте 8.6.3.3, не должно возникать необходимости во включении дополнительного текста в пункты 1.9.5.3.6, 8.6.3.1, 8.6.3.2, 8.6.3.3 или раздел 8.6.4. Как только опасный груз освобождается от действия правил в соответствии с разделом 1.1.3, другие положения, такие как положения пункта 8.6.3.2, касающиеся назначения грузу кода ограничения проезда через туннели, более не применяются. Так уже обстоит дело с изъятиями, упомянутыми, например, в пункте 1.1.3.6.5. Прямое повторение или упоминание в пунктах 1.9.5.3.6, 8.6.3.1, 8.6.3.2 и 8.6.3.3 изъятия из расчетов согласно подразделу 1.1.3.6, которое содержится в пункте 1.1.3.6.5, уже охватывается общим упоминанием изъятий в соответствии с разделом 1.1.3 в пунктах 1.9.5.3.6 и 8.6.3.3. Следовательно, это должно относиться и к новому изъятию, предлагаемому в пункте 1.1.3.6.6, и не должно требоваться специально повторно упоминать о существовании этого изъятия в дополнение к его упоминанию в разделе 1.1.3. Вместе с тем, даже если формально в этом нет необходимости, в целях обеспечения большей ясности для пользователей и операторов туннелей мы предлагаем вновь конкретно упомянуть изъятие, предусмотренное в пункте 1.1.3.6.6, в пунктах 1.9.5.3.6, 8.6.3.1, 8.6.3.2, 8.6.3.3 и разделе 8.6.4.</w:t>
      </w:r>
    </w:p>
    <w:p w14:paraId="756630FA" w14:textId="77777777" w:rsidR="00A60764" w:rsidRPr="00007B0E" w:rsidRDefault="00A60764" w:rsidP="00EB03DD">
      <w:pPr>
        <w:pStyle w:val="SingleTxtG"/>
        <w:spacing w:line="232" w:lineRule="atLeast"/>
      </w:pPr>
      <w:r>
        <w:t>7.</w:t>
      </w:r>
      <w:r>
        <w:tab/>
        <w:t xml:space="preserve">Положения нового пункта 5.4.1.1.10 заменяют собой прежнее предложение об изменении формулировки пункта 5.4.1.1.1 k). Этот пункт применяется только в случае применения пункта 1.1.3.6.6. Иными словами, в том случае, если заранее известно, что перевозка будет осуществляться через какой-либо туннель, для которого установлены ограничения в отношении перевозки опасных грузов. Во избежание ненужных задержек для перевозчиков, а также операторов туннелей представляется </w:t>
      </w:r>
      <w:bookmarkStart w:id="0" w:name="_GoBack"/>
      <w:bookmarkEnd w:id="0"/>
      <w:r>
        <w:lastRenderedPageBreak/>
        <w:t>целесообразным, чтобы в транспортный документ было включено конкретное указание о том, как действовать в случае транспортной единицы с табличками оранжевого цвета, в которой перевозится смешанный груз, включающий опасные грузы в количествах, подпадающих под ограничения проезда через туннели на основании предельных значений, предусмотренных в подразделе 1.1.3.6. Это</w:t>
      </w:r>
      <w:r w:rsidR="00347F88">
        <w:t> </w:t>
      </w:r>
      <w:r>
        <w:t>происходит, например, в случае № ООН 3077 и 3082, перевозимых в количествах, превышающих предельные значения, указанные в подразделе 1.1.3.6, вместе с другими опасными грузами, на которые распространяются ограничения, касающиеся туннелей, но которые перевозятся в количествах, не превышающих предельных значений, указанных в подразделе 1.1.3.6. Несмотря на установленные таблички оранжевого цвета, на такие транспортные единицы не распространяются ограничения проезда через туннели, если установка табличек обусловлена только превышением количества опасных грузов, которым присвоен знак «(─)».</w:t>
      </w:r>
    </w:p>
    <w:p w14:paraId="6C71D496" w14:textId="77777777" w:rsidR="00A60764" w:rsidRPr="00007B0E" w:rsidRDefault="00A60764" w:rsidP="00EB03DD">
      <w:pPr>
        <w:pStyle w:val="SingleTxtG"/>
        <w:spacing w:line="232" w:lineRule="atLeast"/>
      </w:pPr>
      <w:r>
        <w:t>8.</w:t>
      </w:r>
      <w:r>
        <w:tab/>
        <w:t xml:space="preserve">В новом пункте 1.1.3.6.6 мы объясняем, каким образом определять рассчитанное значение при такого типа совместной погрузке. </w:t>
      </w:r>
    </w:p>
    <w:p w14:paraId="65F582BD" w14:textId="77777777" w:rsidR="00A60764" w:rsidRPr="00007B0E" w:rsidRDefault="00A60764" w:rsidP="00EB03DD">
      <w:pPr>
        <w:pStyle w:val="SingleTxtG"/>
        <w:spacing w:line="232" w:lineRule="atLeast"/>
      </w:pPr>
      <w:r>
        <w:t>9.</w:t>
      </w:r>
      <w:r>
        <w:tab/>
        <w:t>В пункты 1.9.5.3.6, 8.6.3.1, 8.6.3.3 и раздел 8.6.4 мы добавили необходимые разъяснения относительно принятия решения о разрешении проезда с такими смешанными грузами через туннель, на который распространяются ограничения.</w:t>
      </w:r>
    </w:p>
    <w:p w14:paraId="16A57D6E" w14:textId="77777777" w:rsidR="00A60764" w:rsidRPr="00007B0E" w:rsidRDefault="00A60764" w:rsidP="00A60764">
      <w:pPr>
        <w:pStyle w:val="HChG"/>
      </w:pPr>
      <w:r>
        <w:tab/>
      </w:r>
      <w:r>
        <w:tab/>
      </w:r>
      <w:r>
        <w:rPr>
          <w:bCs/>
        </w:rPr>
        <w:t>Предложение</w:t>
      </w:r>
    </w:p>
    <w:p w14:paraId="65C9A699" w14:textId="77777777" w:rsidR="00A60764" w:rsidRPr="00007B0E" w:rsidRDefault="00A60764" w:rsidP="00EB03DD">
      <w:pPr>
        <w:pStyle w:val="SingleTxtG"/>
        <w:spacing w:line="230" w:lineRule="atLeast"/>
      </w:pPr>
      <w:r>
        <w:t>10.</w:t>
      </w:r>
      <w:r>
        <w:tab/>
        <w:t>Добавить пункт 1.1.3.6.6 следующего содержания:</w:t>
      </w:r>
    </w:p>
    <w:p w14:paraId="040919EC" w14:textId="77777777" w:rsidR="00A60764" w:rsidRPr="00007B0E" w:rsidRDefault="00A60764" w:rsidP="00EB03DD">
      <w:pPr>
        <w:pStyle w:val="SingleTxtG"/>
        <w:spacing w:line="230" w:lineRule="atLeast"/>
      </w:pPr>
      <w:r>
        <w:t>«1.1.3.6.6</w:t>
      </w:r>
      <w:r>
        <w:tab/>
        <w:t>Для целей применения ограничений проезда через туннели, предусмотренных в пункте 1.9.5.3.6, при расчете предельных количеств, разрешенных в туннелях, не должны приниматься во внимание опасные грузы, для которых в колонке 15 таблицы А главы 3.2 указан знак "(─)". В случае совместной погрузки таких опасных грузов с другими опасными грузами, имеющими другой код ограничения проезда через туннели, при расчете предельных количеств, разрешенных в туннелях, для целей применения ограничений проезда через туннели, предусмотренных в пункте</w:t>
      </w:r>
      <w:r w:rsidR="00347F88">
        <w:t> </w:t>
      </w:r>
      <w:r>
        <w:t>1.9.5.3.6, учитываются только последние из этих грузов.</w:t>
      </w:r>
    </w:p>
    <w:p w14:paraId="6C341A25" w14:textId="77777777" w:rsidR="00A60764" w:rsidRPr="00007B0E" w:rsidRDefault="00A60764" w:rsidP="00EB03DD">
      <w:pPr>
        <w:pStyle w:val="SingleTxtG"/>
        <w:spacing w:line="230" w:lineRule="atLeast"/>
      </w:pPr>
      <w:r>
        <w:t>Для опасных грузов, имеющих код ограничения проезда через туннели, отличный от "(─)", ограничения в отношении туннелей применяются в тех случаях, когда рассчитанное значение, определенное только для этих грузов в соответствии с пунктом</w:t>
      </w:r>
      <w:r w:rsidR="009E4649">
        <w:t> </w:t>
      </w:r>
      <w:r>
        <w:t>1.1.3.6.4, превышает "1 000".».</w:t>
      </w:r>
    </w:p>
    <w:p w14:paraId="25DBEC1D" w14:textId="77777777" w:rsidR="00A60764" w:rsidRPr="00007B0E" w:rsidRDefault="00A60764" w:rsidP="00EB03DD">
      <w:pPr>
        <w:pStyle w:val="SingleTxtG"/>
        <w:spacing w:line="230" w:lineRule="atLeast"/>
      </w:pPr>
      <w:r>
        <w:t>11.</w:t>
      </w:r>
      <w:r>
        <w:tab/>
        <w:t xml:space="preserve">Изменить пункт 1.9.5.3.6 следующим образом (добавленный текст </w:t>
      </w:r>
      <w:r>
        <w:rPr>
          <w:b/>
          <w:bCs/>
          <w:u w:val="single"/>
        </w:rPr>
        <w:t>выделен жирным шрифтом и подчеркнут</w:t>
      </w:r>
      <w:r>
        <w:t>):</w:t>
      </w:r>
    </w:p>
    <w:p w14:paraId="00FDD2F4" w14:textId="77777777" w:rsidR="00A60764" w:rsidRPr="00A377D7" w:rsidRDefault="00A60764" w:rsidP="00EB03DD">
      <w:pPr>
        <w:pStyle w:val="BodyTextIndent2"/>
        <w:tabs>
          <w:tab w:val="clear" w:pos="-720"/>
          <w:tab w:val="clear" w:pos="-324"/>
          <w:tab w:val="clear" w:pos="1134"/>
          <w:tab w:val="clear" w:pos="1701"/>
          <w:tab w:val="clear" w:pos="1985"/>
          <w:tab w:val="clear" w:pos="2268"/>
          <w:tab w:val="clear" w:pos="2552"/>
          <w:tab w:val="clear" w:pos="2835"/>
          <w:tab w:val="clear" w:pos="3119"/>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suppressAutoHyphens/>
        <w:spacing w:after="120" w:line="230" w:lineRule="atLeast"/>
        <w:ind w:left="1134" w:right="1134" w:hanging="23"/>
        <w:rPr>
          <w:rFonts w:ascii="Times New Roman" w:hAnsi="Times New Roman"/>
          <w:sz w:val="20"/>
          <w:lang w:val="ru-RU"/>
        </w:rPr>
      </w:pPr>
      <w:r w:rsidRPr="00A377D7">
        <w:rPr>
          <w:sz w:val="20"/>
          <w:lang w:val="ru-RU"/>
        </w:rPr>
        <w:t>«1.9.5.3.6</w:t>
      </w:r>
      <w:r w:rsidRPr="00A377D7">
        <w:rPr>
          <w:sz w:val="20"/>
          <w:lang w:val="ru-RU"/>
        </w:rPr>
        <w:tab/>
        <w:t>Ограничения проезда через туннели применяются к транспортным единицам, которым предписана маркировка в виде табличек оранжевого цвета в соответствии с разделом 5.3.2, за исключением перевозки опасных грузов, для которых в колонке 15 таблицы А главы 3.2 ука</w:t>
      </w:r>
      <w:r>
        <w:rPr>
          <w:sz w:val="20"/>
          <w:lang w:val="ru-RU"/>
        </w:rPr>
        <w:t>зан знак</w:t>
      </w:r>
      <w:r>
        <w:rPr>
          <w:rFonts w:asciiTheme="minorHAnsi" w:hAnsiTheme="minorHAnsi"/>
          <w:sz w:val="20"/>
          <w:lang w:val="ru-RU"/>
        </w:rPr>
        <w:t xml:space="preserve"> </w:t>
      </w:r>
      <w:r w:rsidRPr="00A377D7">
        <w:rPr>
          <w:sz w:val="20"/>
          <w:lang w:val="ru-RU"/>
        </w:rPr>
        <w:t xml:space="preserve">"(─)", </w:t>
      </w:r>
      <w:r w:rsidRPr="00A377D7">
        <w:rPr>
          <w:b/>
          <w:bCs/>
          <w:sz w:val="20"/>
          <w:u w:val="single"/>
          <w:lang w:val="ru-RU"/>
        </w:rPr>
        <w:t>даже в случае совместной погрузки с количествами опасных грузов, которым назначен код ограничения проезда через туннели, отличный от "(─)", в соответствии с пунктом 1.1.3.6.6</w:t>
      </w:r>
      <w:r w:rsidRPr="00A377D7">
        <w:rPr>
          <w:sz w:val="20"/>
          <w:lang w:val="ru-RU"/>
        </w:rPr>
        <w:t>. В</w:t>
      </w:r>
      <w:r w:rsidR="00EB03DD">
        <w:rPr>
          <w:rFonts w:asciiTheme="minorHAnsi" w:hAnsiTheme="minorHAnsi"/>
          <w:sz w:val="20"/>
          <w:lang w:val="ru-RU"/>
        </w:rPr>
        <w:t> </w:t>
      </w:r>
      <w:r w:rsidRPr="00A377D7">
        <w:rPr>
          <w:sz w:val="20"/>
          <w:lang w:val="ru-RU"/>
        </w:rPr>
        <w:t>случае опасных грузов, отнесенных к № ООН 2919 и 3331, ограничения проезда через туннели могут, однако, являться частью специальных условий, утвержденных компетентным(и) органом(ами) на основе пункта 1.7.4.2. В случае туннелей категории</w:t>
      </w:r>
      <w:r w:rsidR="00EB03DD">
        <w:rPr>
          <w:rFonts w:asciiTheme="minorHAnsi" w:hAnsiTheme="minorHAnsi"/>
          <w:sz w:val="20"/>
          <w:lang w:val="ru-RU"/>
        </w:rPr>
        <w:t> </w:t>
      </w:r>
      <w:r w:rsidRPr="00A377D7">
        <w:rPr>
          <w:sz w:val="20"/>
          <w:lang w:val="ru-RU"/>
        </w:rPr>
        <w:t>Е они применяются также к транспортным единицам, которым предписана маркировка в соответствии с пунктом 3.4.13, или транспортным единицам, перевозящим контейнеры, которым предписана маркировка в соответствии с пунктом</w:t>
      </w:r>
      <w:r w:rsidR="00EB03DD">
        <w:rPr>
          <w:rFonts w:asciiTheme="minorHAnsi" w:hAnsiTheme="minorHAnsi"/>
          <w:sz w:val="20"/>
          <w:lang w:val="ru-RU"/>
        </w:rPr>
        <w:t> </w:t>
      </w:r>
      <w:r w:rsidRPr="00A377D7">
        <w:rPr>
          <w:sz w:val="20"/>
          <w:lang w:val="ru-RU"/>
        </w:rPr>
        <w:t>3.4.13.</w:t>
      </w:r>
    </w:p>
    <w:p w14:paraId="249299E2" w14:textId="77777777" w:rsidR="00A60764" w:rsidRPr="00007B0E" w:rsidRDefault="00A60764" w:rsidP="00EB03DD">
      <w:pPr>
        <w:spacing w:after="120" w:line="230" w:lineRule="atLeast"/>
        <w:ind w:left="1134" w:right="1134"/>
        <w:jc w:val="both"/>
      </w:pPr>
      <w:r>
        <w:t xml:space="preserve">Ограничения проезда через туннели не должны применяться, если </w:t>
      </w:r>
      <w:r>
        <w:rPr>
          <w:b/>
          <w:bCs/>
          <w:u w:val="single"/>
        </w:rPr>
        <w:t xml:space="preserve">в транспортной единице количество опасных грузов в упаковках, которым назначены коды ограничения проезда через туннели, не превышает количества, указанного в пункте 1.1.3.6.3, [рассчитанного без учета любых опасных грузов, для которых в колонке 15 таблицы А главы 3.2 указан знак "(─)",] и </w:t>
      </w:r>
      <w:r>
        <w:t>опасные грузы перевозятся в соответствии с разделом 1.1.3, за исключением тех случаев, когда транспортные единицы, перевозящие такие грузы, имеют маркировку в соответствии с пунктом</w:t>
      </w:r>
      <w:r w:rsidR="00EB03DD">
        <w:t> </w:t>
      </w:r>
      <w:r>
        <w:t>3.4.13 с учетом пункта 3.4.14.».</w:t>
      </w:r>
    </w:p>
    <w:p w14:paraId="27263245" w14:textId="77777777" w:rsidR="00A60764" w:rsidRPr="00007B0E" w:rsidRDefault="00A60764" w:rsidP="00EB03DD">
      <w:pPr>
        <w:pStyle w:val="SingleTxtG"/>
      </w:pPr>
      <w:r>
        <w:lastRenderedPageBreak/>
        <w:t>12.</w:t>
      </w:r>
      <w:r>
        <w:tab/>
        <w:t>Добавить в пункт 5.4.1.1.10 текст следующего содержания:</w:t>
      </w:r>
    </w:p>
    <w:p w14:paraId="7F6344C3" w14:textId="77777777" w:rsidR="00A60764" w:rsidRPr="00007B0E" w:rsidRDefault="00A60764" w:rsidP="00EB03DD">
      <w:pPr>
        <w:pStyle w:val="SingleTxtG"/>
        <w:rPr>
          <w:i/>
          <w:iCs/>
        </w:rPr>
      </w:pPr>
      <w:r>
        <w:t xml:space="preserve">«5.4.1.1.10 </w:t>
      </w:r>
      <w:r>
        <w:rPr>
          <w:i/>
          <w:iCs/>
        </w:rPr>
        <w:t>Специальные положения, касающиеся изъятий, связанных с количествами, перевозимыми в одной транспортной единице</w:t>
      </w:r>
    </w:p>
    <w:p w14:paraId="1E51DE2C" w14:textId="77777777" w:rsidR="00A60764" w:rsidRPr="00007B0E" w:rsidRDefault="00A60764" w:rsidP="00EB03DD">
      <w:pPr>
        <w:autoSpaceDE w:val="0"/>
        <w:autoSpaceDN w:val="0"/>
        <w:adjustRightInd w:val="0"/>
        <w:spacing w:before="120" w:after="120"/>
        <w:ind w:left="1134" w:right="1134"/>
        <w:jc w:val="both"/>
        <w:rPr>
          <w:b/>
          <w:bCs/>
        </w:rPr>
      </w:pPr>
      <w:r>
        <w:t xml:space="preserve">В случае изъятий, предусмотренных в пункте 1.1.3.6.6, в транспортном документе должна быть сделана следующая запись: </w:t>
      </w:r>
      <w:r>
        <w:rPr>
          <w:b/>
          <w:bCs/>
        </w:rPr>
        <w:t>"Груз, не превышающий пределов для изъятия, предписанных в пункте 1.1.3.6.6"</w:t>
      </w:r>
      <w:r>
        <w:t>.</w:t>
      </w:r>
    </w:p>
    <w:p w14:paraId="45C4FA74" w14:textId="77777777" w:rsidR="00A60764" w:rsidRPr="00007B0E" w:rsidRDefault="00A60764" w:rsidP="00EB03DD">
      <w:pPr>
        <w:autoSpaceDE w:val="0"/>
        <w:autoSpaceDN w:val="0"/>
        <w:adjustRightInd w:val="0"/>
        <w:spacing w:before="120" w:after="120"/>
        <w:ind w:left="1134" w:right="1134"/>
        <w:jc w:val="both"/>
        <w:rPr>
          <w:b/>
          <w:bCs/>
        </w:rPr>
      </w:pPr>
      <w:r>
        <w:rPr>
          <w:b/>
          <w:bCs/>
          <w:i/>
          <w:iCs/>
        </w:rPr>
        <w:t>ПРИМЕЧАНИЕ 1:</w:t>
      </w:r>
      <w:r w:rsidRPr="00EB03DD">
        <w:rPr>
          <w:bCs/>
          <w:iCs/>
        </w:rPr>
        <w:t xml:space="preserve"> </w:t>
      </w:r>
      <w:r>
        <w:rPr>
          <w:i/>
          <w:iCs/>
        </w:rPr>
        <w:t>Если предусматривается применение подраздела 1.1.3.6, общее количество и рассчитанное значение опасных грузов для каждой транспортной категории должны указываться в транспортном документе в соответствии с пунктами 1.1.3.6.3, 1.1.3.6.4 и 1.1.3.6.6.</w:t>
      </w:r>
      <w:r>
        <w:t>».</w:t>
      </w:r>
    </w:p>
    <w:p w14:paraId="30C8FE05" w14:textId="77777777" w:rsidR="00A60764" w:rsidRPr="00007B0E" w:rsidRDefault="00A60764" w:rsidP="00EB03DD">
      <w:pPr>
        <w:pStyle w:val="SingleTxtG"/>
        <w:spacing w:before="120"/>
      </w:pPr>
      <w:r>
        <w:t>13.</w:t>
      </w:r>
      <w:r>
        <w:tab/>
        <w:t xml:space="preserve">Изменить пункт 8.6.3.1 следующим образом (добавленный текст </w:t>
      </w:r>
      <w:r>
        <w:rPr>
          <w:b/>
          <w:bCs/>
          <w:u w:val="single"/>
        </w:rPr>
        <w:t>выделен жирным шрифтом и подчеркнут</w:t>
      </w:r>
      <w:r>
        <w:t>):</w:t>
      </w:r>
    </w:p>
    <w:p w14:paraId="29C5E367" w14:textId="77777777" w:rsidR="00A60764" w:rsidRPr="00007B0E" w:rsidRDefault="00A60764" w:rsidP="00EB03DD">
      <w:pPr>
        <w:keepNext/>
        <w:keepLines/>
        <w:spacing w:after="120"/>
        <w:ind w:left="1134" w:right="1134"/>
        <w:jc w:val="both"/>
      </w:pPr>
      <w:r>
        <w:t>«8.6.3.1</w:t>
      </w:r>
      <w:r>
        <w:tab/>
        <w:t xml:space="preserve">Ограничения на перевозку конкретных опасных грузов через туннели основаны на назначенном этим грузам коде ограничения проезда через туннели, который указан в колонке 15 таблицы А главы 3.2. Коды ограничения проезда через туннели указаны в круглых скобках в нижней части клетки. Когда вместо одного из кодов ограничения проезда через туннели указан знак </w:t>
      </w:r>
      <w:r w:rsidR="009E4649" w:rsidRPr="009E4649">
        <w:rPr>
          <w:bCs/>
        </w:rPr>
        <w:t>"(─)"</w:t>
      </w:r>
      <w:r>
        <w:t xml:space="preserve">, эти опасные грузы не подпадают под действие каких-либо ограничений проезда через туннели </w:t>
      </w:r>
      <w:r>
        <w:rPr>
          <w:b/>
          <w:bCs/>
          <w:u w:val="single"/>
        </w:rPr>
        <w:t>и не должны приниматься во внимание для ограничений проезда через туннели, даже в случае совместной погрузки с опасными грузами, которым назначен код ограничения проезда через туннели, отличный от "(─)".</w:t>
      </w:r>
      <w:r>
        <w:t xml:space="preserve"> </w:t>
      </w:r>
      <w:r>
        <w:rPr>
          <w:b/>
          <w:bCs/>
          <w:u w:val="single"/>
        </w:rPr>
        <w:t>В</w:t>
      </w:r>
      <w:r>
        <w:t xml:space="preserve"> случае опасных грузов, отнесенных к № ООН 2919 и 3331, ограничения проезда через туннели могут, однако, являться частью специальных условий, утвержденных компетентным(и) органом(ами) на основе пункта 1.7.4.2.».</w:t>
      </w:r>
    </w:p>
    <w:p w14:paraId="27B1BB3D" w14:textId="77777777" w:rsidR="00A60764" w:rsidRPr="00007B0E" w:rsidRDefault="00A60764" w:rsidP="00EB03DD">
      <w:pPr>
        <w:pStyle w:val="SingleTxtG"/>
      </w:pPr>
      <w:r>
        <w:t>14.</w:t>
      </w:r>
      <w:r>
        <w:tab/>
        <w:t xml:space="preserve">Изменить пункт 8.6.3.2 следующим образом (добавленный текст </w:t>
      </w:r>
      <w:r>
        <w:rPr>
          <w:b/>
          <w:bCs/>
          <w:u w:val="single"/>
        </w:rPr>
        <w:t>выделен жирным шрифтом и подчеркнут</w:t>
      </w:r>
      <w:r>
        <w:t>):</w:t>
      </w:r>
    </w:p>
    <w:p w14:paraId="6868DE50" w14:textId="77777777" w:rsidR="00A60764" w:rsidRPr="00007B0E" w:rsidRDefault="00A60764" w:rsidP="00EB03DD">
      <w:pPr>
        <w:pStyle w:val="SingleTxtG"/>
      </w:pPr>
      <w:r>
        <w:t>«8.6.3.2</w:t>
      </w:r>
      <w:r>
        <w:tab/>
        <w:t xml:space="preserve">Когда в одной транспортной единице содержатся опасные грузы, которым назначены разные коды ограничения проезда через туннели, всему грузу назначается наиболее ограничительный из этих кодов. </w:t>
      </w:r>
      <w:r>
        <w:rPr>
          <w:b/>
          <w:bCs/>
          <w:u w:val="single"/>
        </w:rPr>
        <w:t>Если в транспортной единице количество опасных грузов в упаковках, которым назначены коды ограничения проезда через туннели, не превышает количества, указанного в пункте 1.1.3.6.3, [рассчитанного без учета любых опасных грузов, для которых в колонке 15 таблицы А главы 3.2 указан знак "(─)",] то код ограничения проезда через туннели для всего груза отсутствует.</w:t>
      </w:r>
      <w:r>
        <w:t>».</w:t>
      </w:r>
    </w:p>
    <w:p w14:paraId="1A258406" w14:textId="77777777" w:rsidR="00A60764" w:rsidRPr="00007B0E" w:rsidRDefault="00A60764" w:rsidP="00EB03DD">
      <w:pPr>
        <w:pStyle w:val="SingleTxtG"/>
      </w:pPr>
      <w:r>
        <w:t>15.</w:t>
      </w:r>
      <w:r>
        <w:tab/>
        <w:t xml:space="preserve">Изменить пункт 8.6.3.3 следующим образом (добавленный текст </w:t>
      </w:r>
      <w:r>
        <w:rPr>
          <w:b/>
          <w:bCs/>
          <w:u w:val="single"/>
        </w:rPr>
        <w:t>выделен жирным шрифтом и подчеркнут</w:t>
      </w:r>
      <w:r>
        <w:t>):</w:t>
      </w:r>
    </w:p>
    <w:p w14:paraId="2C468F4E" w14:textId="77777777" w:rsidR="00A60764" w:rsidRPr="00007B0E" w:rsidRDefault="00A60764" w:rsidP="00EB03DD">
      <w:pPr>
        <w:spacing w:after="120"/>
        <w:ind w:left="1134" w:right="1134"/>
        <w:jc w:val="both"/>
        <w:rPr>
          <w:b/>
          <w:u w:val="single"/>
        </w:rPr>
      </w:pPr>
      <w:r>
        <w:t>«8.6.3.3</w:t>
      </w:r>
      <w:r>
        <w:tab/>
        <w:t xml:space="preserve">Опасные грузы, перевозимые в соответствии с разделом 1.1.3, не подпадают под действие ограничений проезда через туннели и не принимаются во внимание при определении кода ограничения проезда через туннели, который должен назначаться всему грузу транспортной единицы, за исключением случая, когда транспортная единица должна иметь маркировку в соответствии с пунктом 3.4.13 с учетом пункта 3.4.14. </w:t>
      </w:r>
      <w:r w:rsidRPr="009E4649">
        <w:rPr>
          <w:b/>
        </w:rPr>
        <w:t>В соответствии с пунктом 1.1.3.6.6 при расчете предельных количеств, разрешенных в туннелях, для целей применения ограничений проезда через туннели, предусмотренных в пункте 1.9.5.3.6, учитываются только те опасные грузы, которым назначен код ограничения проезда через туннели, отличный от "(─)".</w:t>
      </w:r>
      <w:r>
        <w:t>».</w:t>
      </w:r>
    </w:p>
    <w:p w14:paraId="29F474DC" w14:textId="77777777" w:rsidR="00A60764" w:rsidRPr="00843D21" w:rsidRDefault="00A60764" w:rsidP="00EB03DD">
      <w:pPr>
        <w:pStyle w:val="SingleTxtG"/>
      </w:pPr>
      <w:r>
        <w:t>16.</w:t>
      </w:r>
      <w:r>
        <w:tab/>
        <w:t>Изменить текст последней строки «</w:t>
      </w:r>
      <w:r w:rsidR="009E4649">
        <w:t>–</w:t>
      </w:r>
      <w:r>
        <w:t xml:space="preserve">» в колонке «Ограничение» таблицы раздела 8.6.4 следующим образом (добавленный текст </w:t>
      </w:r>
      <w:r w:rsidRPr="00F23BCF">
        <w:rPr>
          <w:b/>
          <w:bCs/>
          <w:u w:val="single"/>
        </w:rPr>
        <w:t>выделен жирным шрифтом и подчеркнут</w:t>
      </w:r>
      <w:r>
        <w:t>):</w:t>
      </w:r>
    </w:p>
    <w:tbl>
      <w:tblPr>
        <w:tblStyle w:val="TableGrid"/>
        <w:tblW w:w="8495" w:type="dxa"/>
        <w:tblInd w:w="1134" w:type="dxa"/>
        <w:tblLayout w:type="fixed"/>
        <w:tblLook w:val="04A0" w:firstRow="1" w:lastRow="0" w:firstColumn="1" w:lastColumn="0" w:noHBand="0" w:noVBand="1"/>
      </w:tblPr>
      <w:tblGrid>
        <w:gridCol w:w="4083"/>
        <w:gridCol w:w="4412"/>
      </w:tblGrid>
      <w:tr w:rsidR="00A60764" w:rsidRPr="009F7230" w14:paraId="03BF0EFA" w14:textId="77777777" w:rsidTr="00EB03DD">
        <w:tc>
          <w:tcPr>
            <w:tcW w:w="4083" w:type="dxa"/>
          </w:tcPr>
          <w:p w14:paraId="2233E760" w14:textId="77777777" w:rsidR="00A60764" w:rsidRPr="00007B0E" w:rsidRDefault="00A60764" w:rsidP="00EB03DD">
            <w:pPr>
              <w:pStyle w:val="SingleTxtG"/>
              <w:ind w:left="0"/>
              <w:rPr>
                <w:rFonts w:eastAsia="SimSun"/>
              </w:rPr>
            </w:pPr>
            <w:r>
              <w:t>Код ограничения проезда через туннели для всего груза</w:t>
            </w:r>
          </w:p>
        </w:tc>
        <w:tc>
          <w:tcPr>
            <w:tcW w:w="4412" w:type="dxa"/>
          </w:tcPr>
          <w:p w14:paraId="3C402458" w14:textId="77777777" w:rsidR="00A60764" w:rsidRPr="009F7230" w:rsidRDefault="00A60764" w:rsidP="00EB03DD">
            <w:pPr>
              <w:pStyle w:val="SingleTxtG"/>
              <w:rPr>
                <w:rFonts w:eastAsia="SimSun"/>
              </w:rPr>
            </w:pPr>
            <w:r>
              <w:t>Ограничение</w:t>
            </w:r>
          </w:p>
        </w:tc>
      </w:tr>
      <w:tr w:rsidR="00A60764" w:rsidRPr="009F7230" w14:paraId="5DDFE10C" w14:textId="77777777" w:rsidTr="00EB03DD">
        <w:tc>
          <w:tcPr>
            <w:tcW w:w="8495" w:type="dxa"/>
            <w:gridSpan w:val="2"/>
          </w:tcPr>
          <w:p w14:paraId="53AE397A" w14:textId="77777777" w:rsidR="00A60764" w:rsidRPr="009F7230" w:rsidRDefault="00A60764" w:rsidP="00EB03DD">
            <w:pPr>
              <w:pStyle w:val="SingleTxtG"/>
              <w:rPr>
                <w:rFonts w:eastAsia="SimSun"/>
              </w:rPr>
            </w:pPr>
            <w:r>
              <w:t>…….</w:t>
            </w:r>
          </w:p>
        </w:tc>
      </w:tr>
      <w:tr w:rsidR="00A60764" w:rsidRPr="00A54318" w14:paraId="01C8D23F" w14:textId="77777777" w:rsidTr="00EB03DD">
        <w:tc>
          <w:tcPr>
            <w:tcW w:w="4083" w:type="dxa"/>
          </w:tcPr>
          <w:p w14:paraId="70C9807E" w14:textId="77777777" w:rsidR="00A60764" w:rsidRPr="009F7230" w:rsidRDefault="00EB03DD" w:rsidP="00EB03DD">
            <w:pPr>
              <w:pStyle w:val="SingleTxtG"/>
              <w:rPr>
                <w:rFonts w:eastAsia="SimSun"/>
              </w:rPr>
            </w:pPr>
            <w:r>
              <w:lastRenderedPageBreak/>
              <w:t>–</w:t>
            </w:r>
          </w:p>
        </w:tc>
        <w:tc>
          <w:tcPr>
            <w:tcW w:w="4412" w:type="dxa"/>
          </w:tcPr>
          <w:p w14:paraId="7D535AA1" w14:textId="77777777" w:rsidR="00A60764" w:rsidRPr="00007B0E" w:rsidRDefault="00A60764" w:rsidP="00EB03DD">
            <w:pPr>
              <w:pStyle w:val="SingleTxtG"/>
              <w:ind w:left="40" w:right="28"/>
              <w:rPr>
                <w:rFonts w:eastAsia="SimSun"/>
              </w:rPr>
            </w:pPr>
            <w:r>
              <w:t xml:space="preserve">Разрешен проезд через все туннели (в отношении № ООН 2919 и 3331, см. также пункт 8.6.3.1). </w:t>
            </w:r>
            <w:r>
              <w:rPr>
                <w:b/>
                <w:bCs/>
                <w:u w:val="single"/>
              </w:rPr>
              <w:t>В</w:t>
            </w:r>
            <w:r w:rsidR="00EB03DD">
              <w:rPr>
                <w:b/>
                <w:bCs/>
                <w:u w:val="single"/>
              </w:rPr>
              <w:t> </w:t>
            </w:r>
            <w:r>
              <w:rPr>
                <w:b/>
                <w:bCs/>
                <w:u w:val="single"/>
              </w:rPr>
              <w:t>случае совместной погрузки с опасными грузами, которым назначен другой код ограничения проезда через туннели, для ограничения проезда должны учитываться только те опасные грузы, которым назначен код ограничения, отличный от "(─)".</w:t>
            </w:r>
          </w:p>
        </w:tc>
      </w:tr>
    </w:tbl>
    <w:p w14:paraId="103662D4" w14:textId="77777777" w:rsidR="00E12C5F" w:rsidRPr="00EB03DD" w:rsidRDefault="00EB03DD" w:rsidP="00EB03DD">
      <w:pPr>
        <w:spacing w:before="240"/>
        <w:jc w:val="center"/>
        <w:rPr>
          <w:u w:val="single"/>
        </w:rPr>
      </w:pPr>
      <w:r>
        <w:rPr>
          <w:u w:val="single"/>
        </w:rPr>
        <w:tab/>
      </w:r>
      <w:r>
        <w:rPr>
          <w:u w:val="single"/>
        </w:rPr>
        <w:tab/>
      </w:r>
      <w:r>
        <w:rPr>
          <w:u w:val="single"/>
        </w:rPr>
        <w:tab/>
      </w:r>
    </w:p>
    <w:sectPr w:rsidR="00E12C5F" w:rsidRPr="00EB03DD" w:rsidSect="001B48B6">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E3C35" w14:textId="77777777" w:rsidR="001E056B" w:rsidRPr="00A312BC" w:rsidRDefault="001E056B" w:rsidP="00A312BC"/>
  </w:endnote>
  <w:endnote w:type="continuationSeparator" w:id="0">
    <w:p w14:paraId="6E546DDA" w14:textId="77777777" w:rsidR="001E056B" w:rsidRPr="00A312BC" w:rsidRDefault="001E056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AC1C1" w14:textId="77777777" w:rsidR="001B48B6" w:rsidRPr="001B48B6" w:rsidRDefault="001B48B6">
    <w:pPr>
      <w:pStyle w:val="Footer"/>
    </w:pPr>
    <w:r w:rsidRPr="001B48B6">
      <w:rPr>
        <w:b/>
        <w:sz w:val="18"/>
      </w:rPr>
      <w:fldChar w:fldCharType="begin"/>
    </w:r>
    <w:r w:rsidRPr="001B48B6">
      <w:rPr>
        <w:b/>
        <w:sz w:val="18"/>
      </w:rPr>
      <w:instrText xml:space="preserve"> PAGE  \* MERGEFORMAT </w:instrText>
    </w:r>
    <w:r w:rsidRPr="001B48B6">
      <w:rPr>
        <w:b/>
        <w:sz w:val="18"/>
      </w:rPr>
      <w:fldChar w:fldCharType="separate"/>
    </w:r>
    <w:r w:rsidRPr="001B48B6">
      <w:rPr>
        <w:b/>
        <w:noProof/>
        <w:sz w:val="18"/>
      </w:rPr>
      <w:t>2</w:t>
    </w:r>
    <w:r w:rsidRPr="001B48B6">
      <w:rPr>
        <w:b/>
        <w:sz w:val="18"/>
      </w:rPr>
      <w:fldChar w:fldCharType="end"/>
    </w:r>
    <w:r>
      <w:rPr>
        <w:b/>
        <w:sz w:val="18"/>
      </w:rPr>
      <w:tab/>
    </w:r>
    <w:r>
      <w:t>GE.19-14220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67A13" w14:textId="77777777" w:rsidR="001B48B6" w:rsidRPr="001B48B6" w:rsidRDefault="001B48B6" w:rsidP="001B48B6">
    <w:pPr>
      <w:pStyle w:val="Footer"/>
      <w:tabs>
        <w:tab w:val="clear" w:pos="9639"/>
        <w:tab w:val="right" w:pos="9638"/>
      </w:tabs>
      <w:rPr>
        <w:b/>
        <w:sz w:val="18"/>
      </w:rPr>
    </w:pPr>
    <w:r>
      <w:t>GE.19-14220</w:t>
    </w:r>
    <w:r>
      <w:tab/>
    </w:r>
    <w:r w:rsidRPr="001B48B6">
      <w:rPr>
        <w:b/>
        <w:sz w:val="18"/>
      </w:rPr>
      <w:fldChar w:fldCharType="begin"/>
    </w:r>
    <w:r w:rsidRPr="001B48B6">
      <w:rPr>
        <w:b/>
        <w:sz w:val="18"/>
      </w:rPr>
      <w:instrText xml:space="preserve"> PAGE  \* MERGEFORMAT </w:instrText>
    </w:r>
    <w:r w:rsidRPr="001B48B6">
      <w:rPr>
        <w:b/>
        <w:sz w:val="18"/>
      </w:rPr>
      <w:fldChar w:fldCharType="separate"/>
    </w:r>
    <w:r w:rsidRPr="001B48B6">
      <w:rPr>
        <w:b/>
        <w:noProof/>
        <w:sz w:val="18"/>
      </w:rPr>
      <w:t>3</w:t>
    </w:r>
    <w:r w:rsidRPr="001B48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0275D" w14:textId="77777777" w:rsidR="00042B72" w:rsidRPr="001B48B6" w:rsidRDefault="001B48B6" w:rsidP="001B48B6">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5D1E4217" wp14:editId="6CDA5E2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19-14220  (R)</w:t>
    </w:r>
    <w:r w:rsidR="00347F88">
      <w:t xml:space="preserve">  090919  110919</w:t>
    </w:r>
    <w:r>
      <w:br/>
    </w:r>
    <w:r w:rsidRPr="001B48B6">
      <w:rPr>
        <w:rFonts w:ascii="C39T30Lfz" w:hAnsi="C39T30Lfz"/>
        <w:kern w:val="14"/>
        <w:sz w:val="56"/>
      </w:rPr>
      <w:t></w:t>
    </w:r>
    <w:r w:rsidRPr="001B48B6">
      <w:rPr>
        <w:rFonts w:ascii="C39T30Lfz" w:hAnsi="C39T30Lfz"/>
        <w:kern w:val="14"/>
        <w:sz w:val="56"/>
      </w:rPr>
      <w:t></w:t>
    </w:r>
    <w:r w:rsidRPr="001B48B6">
      <w:rPr>
        <w:rFonts w:ascii="C39T30Lfz" w:hAnsi="C39T30Lfz"/>
        <w:kern w:val="14"/>
        <w:sz w:val="56"/>
      </w:rPr>
      <w:t></w:t>
    </w:r>
    <w:r w:rsidRPr="001B48B6">
      <w:rPr>
        <w:rFonts w:ascii="C39T30Lfz" w:hAnsi="C39T30Lfz"/>
        <w:kern w:val="14"/>
        <w:sz w:val="56"/>
      </w:rPr>
      <w:t></w:t>
    </w:r>
    <w:r w:rsidRPr="001B48B6">
      <w:rPr>
        <w:rFonts w:ascii="C39T30Lfz" w:hAnsi="C39T30Lfz"/>
        <w:kern w:val="14"/>
        <w:sz w:val="56"/>
      </w:rPr>
      <w:t></w:t>
    </w:r>
    <w:r w:rsidRPr="001B48B6">
      <w:rPr>
        <w:rFonts w:ascii="C39T30Lfz" w:hAnsi="C39T30Lfz"/>
        <w:kern w:val="14"/>
        <w:sz w:val="56"/>
      </w:rPr>
      <w:t></w:t>
    </w:r>
    <w:r w:rsidRPr="001B48B6">
      <w:rPr>
        <w:rFonts w:ascii="C39T30Lfz" w:hAnsi="C39T30Lfz"/>
        <w:kern w:val="14"/>
        <w:sz w:val="56"/>
      </w:rPr>
      <w:t></w:t>
    </w:r>
    <w:r w:rsidRPr="001B48B6">
      <w:rPr>
        <w:rFonts w:ascii="C39T30Lfz" w:hAnsi="C39T30Lfz"/>
        <w:kern w:val="14"/>
        <w:sz w:val="56"/>
      </w:rPr>
      <w:t></w:t>
    </w:r>
    <w:r w:rsidRPr="001B48B6">
      <w:rPr>
        <w:rFonts w:ascii="C39T30Lfz" w:hAnsi="C39T30Lfz"/>
        <w:kern w:val="14"/>
        <w:sz w:val="56"/>
      </w:rPr>
      <w:t></w:t>
    </w:r>
    <w:r>
      <w:rPr>
        <w:noProof/>
      </w:rPr>
      <w:drawing>
        <wp:anchor distT="0" distB="0" distL="114300" distR="114300" simplePos="0" relativeHeight="251659264" behindDoc="0" locked="0" layoutInCell="1" allowOverlap="1" wp14:anchorId="105B9474" wp14:editId="245AF14C">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5/2019/19&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2019/19&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25FE8" w14:textId="77777777" w:rsidR="001E056B" w:rsidRPr="001075E9" w:rsidRDefault="001E056B" w:rsidP="001075E9">
      <w:pPr>
        <w:tabs>
          <w:tab w:val="right" w:pos="2155"/>
        </w:tabs>
        <w:spacing w:after="80" w:line="240" w:lineRule="auto"/>
        <w:ind w:left="680"/>
        <w:rPr>
          <w:u w:val="single"/>
        </w:rPr>
      </w:pPr>
      <w:r>
        <w:rPr>
          <w:u w:val="single"/>
        </w:rPr>
        <w:tab/>
      </w:r>
    </w:p>
  </w:footnote>
  <w:footnote w:type="continuationSeparator" w:id="0">
    <w:p w14:paraId="55A573D2" w14:textId="77777777" w:rsidR="001E056B" w:rsidRDefault="001E056B" w:rsidP="00407B78">
      <w:pPr>
        <w:tabs>
          <w:tab w:val="right" w:pos="2155"/>
        </w:tabs>
        <w:spacing w:after="80"/>
        <w:ind w:left="680"/>
        <w:rPr>
          <w:u w:val="single"/>
        </w:rPr>
      </w:pPr>
      <w:r>
        <w:rPr>
          <w:u w:val="single"/>
        </w:rPr>
        <w:tab/>
      </w:r>
    </w:p>
  </w:footnote>
  <w:footnote w:id="1">
    <w:p w14:paraId="4FE7AB34" w14:textId="77777777" w:rsidR="00A60764" w:rsidRPr="00007B0E" w:rsidRDefault="00A60764" w:rsidP="00347F88">
      <w:pPr>
        <w:pStyle w:val="FootnoteText"/>
        <w:tabs>
          <w:tab w:val="clear" w:pos="1021"/>
        </w:tabs>
        <w:ind w:left="1418" w:hanging="284"/>
      </w:pPr>
      <w:r w:rsidRPr="00347F88">
        <w:rPr>
          <w:rStyle w:val="FootnoteReference"/>
          <w:sz w:val="20"/>
          <w:vertAlign w:val="baseline"/>
        </w:rPr>
        <w:sym w:font="Symbol" w:char="F02A"/>
      </w:r>
      <w:r>
        <w:tab/>
        <w:t>В соответствии с программой работы Комитета по внутреннему транспорту на 2018−2019</w:t>
      </w:r>
      <w:r w:rsidR="00347F88">
        <w:t> </w:t>
      </w:r>
      <w:r>
        <w:t>годы (ECE/TRANS/2018/21/Add.1, направление деятельности 9, 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BF40D" w14:textId="4F6498E8" w:rsidR="001B48B6" w:rsidRPr="001B48B6" w:rsidRDefault="00E56E34">
    <w:pPr>
      <w:pStyle w:val="Header"/>
    </w:pPr>
    <w:fldSimple w:instr=" TITLE  \* MERGEFORMAT ">
      <w:r>
        <w:t>ECE/TRANS/WP.15/2019/19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7115" w14:textId="0DA96496" w:rsidR="001B48B6" w:rsidRPr="001B48B6" w:rsidRDefault="00E56E34" w:rsidP="001B48B6">
    <w:pPr>
      <w:pStyle w:val="Header"/>
      <w:jc w:val="right"/>
    </w:pPr>
    <w:fldSimple w:instr=" TITLE  \* MERGEFORMAT ">
      <w:r>
        <w:t>ECE/TRANS/WP.15/2019/19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56B"/>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B48B6"/>
    <w:rsid w:val="001C7A89"/>
    <w:rsid w:val="001E056B"/>
    <w:rsid w:val="00255343"/>
    <w:rsid w:val="0027151D"/>
    <w:rsid w:val="002A2EFC"/>
    <w:rsid w:val="002B0106"/>
    <w:rsid w:val="002B4746"/>
    <w:rsid w:val="002B74B1"/>
    <w:rsid w:val="002C0E18"/>
    <w:rsid w:val="002D5AAC"/>
    <w:rsid w:val="002E5067"/>
    <w:rsid w:val="002F405F"/>
    <w:rsid w:val="002F7EEC"/>
    <w:rsid w:val="00301299"/>
    <w:rsid w:val="00305C08"/>
    <w:rsid w:val="00307FB6"/>
    <w:rsid w:val="00317339"/>
    <w:rsid w:val="00322004"/>
    <w:rsid w:val="003402C2"/>
    <w:rsid w:val="00347F88"/>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323D"/>
    <w:rsid w:val="00906890"/>
    <w:rsid w:val="00911BE4"/>
    <w:rsid w:val="00921103"/>
    <w:rsid w:val="00951972"/>
    <w:rsid w:val="009608F3"/>
    <w:rsid w:val="009A24AC"/>
    <w:rsid w:val="009C59D7"/>
    <w:rsid w:val="009C5E9C"/>
    <w:rsid w:val="009C6FE6"/>
    <w:rsid w:val="009D7E7D"/>
    <w:rsid w:val="009E4649"/>
    <w:rsid w:val="00A14DA8"/>
    <w:rsid w:val="00A312BC"/>
    <w:rsid w:val="00A60764"/>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A21BC"/>
    <w:rsid w:val="00DD78D1"/>
    <w:rsid w:val="00DE32CD"/>
    <w:rsid w:val="00DF5767"/>
    <w:rsid w:val="00DF71B9"/>
    <w:rsid w:val="00E12C5F"/>
    <w:rsid w:val="00E56E34"/>
    <w:rsid w:val="00E73F76"/>
    <w:rsid w:val="00EA2C9F"/>
    <w:rsid w:val="00EA420E"/>
    <w:rsid w:val="00EB03DD"/>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58634B"/>
  <w15:docId w15:val="{4753ADD2-5E3F-4B0F-B5E8-4E949061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basedOn w:val="DefaultParagraphFont"/>
    <w:link w:val="SingleTxtG"/>
    <w:rsid w:val="00A60764"/>
    <w:rPr>
      <w:lang w:val="ru-RU" w:eastAsia="en-US"/>
    </w:rPr>
  </w:style>
  <w:style w:type="paragraph" w:styleId="BodyTextIndent2">
    <w:name w:val="Body Text Indent 2"/>
    <w:basedOn w:val="Normal"/>
    <w:link w:val="BodyTextIndent2Char"/>
    <w:rsid w:val="00A60764"/>
    <w:pPr>
      <w:tabs>
        <w:tab w:val="left" w:pos="-720"/>
        <w:tab w:val="left" w:pos="-324"/>
        <w:tab w:val="left" w:pos="1134"/>
        <w:tab w:val="left" w:pos="1701"/>
        <w:tab w:val="left" w:pos="1985"/>
        <w:tab w:val="left" w:pos="2268"/>
        <w:tab w:val="left" w:pos="2552"/>
        <w:tab w:val="left" w:pos="2835"/>
        <w:tab w:val="left" w:pos="311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val="0"/>
      <w:spacing w:line="240" w:lineRule="auto"/>
      <w:ind w:left="2268" w:hanging="2268"/>
      <w:jc w:val="both"/>
    </w:pPr>
    <w:rPr>
      <w:rFonts w:ascii="CG Times" w:eastAsia="Times New Roman" w:hAnsi="CG Times" w:cs="Times New Roman"/>
      <w:sz w:val="22"/>
      <w:szCs w:val="20"/>
      <w:lang w:val="en-GB"/>
    </w:rPr>
  </w:style>
  <w:style w:type="character" w:customStyle="1" w:styleId="BodyTextIndent2Char">
    <w:name w:val="Body Text Indent 2 Char"/>
    <w:basedOn w:val="DefaultParagraphFont"/>
    <w:link w:val="BodyTextIndent2"/>
    <w:rsid w:val="00A60764"/>
    <w:rPr>
      <w:rFonts w:ascii="CG Times" w:hAnsi="CG Times"/>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2099</Words>
  <Characters>11419</Characters>
  <Application>Microsoft Office Word</Application>
  <DocSecurity>0</DocSecurity>
  <Lines>193</Lines>
  <Paragraphs>63</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ECE/TRANS/WP.15/2019/19</vt:lpstr>
      <vt:lpstr>ECE/TRANS/WP.15/2019/19</vt:lpstr>
      <vt:lpstr>A/</vt:lpstr>
    </vt:vector>
  </TitlesOfParts>
  <Company>DCM</Company>
  <LinksUpToDate>false</LinksUpToDate>
  <CharactersWithSpaces>13455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ECE/TRANS/WP.15/2019/19</dc:title>
  <dc:subject/>
  <dc:creator>Uliana ANTIPOVA</dc:creator>
  <cp:keywords/>
  <cp:lastModifiedBy>Christine Barrio-Champeau</cp:lastModifiedBy>
  <cp:revision>2</cp:revision>
  <cp:lastPrinted>2019-09-11T08:12:00Z</cp:lastPrinted>
  <dcterms:created xsi:type="dcterms:W3CDTF">2019-09-25T15:14:00Z</dcterms:created>
  <dcterms:modified xsi:type="dcterms:W3CDTF">2019-09-25T15:14:00Z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